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asks.xml" ContentType="application/vnd.ms-office.documenttask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xmlns:wp14="http://schemas.microsoft.com/office/word/2010/wordml" w:rsidTr="7A6EA4F2" w14:paraId="32AA7D4D" wp14:textId="77777777">
        <w:tc>
          <w:tcPr>
            <w:tcW w:w="2608" w:type="dxa"/>
            <w:tcMar/>
            <w:vAlign w:val="center"/>
          </w:tcPr>
          <w:p w14:paraId="672A6659" wp14:textId="77777777">
            <w:pPr>
              <w:spacing w:line="240" w:lineRule="auto"/>
              <w:jc w:val="center"/>
            </w:pPr>
            <w:r w:rsidR="7A6EA4F2">
              <w:drawing>
                <wp:inline xmlns:wp14="http://schemas.microsoft.com/office/word/2010/wordprocessingDrawing" wp14:editId="3625830C" wp14:anchorId="7C4C8523">
                  <wp:extent cx="1512000" cy="426918"/>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timbre.png"/>
                          <pic:cNvPicPr/>
                        </pic:nvPicPr>
                        <pic:blipFill>
                          <a:blip xmlns:r="http://schemas.openxmlformats.org/officeDocument/2006/relationships" r:embed="rId10"/>
                          <a:stretch>
                            <a:fillRect/>
                          </a:stretch>
                        </pic:blipFill>
                        <pic:spPr>
                          <a:xfrm>
                            <a:off x="0" y="0"/>
                            <a:ext cx="1512000" cy="426918"/>
                          </a:xfrm>
                          <a:prstGeom prst="rect"/>
                        </pic:spPr>
                      </pic:pic>
                    </a:graphicData>
                  </a:graphic>
                </wp:inline>
              </w:drawing>
            </w:r>
          </w:p>
        </w:tc>
        <w:tc>
          <w:tcPr>
            <w:tcW w:w="5896" w:type="dxa"/>
            <w:tcMar/>
            <w:vAlign w:val="center"/>
          </w:tcPr>
          <w:p w14:paraId="056807CB" wp14:textId="77777777">
            <w:pPr>
              <w:spacing w:before="0" w:after="0" w:line="240" w:lineRule="auto"/>
              <w:jc w:val="left"/>
            </w:pPr>
            <w:r>
              <w:rPr>
                <w:b/>
                <w:color w:val="000000"/>
                <w:sz w:val="24"/>
              </w:rPr>
              <w:t>Poder Judiciário da União</w:t>
            </w:r>
          </w:p>
          <w:p w14:paraId="0C21EA25" wp14:textId="77777777">
            <w:pPr>
              <w:spacing w:before="0" w:after="0" w:line="240" w:lineRule="auto"/>
              <w:jc w:val="left"/>
            </w:pPr>
            <w:r>
              <w:rPr>
                <w:b w:val="0"/>
                <w:color w:val="000000"/>
                <w:sz w:val="22"/>
              </w:rPr>
              <w:t>Tribunal de Justiça do Distrito Federal e dos Territórios</w:t>
            </w:r>
          </w:p>
          <w:p w14:paraId="5F994615" wp14:textId="77777777">
            <w:pPr>
              <w:spacing w:before="0" w:after="0" w:line="240" w:lineRule="auto"/>
              <w:jc w:val="left"/>
            </w:pPr>
            <w:r>
              <w:rPr>
                <w:b w:val="0"/>
                <w:color w:val="000000"/>
                <w:sz w:val="22"/>
              </w:rPr>
              <w:t>GDSXSR</w:t>
            </w:r>
          </w:p>
          <w:p w14:paraId="51F8A651" wp14:textId="77777777">
            <w:pPr>
              <w:spacing w:before="0" w:after="0" w:line="240" w:lineRule="auto"/>
              <w:jc w:val="left"/>
            </w:pPr>
            <w:r>
              <w:rPr>
                <w:b w:val="0"/>
                <w:color w:val="000000"/>
                <w:sz w:val="22"/>
              </w:rPr>
              <w:t>GABINETE DO DESEMBARGADOR SÉRGIO ROCHA</w:t>
            </w:r>
          </w:p>
        </w:tc>
      </w:tr>
    </w:tbl>
    <w:p xmlns:wp14="http://schemas.microsoft.com/office/word/2010/wordml" w14:paraId="0A37501D" wp14:textId="77777777">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68"/>
        <w:gridCol w:w="397"/>
        <w:gridCol w:w="5839"/>
      </w:tblGrid>
      <w:tr xmlns:wp14="http://schemas.microsoft.com/office/word/2010/wordml" w:rsidTr="7A6EA4F2" w14:paraId="443659CF" wp14:textId="77777777">
        <w:tc>
          <w:tcPr>
            <w:tcW w:w="2268" w:type="dxa"/>
            <w:tcMar/>
          </w:tcPr>
          <w:p w14:paraId="6F66D78F" wp14:textId="77777777">
            <w:pPr>
              <w:spacing w:before="0" w:after="0" w:line="360" w:lineRule="auto"/>
              <w:jc w:val="left"/>
            </w:pPr>
            <w:r>
              <w:rPr>
                <w:b w:val="0"/>
                <w:i w:val="0"/>
                <w:color w:val="000000"/>
                <w:sz w:val="24"/>
              </w:rPr>
              <w:t>Órgão</w:t>
            </w:r>
          </w:p>
        </w:tc>
        <w:tc>
          <w:tcPr>
            <w:tcW w:w="397" w:type="dxa"/>
            <w:tcMar/>
          </w:tcPr>
          <w:p w14:paraId="2127E81B"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7BC8F9EF" wp14:textId="77777777">
            <w:pPr>
              <w:spacing w:before="0" w:after="0" w:line="360" w:lineRule="auto"/>
              <w:jc w:val="left"/>
            </w:pPr>
            <w:commentRangeStart w:id="0"/>
            <w:commentRangeStart w:id="295744808"/>
            <w:commentRangeStart w:id="2008684976"/>
            <w:r>
              <w:rPr>
                <w:b w:val="0"/>
                <w:i w:val="0"/>
                <w:color w:val="000000"/>
                <w:sz w:val="24"/>
              </w:rPr>
              <w:t>4ª Turma Cível</w:t>
            </w:r>
            <w:commentRangeEnd w:id="0"/>
            <w:r>
              <w:rPr>
                <w:rStyle w:val="CommentReference"/>
              </w:rPr>
              <w:commentReference w:id="0"/>
            </w:r>
            <w:commentRangeEnd w:id="295744808"/>
            <w:r>
              <w:rPr>
                <w:rStyle w:val="CommentReference"/>
              </w:rPr>
              <w:commentReference w:id="295744808"/>
            </w:r>
            <w:commentRangeEnd w:id="2008684976"/>
            <w:r>
              <w:rPr>
                <w:rStyle w:val="CommentReference"/>
              </w:rPr>
              <w:commentReference w:id="2008684976"/>
            </w:r>
          </w:p>
        </w:tc>
      </w:tr>
      <w:tr xmlns:wp14="http://schemas.microsoft.com/office/word/2010/wordml" w:rsidTr="7A6EA4F2" w14:paraId="2314F5FD" wp14:textId="77777777">
        <w:tc>
          <w:tcPr>
            <w:tcW w:w="2268" w:type="dxa"/>
            <w:tcMar/>
          </w:tcPr>
          <w:p w14:paraId="671FE9FF" wp14:textId="77777777">
            <w:pPr>
              <w:spacing w:before="0" w:after="0" w:line="360" w:lineRule="auto"/>
              <w:jc w:val="left"/>
            </w:pPr>
            <w:r>
              <w:rPr>
                <w:b w:val="0"/>
                <w:i w:val="0"/>
                <w:color w:val="000000"/>
                <w:sz w:val="24"/>
              </w:rPr>
              <w:t>Classe</w:t>
            </w:r>
          </w:p>
        </w:tc>
        <w:tc>
          <w:tcPr>
            <w:tcW w:w="397" w:type="dxa"/>
            <w:tcMar/>
          </w:tcPr>
          <w:p w14:paraId="67A8245E"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45598A79" wp14:textId="77777777">
            <w:pPr>
              <w:spacing w:before="0" w:after="0" w:line="360" w:lineRule="auto"/>
              <w:jc w:val="left"/>
            </w:pPr>
            <w:r w:rsidRPr="7A6EA4F2" w:rsidR="7A6EA4F2">
              <w:rPr>
                <w:b w:val="0"/>
                <w:bCs w:val="0"/>
                <w:i w:val="0"/>
                <w:iCs w:val="0"/>
                <w:color w:val="000000" w:themeColor="text1" w:themeTint="FF" w:themeShade="FF"/>
                <w:sz w:val="24"/>
                <w:szCs w:val="24"/>
              </w:rPr>
              <w:t>Agravo de Instrumento</w:t>
            </w:r>
          </w:p>
        </w:tc>
      </w:tr>
      <w:tr xmlns:wp14="http://schemas.microsoft.com/office/word/2010/wordml" w:rsidTr="7A6EA4F2" w14:paraId="5BDF8430" wp14:textId="77777777">
        <w:tc>
          <w:tcPr>
            <w:tcW w:w="2268" w:type="dxa"/>
            <w:tcMar/>
          </w:tcPr>
          <w:p w14:paraId="7386709D" wp14:textId="77777777">
            <w:pPr>
              <w:spacing w:before="0" w:after="0" w:line="360" w:lineRule="auto"/>
              <w:jc w:val="left"/>
            </w:pPr>
            <w:r>
              <w:rPr>
                <w:b w:val="0"/>
                <w:i w:val="0"/>
                <w:color w:val="000000"/>
                <w:sz w:val="24"/>
              </w:rPr>
              <w:t>Processo nº</w:t>
            </w:r>
          </w:p>
        </w:tc>
        <w:tc>
          <w:tcPr>
            <w:tcW w:w="397" w:type="dxa"/>
            <w:tcMar/>
          </w:tcPr>
          <w:p w14:paraId="56A8759A"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762AC99E" wp14:textId="77777777">
            <w:pPr>
              <w:spacing w:before="0" w:after="0" w:line="360" w:lineRule="auto"/>
              <w:jc w:val="left"/>
            </w:pPr>
            <w:r w:rsidRPr="7A6EA4F2" w:rsidR="7A6EA4F2">
              <w:rPr>
                <w:b w:val="0"/>
                <w:bCs w:val="0"/>
                <w:i w:val="0"/>
                <w:iCs w:val="0"/>
                <w:color w:val="000000" w:themeColor="text1" w:themeTint="FF" w:themeShade="FF"/>
                <w:sz w:val="24"/>
                <w:szCs w:val="24"/>
              </w:rPr>
              <w:t>0742649-59.2026.8.07.0000</w:t>
            </w:r>
          </w:p>
        </w:tc>
      </w:tr>
      <w:tr xmlns:wp14="http://schemas.microsoft.com/office/word/2010/wordml" w:rsidTr="7A6EA4F2" w14:paraId="09A71FFC" wp14:textId="77777777">
        <w:tc>
          <w:tcPr>
            <w:tcW w:w="2268" w:type="dxa"/>
            <w:tcMar/>
          </w:tcPr>
          <w:p w14:paraId="15901F2C" wp14:textId="77777777">
            <w:pPr>
              <w:spacing w:before="0" w:after="0" w:line="360" w:lineRule="auto"/>
              <w:jc w:val="left"/>
            </w:pPr>
            <w:r>
              <w:rPr>
                <w:b w:val="0"/>
                <w:i w:val="0"/>
                <w:color w:val="000000"/>
                <w:sz w:val="24"/>
              </w:rPr>
              <w:t>Agravante (s)</w:t>
            </w:r>
          </w:p>
        </w:tc>
        <w:tc>
          <w:tcPr>
            <w:tcW w:w="397" w:type="dxa"/>
            <w:tcMar/>
          </w:tcPr>
          <w:p w14:paraId="18329EB3"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692CFCBD" wp14:textId="77777777">
            <w:pPr>
              <w:spacing w:before="0" w:after="0" w:line="360" w:lineRule="auto"/>
              <w:jc w:val="left"/>
            </w:pPr>
            <w:commentRangeStart w:id="3"/>
            <w:r>
              <w:rPr>
                <w:b w:val="0"/>
                <w:i w:val="0"/>
                <w:color w:val="000000"/>
                <w:sz w:val="24"/>
              </w:rPr>
              <w:t>COOPERATIVA DE CREDITO DE LIVRE ADMISSAO DO BRASIL CENTRAL LTDA. - SICOOB EXECUTIVO</w:t>
            </w:r>
            <w:commentRangeEnd w:id="3"/>
            <w:r>
              <w:rPr>
                <w:rStyle w:val="CommentReference"/>
              </w:rPr>
              <w:commentReference w:id="3"/>
            </w:r>
          </w:p>
        </w:tc>
      </w:tr>
      <w:tr xmlns:wp14="http://schemas.microsoft.com/office/word/2010/wordml" w:rsidTr="7A6EA4F2" w14:paraId="404FA486" wp14:textId="77777777">
        <w:tc>
          <w:tcPr>
            <w:tcW w:w="2268" w:type="dxa"/>
            <w:tcMar/>
          </w:tcPr>
          <w:p w14:paraId="384CDB1A" wp14:textId="77777777">
            <w:pPr>
              <w:spacing w:before="0" w:after="0" w:line="360" w:lineRule="auto"/>
              <w:jc w:val="left"/>
            </w:pPr>
            <w:r>
              <w:rPr>
                <w:b w:val="0"/>
                <w:i w:val="0"/>
                <w:color w:val="000000"/>
                <w:sz w:val="24"/>
              </w:rPr>
              <w:t>Agravado (a)(s)</w:t>
            </w:r>
          </w:p>
        </w:tc>
        <w:tc>
          <w:tcPr>
            <w:tcW w:w="397" w:type="dxa"/>
            <w:tcMar/>
          </w:tcPr>
          <w:p w14:paraId="370CD116"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415C7692" wp14:textId="77777777">
            <w:pPr>
              <w:spacing w:before="0" w:after="0" w:line="360" w:lineRule="auto"/>
              <w:jc w:val="left"/>
            </w:pPr>
            <w:r>
              <w:rPr>
                <w:b w:val="0"/>
                <w:i w:val="0"/>
                <w:color w:val="000000"/>
                <w:sz w:val="24"/>
              </w:rPr>
              <w:t>TOP GAS DF DISTRIBUIDORA, REVENDEDORA E TRANSPORTADORA DE GLP E AGUA MINERAL LTDA</w:t>
            </w:r>
          </w:p>
        </w:tc>
      </w:tr>
      <w:tr xmlns:wp14="http://schemas.microsoft.com/office/word/2010/wordml" w:rsidTr="7A6EA4F2" w14:paraId="3D9F16A8" wp14:textId="77777777">
        <w:tc>
          <w:tcPr>
            <w:tcW w:w="2268" w:type="dxa"/>
            <w:tcMar/>
          </w:tcPr>
          <w:p w14:paraId="42E49AD6" wp14:textId="77777777">
            <w:pPr>
              <w:spacing w:before="0" w:after="0" w:line="360" w:lineRule="auto"/>
              <w:jc w:val="left"/>
            </w:pPr>
            <w:r>
              <w:rPr>
                <w:b w:val="0"/>
                <w:i w:val="0"/>
                <w:color w:val="000000"/>
                <w:sz w:val="24"/>
              </w:rPr>
              <w:t>Relator(a)</w:t>
            </w:r>
          </w:p>
        </w:tc>
        <w:tc>
          <w:tcPr>
            <w:tcW w:w="397" w:type="dxa"/>
            <w:tcMar/>
          </w:tcPr>
          <w:p w14:paraId="69B263F4"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2DE0CA21" wp14:textId="77777777">
            <w:pPr>
              <w:spacing w:before="0" w:after="0" w:line="360" w:lineRule="auto"/>
              <w:jc w:val="left"/>
            </w:pPr>
            <w:r>
              <w:rPr>
                <w:b/>
                <w:i w:val="0"/>
                <w:color w:val="000000"/>
                <w:sz w:val="24"/>
              </w:rPr>
              <w:t>Des. Sérgio Rocha</w:t>
            </w:r>
          </w:p>
        </w:tc>
      </w:tr>
    </w:tbl>
    <w:p xmlns:wp14="http://schemas.microsoft.com/office/word/2010/wordml" w14:paraId="5DAB6C7B" wp14:textId="77777777">
      <w:pPr/>
    </w:p>
    <w:p>
      <w:pPr>
        <w:spacing w:line="360" w:lineRule="auto" w:after="0" w:before="0"/>
        <w:jc w:val="left"/>
      </w:pPr>
      <w:r>
        <w:rPr>
          <w:rFonts w:ascii="Arial" w:hAnsi="Arial" w:cs="Arial"/>
          <w:b/>
          <w:i w:val="0"/>
          <w:color w:val="000000"/>
          <w:sz w:val="28"/>
        </w:rPr>
        <w:t>EMENTA</w:t>
      </w:r>
    </w:p>
    <w:p>
      <w:pPr>
        <w:spacing w:line="360" w:lineRule="auto" w:after="0" w:before="0"/>
        <w:jc w:val="both"/>
      </w:pPr>
      <w:commentRangeStart w:id="0"/>
      <w:r>
        <w:rPr>
          <w:rFonts w:ascii="Arial" w:hAnsi="Arial" w:cs="Arial"/>
          <w:b w:val="0"/>
          <w:i w:val="0"/>
          <w:color w:val="000000"/>
          <w:sz w:val="28"/>
        </w:rPr>
        <w:t>AGRAVO DE INSTRUMENTO. PROCESSO CIVIL. AÇÃO DE BUSCA E APREENSÃO EM ALIENAÇÃO FIDUCIÁRIA. VEÍCULO ENTREGUE À CREDORA. CONVERSÃO EM AÇÃO DE EXECUÇÃO. DECRETO-LEI 911/1969, ART. 4º. IMPOSSIBILIDADE. APURAÇÃO DO SALDO EM VIA PRÓPRIA. SÚMULA 384/STJ. AGRAVO DE INSTRUMENTO NÃO PROVIDO.</w:t>
      </w:r>
      <w:commentRangeEnd w:id="0"/>
      <w:r>
        <w:rPr>
          <w:rStyle w:val="CommentReference"/>
        </w:rPr>
        <w:commentReference w:id="0"/>
      </w:r>
    </w:p>
    <w:p>
      <w:pPr>
        <w:spacing w:line="360" w:lineRule="auto" w:after="0" w:before="0"/>
        <w:jc w:val="both"/>
      </w:pPr>
      <w:r>
        <w:rPr>
          <w:rFonts w:ascii="Arial" w:hAnsi="Arial" w:cs="Arial"/>
          <w:b/>
          <w:i w:val="0"/>
          <w:color w:val="000000"/>
          <w:sz w:val="28"/>
        </w:rPr>
        <w:t>I. Caso em exame</w:t>
      </w:r>
    </w:p>
    <w:p>
      <w:pPr>
        <w:spacing w:line="360" w:lineRule="auto" w:after="0" w:before="0"/>
        <w:jc w:val="both"/>
      </w:pPr>
      <w:commentRangeStart w:id="1"/>
      <w:r>
        <w:rPr>
          <w:rFonts w:ascii="Arial" w:hAnsi="Arial" w:cs="Arial"/>
          <w:b w:val="0"/>
          <w:i w:val="0"/>
          <w:color w:val="000000"/>
          <w:sz w:val="28"/>
        </w:rPr>
        <w:t>1. Ação de busca e apreensão em alienação fiduciária proposta pela Cooperativa de Crédito de Livre Admissão do Brasil Central Ltda. – Sicoob Executivo contra Top Gas DF Distribuidora, Revendedora e Transportadora de GLP e Água Mineral Ltda., a respeito de veículo dado em garantia de cédula de crédito bancário (R$ 269.378,96).</w:t>
      </w:r>
      <w:commentRangeEnd w:id="1"/>
      <w:r>
        <w:rPr>
          <w:rStyle w:val="CommentReference"/>
        </w:rPr>
        <w:commentReference w:id="1"/>
      </w:r>
    </w:p>
    <w:p>
      <w:pPr>
        <w:spacing w:line="360" w:lineRule="auto" w:after="0" w:before="0"/>
        <w:jc w:val="both"/>
      </w:pPr>
      <w:r>
        <w:rPr>
          <w:rFonts w:ascii="Arial" w:hAnsi="Arial" w:cs="Arial"/>
          <w:b w:val="0"/>
          <w:i w:val="0"/>
          <w:color w:val="000000"/>
          <w:sz w:val="28"/>
        </w:rPr>
        <w:t>2. A decisão agravada indeferiu a conversão da ação em execução, determinou o prosseguimento como busca e apreensão e remeteu a eventual prestação de contas a ação autônoma.</w:t>
      </w:r>
    </w:p>
    <w:p>
      <w:pPr>
        <w:spacing w:line="360" w:lineRule="auto" w:after="0" w:before="0"/>
        <w:jc w:val="both"/>
      </w:pPr>
      <w:r>
        <w:rPr>
          <w:rFonts w:ascii="Arial" w:hAnsi="Arial" w:cs="Arial"/>
          <w:b w:val="0"/>
          <w:i w:val="0"/>
          <w:color w:val="000000"/>
          <w:sz w:val="28"/>
        </w:rPr>
        <w:t>3. A autora agrava requerendo a conversão da ação em execução, com imputação do valor do veículo ao débito, ou, subsidiariamente, a manutenção do feito até a transferência registral do veículo.</w:t>
      </w:r>
    </w:p>
    <w:p>
      <w:pPr>
        <w:spacing w:line="360" w:lineRule="auto" w:after="0" w:before="0"/>
        <w:jc w:val="both"/>
      </w:pPr>
      <w:r>
        <w:rPr>
          <w:rFonts w:ascii="Arial" w:hAnsi="Arial" w:cs="Arial"/>
          <w:b/>
          <w:i w:val="0"/>
          <w:color w:val="000000"/>
          <w:sz w:val="28"/>
        </w:rPr>
        <w:t>II. Questão em discussão</w:t>
      </w:r>
    </w:p>
    <w:p>
      <w:pPr>
        <w:spacing w:line="360" w:lineRule="auto" w:after="0" w:before="0"/>
        <w:jc w:val="both"/>
      </w:pPr>
      <w:r>
        <w:rPr>
          <w:rFonts w:ascii="Arial" w:hAnsi="Arial" w:cs="Arial"/>
          <w:b w:val="0"/>
          <w:i w:val="0"/>
          <w:color w:val="000000"/>
          <w:sz w:val="28"/>
        </w:rPr>
        <w:t>4. Há duas questões em discussão: (i) saber se a ação de busca e apreensão pode ser convertida em execução depois de o veículo ter sido apreendido e entregue à credora fiduciária; e (ii) saber se a imputação do valor do veículo e a apuração do saldo remanescente podem ser feitas na própria ação de busca e apreensão.</w:t>
      </w:r>
    </w:p>
    <w:p>
      <w:pPr>
        <w:spacing w:line="360" w:lineRule="auto" w:after="0" w:before="0"/>
        <w:jc w:val="both"/>
      </w:pPr>
      <w:r>
        <w:rPr>
          <w:rFonts w:ascii="Arial" w:hAnsi="Arial" w:cs="Arial"/>
          <w:b/>
          <w:i w:val="0"/>
          <w:color w:val="000000"/>
          <w:sz w:val="28"/>
        </w:rPr>
        <w:t>III. Razões de decidir</w:t>
      </w:r>
    </w:p>
    <w:p>
      <w:pPr>
        <w:spacing w:line="360" w:lineRule="auto" w:after="0" w:before="0"/>
        <w:jc w:val="both"/>
      </w:pPr>
      <w:r>
        <w:rPr>
          <w:rFonts w:ascii="Arial" w:hAnsi="Arial" w:cs="Arial"/>
          <w:b w:val="0"/>
          <w:i w:val="0"/>
          <w:color w:val="000000"/>
          <w:sz w:val="28"/>
        </w:rPr>
        <w:t>5. A conversão da busca e apreensão em execução pressupõe que o bem não seja encontrado ou não esteja na posse do devedor, hipótese que se afere no momento do requerimento, o que não ocorre com o veículo apreendido, liberado por decisão judicial e entregue à credora (DL 911/1969 4º).</w:t>
      </w:r>
    </w:p>
    <w:p>
      <w:pPr>
        <w:spacing w:line="360" w:lineRule="auto" w:after="0" w:before="0"/>
        <w:jc w:val="both"/>
      </w:pPr>
      <w:r>
        <w:rPr>
          <w:rFonts w:ascii="Arial" w:hAnsi="Arial" w:cs="Arial"/>
          <w:b w:val="0"/>
          <w:i w:val="0"/>
          <w:color w:val="000000"/>
          <w:sz w:val="28"/>
        </w:rPr>
        <w:t>6. A conversão não é faculdade exercível a qualquer tempo pelo credor fiduciário nem depende de seu interesse no bem encontrado (REsp 2.019.200/MG).</w:t>
      </w:r>
    </w:p>
    <w:p>
      <w:pPr>
        <w:spacing w:line="360" w:lineRule="auto" w:after="0" w:before="0"/>
        <w:jc w:val="both"/>
      </w:pPr>
      <w:r>
        <w:rPr>
          <w:rFonts w:ascii="Arial" w:hAnsi="Arial" w:cs="Arial"/>
          <w:b w:val="0"/>
          <w:i w:val="0"/>
          <w:color w:val="000000"/>
          <w:sz w:val="28"/>
        </w:rPr>
        <w:t>7. A venda extrajudicial do bem, a imputação do valor alcançado ao débito e a apuração de eventual saldo remanescente não podem ser discutidas na ação de busca e apreensão, que visa à consolidação da propriedade do bem, e o saldo se cobra em via própria (REsp 1.866.230/SP; Súmula 384/STJ).</w:t>
      </w:r>
    </w:p>
    <w:p>
      <w:pPr>
        <w:spacing w:line="360" w:lineRule="auto" w:after="0" w:before="0"/>
        <w:jc w:val="both"/>
      </w:pPr>
      <w:r>
        <w:rPr>
          <w:rFonts w:ascii="Arial" w:hAnsi="Arial" w:cs="Arial"/>
          <w:b/>
          <w:i w:val="0"/>
          <w:color w:val="000000"/>
          <w:sz w:val="28"/>
        </w:rPr>
        <w:t>IV. Dispositivo</w:t>
      </w:r>
    </w:p>
    <w:p>
      <w:pPr>
        <w:spacing w:line="360" w:lineRule="auto" w:after="0" w:before="0"/>
        <w:jc w:val="both"/>
      </w:pPr>
      <w:r>
        <w:rPr>
          <w:rFonts w:ascii="Arial" w:hAnsi="Arial" w:cs="Arial"/>
          <w:b w:val="0"/>
          <w:i w:val="0"/>
          <w:color w:val="000000"/>
          <w:sz w:val="28"/>
        </w:rPr>
        <w:t>8. Negou-se provimento ao agravo de instrumento da autora.</w:t>
      </w:r>
    </w:p>
    <w:p>
      <w:pPr>
        <w:spacing w:line="360" w:lineRule="auto" w:after="0" w:before="0"/>
        <w:jc w:val="both"/>
      </w:pPr>
      <w:r>
        <w:rPr>
          <w:rFonts w:ascii="Arial" w:hAnsi="Arial" w:cs="Arial"/>
          <w:b w:val="0"/>
          <w:i w:val="0"/>
          <w:color w:val="000000"/>
          <w:sz w:val="28"/>
        </w:rPr>
        <w:t>__________</w:t>
      </w:r>
    </w:p>
    <w:p>
      <w:pPr>
        <w:spacing w:line="360" w:lineRule="auto" w:after="0" w:before="0"/>
        <w:jc w:val="both"/>
      </w:pPr>
      <w:r>
        <w:rPr>
          <w:rFonts w:ascii="Arial" w:hAnsi="Arial" w:cs="Arial"/>
          <w:b w:val="0"/>
          <w:i/>
          <w:color w:val="000000"/>
          <w:sz w:val="26"/>
        </w:rPr>
        <w:t>Dispositivos relevantes citados:</w:t>
      </w:r>
      <w:r>
        <w:rPr>
          <w:rFonts w:ascii="Arial" w:hAnsi="Arial" w:cs="Arial"/>
          <w:b w:val="0"/>
          <w:i w:val="0"/>
          <w:color w:val="000000"/>
          <w:sz w:val="26"/>
        </w:rPr>
        <w:t xml:space="preserve"> Decreto-Lei nº 911/1969, art. 4º.</w:t>
      </w:r>
    </w:p>
    <w:p>
      <w:pPr>
        <w:spacing w:line="360" w:lineRule="auto" w:after="0" w:before="0"/>
        <w:jc w:val="both"/>
      </w:pPr>
      <w:commentRangeStart w:id="2"/>
      <w:r>
        <w:rPr>
          <w:rFonts w:ascii="Arial" w:hAnsi="Arial" w:cs="Arial"/>
          <w:b w:val="0"/>
          <w:i/>
          <w:color w:val="000000"/>
          <w:sz w:val="26"/>
        </w:rPr>
        <w:t>Jurisprudência relevante citada:</w:t>
      </w:r>
      <w:r>
        <w:rPr>
          <w:rFonts w:ascii="Arial" w:hAnsi="Arial" w:cs="Arial"/>
          <w:b w:val="0"/>
          <w:i w:val="0"/>
          <w:color w:val="000000"/>
          <w:sz w:val="26"/>
        </w:rPr>
        <w:t xml:space="preserve"> STJ, Súmula nº 384; STJ, REsp nº 2.019.200/MG, Rel. Min. Nancy Andrighi, Terceira Turma, j. 22/11/2022, DJe 24/11/2022; STJ, REsp nº 1.866.230/SP, Rel. Min. Nancy Andrighi, Terceira Turma, j. 22/09/2020, DJe 28/09/2020.</w:t>
      </w:r>
      <w:commentRangeEnd w:id="2"/>
      <w:r>
        <w:rPr>
          <w:rStyle w:val="CommentReference"/>
        </w:rPr>
        <w:commentReference w:id="2"/>
      </w:r>
    </w:p>
    <w:p>
      <w:pPr>
        <w:spacing w:line="360" w:lineRule="auto" w:after="0"/>
        <w:ind w:firstLine="2268"/>
      </w:pPr>
      <w:r>
        <w:rPr>
          <w:sz w:val="28"/>
        </w:rPr>
      </w:r>
    </w:p>
    <w:p>
      <w:pPr>
        <w:spacing w:line="360" w:lineRule="auto" w:after="0"/>
        <w:ind w:firstLine="2268"/>
      </w:pPr>
      <w:r>
        <w:rPr>
          <w:sz w:val="28"/>
        </w:rPr>
      </w:r>
    </w:p>
    <w:p>
      <w:pPr>
        <w:spacing w:line="360" w:lineRule="auto" w:after="0" w:before="0"/>
        <w:jc w:val="both"/>
      </w:pPr>
      <w:commentRangeStart w:id="3"/>
      <w:r>
        <w:rPr>
          <w:rFonts w:ascii="Arial" w:hAnsi="Arial" w:cs="Arial"/>
          <w:b/>
          <w:i w:val="0"/>
          <w:color w:val="EE0000"/>
          <w:sz w:val="28"/>
          <w:highlight w:val="yellow"/>
        </w:rPr>
        <w:t>RESUMO DO AGRAVO EM SENTIDO CONTRÁRIO AO VOTO</w:t>
      </w:r>
      <w:commentRangeEnd w:id="3"/>
      <w:r>
        <w:rPr>
          <w:rStyle w:val="CommentReference"/>
        </w:rPr>
        <w:commentReference w:id="3"/>
      </w:r>
    </w:p>
    <w:p>
      <w:pPr>
        <w:spacing w:line="360" w:lineRule="auto" w:after="0" w:before="0"/>
        <w:jc w:val="both"/>
      </w:pPr>
      <w:r>
        <w:rPr>
          <w:rFonts w:ascii="Arial" w:hAnsi="Arial" w:cs="Arial"/>
          <w:b/>
          <w:i w:val="0"/>
          <w:color w:val="EE0000"/>
          <w:sz w:val="28"/>
        </w:rPr>
        <w:t>I. RAZÕES RECURSAIS</w:t>
      </w:r>
    </w:p>
    <w:p>
      <w:pPr>
        <w:spacing w:line="360" w:lineRule="auto" w:after="0" w:before="0"/>
        <w:jc w:val="both"/>
      </w:pPr>
      <w:r>
        <w:rPr>
          <w:rFonts w:ascii="Arial" w:hAnsi="Arial" w:cs="Arial"/>
          <w:b/>
          <w:i w:val="0"/>
          <w:color w:val="EE0000"/>
          <w:sz w:val="28"/>
        </w:rPr>
        <w:t>1. Retomada da garantia sem desinteresse</w:t>
      </w:r>
    </w:p>
    <w:p>
      <w:pPr>
        <w:spacing w:line="360" w:lineRule="auto" w:after="0" w:before="0"/>
        <w:ind w:hanging="357" w:left="720"/>
        <w:jc w:val="both"/>
      </w:pPr>
      <w:r>
        <w:rPr>
          <w:rFonts w:ascii="Arial" w:hAnsi="Arial" w:cs="Arial"/>
          <w:b w:val="0"/>
          <w:i w:val="0"/>
          <w:color w:val="EE0000"/>
          <w:sz w:val="28"/>
        </w:rPr>
        <w:t>A credora retomou o veículo, pagou as despesas exigidas e recebeu o bem, de modo que não pretende receber o veículo e executar a dívida inteira, mas imputar o valor da garantia ao débito e cobrar só o saldo.</w:t>
      </w:r>
    </w:p>
    <w:p>
      <w:pPr>
        <w:spacing w:line="360" w:lineRule="auto" w:after="0" w:before="0"/>
        <w:jc w:val="both"/>
      </w:pPr>
      <w:r>
        <w:rPr>
          <w:rFonts w:ascii="Arial" w:hAnsi="Arial" w:cs="Arial"/>
          <w:b/>
          <w:i w:val="0"/>
          <w:color w:val="EE0000"/>
          <w:sz w:val="28"/>
        </w:rPr>
        <w:t>2. Unidade da relação obrigacional</w:t>
      </w:r>
    </w:p>
    <w:p>
      <w:pPr>
        <w:spacing w:line="360" w:lineRule="auto" w:after="0" w:before="0"/>
        <w:ind w:hanging="357" w:left="720"/>
        <w:jc w:val="both"/>
      </w:pPr>
      <w:r>
        <w:rPr>
          <w:rFonts w:ascii="Arial" w:hAnsi="Arial" w:cs="Arial"/>
          <w:b w:val="0"/>
          <w:i w:val="0"/>
          <w:color w:val="EE0000"/>
          <w:sz w:val="28"/>
        </w:rPr>
        <w:t>Exigir nova ação fracionaria uma única obrigação, repetiria a prova do título, da mora e da garantia e criaria risco de decisões incompatíveis sobre o valor do veículo, já submetido ao contraditório nestes autos.</w:t>
      </w:r>
    </w:p>
    <w:p>
      <w:pPr>
        <w:spacing w:line="360" w:lineRule="auto" w:after="0" w:before="0"/>
        <w:jc w:val="both"/>
      </w:pPr>
      <w:r>
        <w:rPr>
          <w:rFonts w:ascii="Arial" w:hAnsi="Arial" w:cs="Arial"/>
          <w:b/>
          <w:i w:val="0"/>
          <w:color w:val="EE0000"/>
          <w:sz w:val="28"/>
        </w:rPr>
        <w:t>3. Ausência de prestação de contas</w:t>
      </w:r>
    </w:p>
    <w:p>
      <w:pPr>
        <w:spacing w:line="360" w:lineRule="auto" w:after="0" w:before="0"/>
        <w:ind w:hanging="357" w:left="720"/>
        <w:jc w:val="both"/>
      </w:pPr>
      <w:r>
        <w:rPr>
          <w:rFonts w:ascii="Arial" w:hAnsi="Arial" w:cs="Arial"/>
          <w:b w:val="0"/>
          <w:i w:val="0"/>
          <w:color w:val="EE0000"/>
          <w:sz w:val="28"/>
        </w:rPr>
        <w:t>A pretensão não é de exigir ou prestar contas (REsp 1.866.230/SP), mas de continuar a tutela satisfativa com base na mesma cédula de crédito bancário, título executivo (Lei 10.931/2004, art. 28).</w:t>
      </w:r>
    </w:p>
    <w:p>
      <w:pPr>
        <w:spacing w:line="360" w:lineRule="auto" w:after="0" w:before="0"/>
        <w:jc w:val="both"/>
      </w:pPr>
      <w:r>
        <w:rPr>
          <w:rFonts w:ascii="Arial" w:hAnsi="Arial" w:cs="Arial"/>
          <w:b/>
          <w:i w:val="0"/>
          <w:color w:val="EE0000"/>
          <w:sz w:val="28"/>
        </w:rPr>
        <w:t>4. Distinção do REsp 2.019.200/MG</w:t>
      </w:r>
    </w:p>
    <w:p>
      <w:pPr>
        <w:spacing w:line="360" w:lineRule="auto" w:after="0" w:before="0"/>
        <w:ind w:hanging="357" w:left="720"/>
        <w:jc w:val="both"/>
      </w:pPr>
      <w:r>
        <w:rPr>
          <w:rFonts w:ascii="Arial" w:hAnsi="Arial" w:cs="Arial"/>
          <w:b w:val="0"/>
          <w:i w:val="0"/>
          <w:color w:val="EE0000"/>
          <w:sz w:val="28"/>
        </w:rPr>
        <w:t>O precedente trata de credor que recusa o bem por avarias e débitos de pátio; aqui a credora recebeu o veículo e a conversão serve à cobrança do saldo, e o REsp 2.050.599/DF admite a execução da integralidade da dívida na conversão.</w:t>
      </w:r>
    </w:p>
    <w:p>
      <w:pPr>
        <w:spacing w:line="360" w:lineRule="auto" w:after="0" w:before="0"/>
        <w:jc w:val="both"/>
      </w:pPr>
      <w:r>
        <w:rPr>
          <w:rFonts w:ascii="Arial" w:hAnsi="Arial" w:cs="Arial"/>
          <w:b/>
          <w:i w:val="0"/>
          <w:color w:val="EE0000"/>
          <w:sz w:val="28"/>
        </w:rPr>
        <w:t>5. Coerência procedimental</w:t>
      </w:r>
    </w:p>
    <w:p>
      <w:pPr>
        <w:spacing w:line="360" w:lineRule="auto" w:after="0" w:before="0"/>
        <w:ind w:hanging="357" w:left="720"/>
        <w:jc w:val="both"/>
      </w:pPr>
      <w:r>
        <w:rPr>
          <w:rFonts w:ascii="Arial" w:hAnsi="Arial" w:cs="Arial"/>
          <w:b w:val="0"/>
          <w:i w:val="0"/>
          <w:color w:val="EE0000"/>
          <w:sz w:val="28"/>
        </w:rPr>
        <w:t>O Juízo abriu contraditório sobre a avaliação do veículo no contexto da conversão (ID 279947496, do processo de origem) e depois mudou de orientação, o que contraria a cooperação e o aproveitamento dos atos.</w:t>
      </w:r>
    </w:p>
    <w:p>
      <w:pPr>
        <w:spacing w:line="360" w:lineRule="auto" w:after="0" w:before="0"/>
        <w:jc w:val="both"/>
      </w:pPr>
      <w:r>
        <w:rPr>
          <w:rFonts w:ascii="Arial" w:hAnsi="Arial" w:cs="Arial"/>
          <w:b/>
          <w:i w:val="0"/>
          <w:color w:val="EE0000"/>
          <w:sz w:val="28"/>
        </w:rPr>
        <w:t>6. Pedido subsidiário</w:t>
      </w:r>
    </w:p>
    <w:p>
      <w:pPr>
        <w:spacing w:line="360" w:lineRule="auto" w:after="0" w:before="0"/>
        <w:ind w:hanging="357" w:left="720"/>
        <w:jc w:val="both"/>
      </w:pPr>
      <w:r>
        <w:rPr>
          <w:rFonts w:ascii="Arial" w:hAnsi="Arial" w:cs="Arial"/>
          <w:b w:val="0"/>
          <w:i w:val="0"/>
          <w:color w:val="EE0000"/>
          <w:sz w:val="28"/>
        </w:rPr>
        <w:t>Se mantido o indeferimento, a sentença não deve ser proferida antes da transferência do veículo no DETRAN/DF, da sua alienação e da apuração do saldo.</w:t>
      </w:r>
    </w:p>
    <w:p>
      <w:pPr>
        <w:spacing w:line="360" w:lineRule="auto" w:after="0" w:before="0"/>
        <w:jc w:val="both"/>
      </w:pPr>
      <w:r>
        <w:rPr>
          <w:rFonts w:ascii="Arial" w:hAnsi="Arial" w:cs="Arial"/>
          <w:b/>
          <w:i w:val="0"/>
          <w:color w:val="EE0000"/>
          <w:sz w:val="28"/>
        </w:rPr>
        <w:t>II. PEDIDO</w:t>
      </w:r>
    </w:p>
    <w:p>
      <w:pPr>
        <w:spacing w:line="360" w:lineRule="auto" w:after="0" w:before="0"/>
        <w:ind w:hanging="357" w:left="720"/>
        <w:jc w:val="both"/>
      </w:pPr>
      <w:r>
        <w:rPr>
          <w:rFonts w:ascii="Arial" w:hAnsi="Arial" w:cs="Arial"/>
          <w:b w:val="0"/>
          <w:i w:val="0"/>
          <w:color w:val="EE0000"/>
          <w:sz w:val="28"/>
        </w:rPr>
        <w:t>Requer o provimento do agravo para admitir a conversão da ação em execução, com aproveitamento dos atos praticados e adequação do saldo ao produto da alienação do veículo ou, subsidiariamente, a manutenção do feito até a transferência registral, a alienação do bem e a apuração do saldo.</w:t>
      </w:r>
    </w:p>
    <w:p>
      <w:pPr>
        <w:pageBreakBefore/>
        <w:spacing w:line="360" w:lineRule="auto" w:after="0" w:before="0"/>
        <w:jc w:val="center"/>
      </w:pPr>
      <w:commentRangeStart w:id="4"/>
      <w:r>
        <w:rPr>
          <w:rFonts w:ascii="Arial" w:hAnsi="Arial" w:cs="Arial"/>
          <w:b/>
          <w:i w:val="0"/>
          <w:color w:val="000000"/>
          <w:sz w:val="28"/>
        </w:rPr>
        <w:t>RELATÓRIO</w:t>
      </w:r>
      <w:commentRangeEnd w:id="4"/>
      <w:r>
        <w:rPr>
          <w:rStyle w:val="CommentReference"/>
        </w:rPr>
        <w:commentReference w:id="4"/>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rPr>
        <w:t>Adoto o relatório da liminar (ID 89579127):</w:t>
      </w:r>
    </w:p>
    <w:p>
      <w:pPr>
        <w:spacing w:line="360" w:lineRule="auto" w:after="0"/>
        <w:ind w:firstLine="2268"/>
      </w:pPr>
      <w:r>
        <w:rPr>
          <w:sz w:val="28"/>
        </w:rPr>
      </w:r>
    </w:p>
    <w:p>
      <w:pPr>
        <w:spacing w:line="360" w:lineRule="auto" w:after="0" w:before="0"/>
        <w:ind w:firstLine="1134" w:left="2268"/>
        <w:jc w:val="both"/>
      </w:pPr>
      <w:r>
        <w:rPr>
          <w:rFonts w:ascii="Arial" w:hAnsi="Arial" w:cs="Arial"/>
          <w:b w:val="0"/>
          <w:i/>
          <w:color w:val="000000"/>
          <w:sz w:val="26"/>
        </w:rPr>
        <w:t>“Trata-se de ação de busca e apreensão em alienação fiduciária ajuizada por Cooperativa de Crédito de Livre Admissão do Brasil Central Ltda. – Sicoob Executivo contra Top Gas DF Distribuidora, Revendedora e Transportadora de GLP e Água Mineral Ltda., tendo por objeto o veículo Nissan Frontier Platinum, placa SSK8A75, dado em garantia da Cédula de Crédito Bancário 1033009 (valor da causa — R$ 269.378,96) (ID 89467887).</w:t>
      </w:r>
    </w:p>
    <w:p>
      <w:pPr>
        <w:spacing w:line="360" w:lineRule="auto" w:after="0" w:before="0"/>
        <w:ind w:firstLine="1134" w:left="2268"/>
        <w:jc w:val="both"/>
      </w:pPr>
      <w:r>
        <w:rPr>
          <w:rFonts w:ascii="Arial" w:hAnsi="Arial" w:cs="Arial"/>
          <w:b w:val="0"/>
          <w:i/>
          <w:color w:val="000000"/>
          <w:sz w:val="26"/>
        </w:rPr>
        <w:t>A liminar foi deferida e o veículo foi apreendido pela Polícia Rodoviária Federal.</w:t>
      </w:r>
    </w:p>
    <w:p>
      <w:pPr>
        <w:spacing w:line="360" w:lineRule="auto" w:after="0" w:before="0"/>
        <w:ind w:firstLine="1134" w:left="2268"/>
        <w:jc w:val="both"/>
      </w:pPr>
      <w:r>
        <w:rPr>
          <w:rFonts w:ascii="Arial" w:hAnsi="Arial" w:cs="Arial"/>
          <w:b w:val="0"/>
          <w:i/>
          <w:color w:val="000000"/>
          <w:sz w:val="26"/>
        </w:rPr>
        <w:t>A agravante pagou as despesas, recebeu o veículo e requereu a conversão do feito em execução, com abatimento do valor do bem e das despesas.</w:t>
      </w:r>
    </w:p>
    <w:p>
      <w:pPr>
        <w:spacing w:line="360" w:lineRule="auto" w:after="0" w:before="0"/>
        <w:ind w:firstLine="1134" w:left="2268"/>
        <w:jc w:val="both"/>
      </w:pPr>
      <w:r>
        <w:rPr>
          <w:rFonts w:ascii="Arial" w:hAnsi="Arial" w:cs="Arial"/>
          <w:b w:val="0"/>
          <w:i/>
          <w:color w:val="000000"/>
          <w:sz w:val="26"/>
        </w:rPr>
        <w:t>A r. decisão agravada indeferiu a conversão e determinou o prosseguimento como busca e apreensão (ID 287087802, processo de origem) e remeteu eventual prestação de contas a ação autônoma e ordenou a conclusão para sentença após a preclusão.</w:t>
      </w:r>
    </w:p>
    <w:p>
      <w:pPr>
        <w:spacing w:line="360" w:lineRule="auto" w:after="0" w:before="0"/>
        <w:ind w:firstLine="1134" w:left="2268"/>
        <w:jc w:val="both"/>
      </w:pPr>
      <w:r>
        <w:rPr>
          <w:rFonts w:ascii="Arial" w:hAnsi="Arial" w:cs="Arial"/>
          <w:b w:val="0"/>
          <w:i/>
          <w:color w:val="000000"/>
          <w:sz w:val="26"/>
        </w:rPr>
        <w:t xml:space="preserve">Inconformada, a agravante interpõe o presente agravo de instrumento, sustentando, em síntese, que: </w:t>
      </w:r>
      <w:r>
        <w:rPr>
          <w:rFonts w:ascii="Arial" w:hAnsi="Arial" w:cs="Arial"/>
          <w:b/>
          <w:i/>
          <w:color w:val="000000"/>
          <w:sz w:val="26"/>
        </w:rPr>
        <w:t>1)</w:t>
      </w:r>
      <w:r>
        <w:rPr>
          <w:rFonts w:ascii="Arial" w:hAnsi="Arial" w:cs="Arial"/>
          <w:b w:val="0"/>
          <w:i/>
          <w:color w:val="000000"/>
          <w:sz w:val="26"/>
        </w:rPr>
        <w:t xml:space="preserve"> retomou a garantia e suportou os encargos, sem desinteresse no bem; </w:t>
      </w:r>
      <w:r>
        <w:rPr>
          <w:rFonts w:ascii="Arial" w:hAnsi="Arial" w:cs="Arial"/>
          <w:b/>
          <w:i/>
          <w:color w:val="000000"/>
          <w:sz w:val="26"/>
        </w:rPr>
        <w:t>2)</w:t>
      </w:r>
      <w:r>
        <w:rPr>
          <w:rFonts w:ascii="Arial" w:hAnsi="Arial" w:cs="Arial"/>
          <w:b w:val="0"/>
          <w:i/>
          <w:color w:val="000000"/>
          <w:sz w:val="26"/>
        </w:rPr>
        <w:t xml:space="preserve"> a nova demanda fraciona uma única relação obrigacional; </w:t>
      </w:r>
      <w:r>
        <w:rPr>
          <w:rFonts w:ascii="Arial" w:hAnsi="Arial" w:cs="Arial"/>
          <w:b/>
          <w:i/>
          <w:color w:val="000000"/>
          <w:sz w:val="26"/>
        </w:rPr>
        <w:t>3)</w:t>
      </w:r>
      <w:r>
        <w:rPr>
          <w:rFonts w:ascii="Arial" w:hAnsi="Arial" w:cs="Arial"/>
          <w:b w:val="0"/>
          <w:i/>
          <w:color w:val="000000"/>
          <w:sz w:val="26"/>
        </w:rPr>
        <w:t xml:space="preserve"> não pede prestação de contas, mas a apuração do saldo do próprio título; </w:t>
      </w:r>
      <w:r>
        <w:rPr>
          <w:rFonts w:ascii="Arial" w:hAnsi="Arial" w:cs="Arial"/>
          <w:b/>
          <w:i/>
          <w:color w:val="000000"/>
          <w:sz w:val="26"/>
        </w:rPr>
        <w:t>4)</w:t>
      </w:r>
      <w:r>
        <w:rPr>
          <w:rFonts w:ascii="Arial" w:hAnsi="Arial" w:cs="Arial"/>
          <w:b w:val="0"/>
          <w:i/>
          <w:color w:val="000000"/>
          <w:sz w:val="26"/>
        </w:rPr>
        <w:t xml:space="preserve"> o REsp 2.019.200/MG não alcança o caso.</w:t>
      </w:r>
    </w:p>
    <w:p>
      <w:pPr>
        <w:spacing w:line="360" w:lineRule="auto" w:after="0" w:before="0"/>
        <w:ind w:firstLine="1134" w:left="2268"/>
        <w:jc w:val="both"/>
      </w:pPr>
      <w:r>
        <w:rPr>
          <w:rFonts w:ascii="Arial" w:hAnsi="Arial" w:cs="Arial"/>
          <w:b w:val="0"/>
          <w:i/>
          <w:color w:val="000000"/>
          <w:sz w:val="26"/>
        </w:rPr>
        <w:t>Requer, em sede liminar, a concessão de efeito suspensivo para sustar a determinação de conclusão dos autos de origem para sentença até o julgamento deste recurso.</w:t>
      </w:r>
    </w:p>
    <w:p>
      <w:pPr>
        <w:spacing w:line="360" w:lineRule="auto" w:after="0" w:before="0"/>
        <w:ind w:firstLine="1134" w:left="2268"/>
        <w:jc w:val="both"/>
      </w:pPr>
      <w:r>
        <w:rPr>
          <w:rFonts w:ascii="Arial" w:hAnsi="Arial" w:cs="Arial"/>
          <w:b w:val="0"/>
          <w:i/>
          <w:color w:val="000000"/>
          <w:sz w:val="26"/>
        </w:rPr>
        <w:t>No mérito, postula o provimento do recurso para admitir a conversão da ação em execução ou, subsidiariamente, a manutenção do feito para a transferência registral do veículo perante o DETRAN/DF.”</w:t>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rPr>
        <w:t>Indeferi o efeito suspensivo (ID 89579127).</w:t>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rPr>
        <w:t xml:space="preserve">Em contrarrazões, a agravada, TOP GAS DF DISTRIBUIDORA, REVENDEDORA E TRANSPORTADORA DE GLP E ÁGUA MINERAL LTDA., sustenta que: </w:t>
      </w:r>
      <w:r>
        <w:rPr>
          <w:rFonts w:ascii="Arial" w:hAnsi="Arial" w:cs="Arial"/>
          <w:b/>
          <w:i w:val="0"/>
          <w:color w:val="000000"/>
          <w:sz w:val="28"/>
        </w:rPr>
        <w:t>1)</w:t>
      </w:r>
      <w:r>
        <w:rPr>
          <w:rFonts w:ascii="Arial" w:hAnsi="Arial" w:cs="Arial"/>
          <w:b w:val="0"/>
          <w:i w:val="0"/>
          <w:color w:val="000000"/>
          <w:sz w:val="28"/>
        </w:rPr>
        <w:t xml:space="preserve"> a busca e apreensão alcançou sua finalidade, pois o veículo foi apreendido e entregue à credora, e a conversão exige que o bem não seja encontrado ou não esteja na posse do devedor (DL 911/1969 4º); </w:t>
      </w:r>
      <w:r>
        <w:rPr>
          <w:rFonts w:ascii="Arial" w:hAnsi="Arial" w:cs="Arial"/>
          <w:b/>
          <w:i w:val="0"/>
          <w:color w:val="000000"/>
          <w:sz w:val="28"/>
        </w:rPr>
        <w:t>2)</w:t>
      </w:r>
      <w:r>
        <w:rPr>
          <w:rFonts w:ascii="Arial" w:hAnsi="Arial" w:cs="Arial"/>
          <w:b w:val="0"/>
          <w:i w:val="0"/>
          <w:color w:val="000000"/>
          <w:sz w:val="28"/>
        </w:rPr>
        <w:t xml:space="preserve"> o REsp 2.019.200/MG afasta a conversão como faculdade exercível a qualquer tempo; </w:t>
      </w:r>
      <w:r>
        <w:rPr>
          <w:rFonts w:ascii="Arial" w:hAnsi="Arial" w:cs="Arial"/>
          <w:b/>
          <w:i w:val="0"/>
          <w:color w:val="000000"/>
          <w:sz w:val="28"/>
        </w:rPr>
        <w:t>3)</w:t>
      </w:r>
      <w:r>
        <w:rPr>
          <w:rFonts w:ascii="Arial" w:hAnsi="Arial" w:cs="Arial"/>
          <w:b w:val="0"/>
          <w:i w:val="0"/>
          <w:color w:val="000000"/>
          <w:sz w:val="28"/>
        </w:rPr>
        <w:t xml:space="preserve"> a pendência da regularização registral e da alienação do veículo não torna frustrada a busca e apreensão exitosa, e o saldo depende de evento futuro; </w:t>
      </w:r>
      <w:r>
        <w:rPr>
          <w:rFonts w:ascii="Arial" w:hAnsi="Arial" w:cs="Arial"/>
          <w:b/>
          <w:i w:val="0"/>
          <w:color w:val="000000"/>
          <w:sz w:val="28"/>
        </w:rPr>
        <w:t>4)</w:t>
      </w:r>
      <w:r>
        <w:rPr>
          <w:rFonts w:ascii="Arial" w:hAnsi="Arial" w:cs="Arial"/>
          <w:b w:val="0"/>
          <w:i w:val="0"/>
          <w:color w:val="000000"/>
          <w:sz w:val="28"/>
        </w:rPr>
        <w:t xml:space="preserve"> o REsp 1.866.230/SP afasta a discussão da imputação e do saldo na busca e apreensão; </w:t>
      </w:r>
      <w:r>
        <w:rPr>
          <w:rFonts w:ascii="Arial" w:hAnsi="Arial" w:cs="Arial"/>
          <w:b/>
          <w:i w:val="0"/>
          <w:color w:val="000000"/>
          <w:sz w:val="28"/>
        </w:rPr>
        <w:t>5)</w:t>
      </w:r>
      <w:r>
        <w:rPr>
          <w:rFonts w:ascii="Arial" w:hAnsi="Arial" w:cs="Arial"/>
          <w:b w:val="0"/>
          <w:i w:val="0"/>
          <w:color w:val="000000"/>
          <w:sz w:val="28"/>
        </w:rPr>
        <w:t xml:space="preserve"> o pedido subsidiário de transferência registral não foi apreciado na origem, e seu exame pelo Tribunal suprimiria instância (ID 89973812).</w:t>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rPr>
        <w:t>É o relatório.</w:t>
      </w:r>
    </w:p>
    <w:p>
      <w:pPr>
        <w:pageBreakBefore/>
        <w:spacing w:line="360" w:lineRule="auto" w:after="0" w:before="0"/>
        <w:jc w:val="center"/>
      </w:pPr>
      <w:r>
        <w:rPr>
          <w:rFonts w:ascii="Arial" w:hAnsi="Arial" w:cs="Arial"/>
          <w:b/>
          <w:i w:val="0"/>
          <w:color w:val="000000"/>
          <w:sz w:val="28"/>
        </w:rPr>
        <w:t>VOTO</w:t>
      </w:r>
    </w:p>
    <w:p>
      <w:pPr>
        <w:spacing w:line="360" w:lineRule="auto" w:after="0"/>
        <w:ind w:firstLine="2268"/>
      </w:pPr>
      <w:r>
        <w:rPr>
          <w:sz w:val="28"/>
        </w:rPr>
      </w:r>
    </w:p>
    <w:p>
      <w:pPr>
        <w:spacing w:line="360" w:lineRule="auto" w:after="0" w:before="0"/>
        <w:jc w:val="both"/>
      </w:pPr>
      <w:r>
        <w:rPr>
          <w:rFonts w:ascii="Arial" w:hAnsi="Arial" w:cs="Arial"/>
          <w:b/>
          <w:i w:val="0"/>
          <w:color w:val="000000"/>
          <w:sz w:val="28"/>
        </w:rPr>
        <w:t>O Senhor Desembargador SÉRGIO ROCHA – Relator.</w:t>
      </w:r>
    </w:p>
    <w:p>
      <w:pPr>
        <w:spacing w:line="360" w:lineRule="auto" w:after="0"/>
        <w:ind w:firstLine="2268"/>
      </w:pPr>
      <w:r>
        <w:rPr>
          <w:sz w:val="28"/>
        </w:rPr>
      </w:r>
    </w:p>
    <w:p>
      <w:pPr>
        <w:spacing w:line="360" w:lineRule="auto" w:after="0" w:before="0"/>
        <w:jc w:val="center"/>
      </w:pPr>
      <w:r>
        <w:rPr>
          <w:rFonts w:ascii="Arial" w:hAnsi="Arial" w:cs="Arial"/>
          <w:b/>
          <w:i w:val="0"/>
          <w:color w:val="000000"/>
          <w:sz w:val="28"/>
        </w:rPr>
        <w:t>AGRAVO DE INSTRUMENTO DA AUTORA, COOPERATIVA DE CRÉDITO DE LIVRE ADMISSÃO DO BRASIL CENTRAL LTDA. – SICOOB EXECUTIVO</w:t>
      </w:r>
    </w:p>
    <w:p>
      <w:pPr>
        <w:spacing w:line="360" w:lineRule="auto" w:after="0"/>
        <w:ind w:firstLine="2268"/>
      </w:pPr>
      <w:r>
        <w:rPr>
          <w:sz w:val="28"/>
        </w:rPr>
      </w:r>
    </w:p>
    <w:p>
      <w:pPr>
        <w:spacing w:line="360" w:lineRule="auto" w:after="0" w:before="0"/>
        <w:ind w:firstLine="2268"/>
        <w:jc w:val="both"/>
      </w:pPr>
      <w:commentRangeStart w:id="5"/>
      <w:r>
        <w:rPr>
          <w:rFonts w:ascii="Arial" w:hAnsi="Arial" w:cs="Arial"/>
          <w:b w:val="0"/>
          <w:i w:val="0"/>
          <w:color w:val="000000"/>
          <w:sz w:val="28"/>
        </w:rPr>
        <w:t>Presentes os pressupostos de admissibilidade, conheço do agravo de instrumento.</w:t>
      </w:r>
      <w:commentRangeEnd w:id="5"/>
      <w:r>
        <w:rPr>
          <w:rStyle w:val="CommentReference"/>
        </w:rPr>
        <w:commentReference w:id="5"/>
      </w:r>
    </w:p>
    <w:p>
      <w:pPr>
        <w:spacing w:line="360" w:lineRule="auto" w:after="0"/>
        <w:ind w:firstLine="2268"/>
      </w:pPr>
      <w:r>
        <w:rPr>
          <w:sz w:val="28"/>
        </w:rPr>
      </w:r>
    </w:p>
    <w:p>
      <w:pPr>
        <w:spacing w:line="360" w:lineRule="auto" w:after="0" w:before="0"/>
        <w:jc w:val="center"/>
      </w:pPr>
      <w:r>
        <w:rPr>
          <w:rFonts w:ascii="Arial" w:hAnsi="Arial" w:cs="Arial"/>
          <w:b w:val="0"/>
          <w:i w:val="0"/>
          <w:color w:val="000000"/>
          <w:sz w:val="28"/>
          <w:highlight w:val="yellow"/>
        </w:rPr>
        <w:t>DA IMPOSSIBILIDADE DE CONVERSÃO DA BUSCA E APREENSÃO EM EXECUÇÃO APÓS A ENTREGA DO VEÍCULO À CREDORA</w:t>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rPr>
        <w:t xml:space="preserve">A autora/agravante alega que: </w:t>
      </w:r>
      <w:r>
        <w:rPr>
          <w:rFonts w:ascii="Arial" w:hAnsi="Arial" w:cs="Arial"/>
          <w:b/>
          <w:i w:val="0"/>
          <w:color w:val="000000"/>
          <w:sz w:val="28"/>
        </w:rPr>
        <w:t>1)</w:t>
      </w:r>
      <w:r>
        <w:rPr>
          <w:rFonts w:ascii="Arial" w:hAnsi="Arial" w:cs="Arial"/>
          <w:b w:val="0"/>
          <w:i w:val="0"/>
          <w:color w:val="000000"/>
          <w:sz w:val="28"/>
        </w:rPr>
        <w:t xml:space="preserve"> retomou o veículo, suportou os encargos exigidos para sua liberação e não tem desinteresse na garantia, pois pretende imputar o valor do bem ao débito e cobrar só o saldo; </w:t>
      </w:r>
      <w:r>
        <w:rPr>
          <w:rFonts w:ascii="Arial" w:hAnsi="Arial" w:cs="Arial"/>
          <w:b/>
          <w:i w:val="0"/>
          <w:color w:val="000000"/>
          <w:sz w:val="28"/>
        </w:rPr>
        <w:t>2)</w:t>
      </w:r>
      <w:r>
        <w:rPr>
          <w:rFonts w:ascii="Arial" w:hAnsi="Arial" w:cs="Arial"/>
          <w:b w:val="0"/>
          <w:i w:val="0"/>
          <w:color w:val="000000"/>
          <w:sz w:val="28"/>
        </w:rPr>
        <w:t xml:space="preserve"> a exigência de nova ação fraciona uma única relação obrigacional e desconsidera o contraditório já exercido sobre a avaliação do veículo; </w:t>
      </w:r>
      <w:r>
        <w:rPr>
          <w:rFonts w:ascii="Arial" w:hAnsi="Arial" w:cs="Arial"/>
          <w:b/>
          <w:i w:val="0"/>
          <w:color w:val="000000"/>
          <w:sz w:val="28"/>
        </w:rPr>
        <w:t>3)</w:t>
      </w:r>
      <w:r>
        <w:rPr>
          <w:rFonts w:ascii="Arial" w:hAnsi="Arial" w:cs="Arial"/>
          <w:b w:val="0"/>
          <w:i w:val="0"/>
          <w:color w:val="000000"/>
          <w:sz w:val="28"/>
        </w:rPr>
        <w:t xml:space="preserve"> não pede prestação de contas, mas a continuidade da tutela satisfativa fundada na cédula de crédito bancário, título executivo; </w:t>
      </w:r>
      <w:r>
        <w:rPr>
          <w:rFonts w:ascii="Arial" w:hAnsi="Arial" w:cs="Arial"/>
          <w:b/>
          <w:i w:val="0"/>
          <w:color w:val="000000"/>
          <w:sz w:val="28"/>
        </w:rPr>
        <w:t>4)</w:t>
      </w:r>
      <w:r>
        <w:rPr>
          <w:rFonts w:ascii="Arial" w:hAnsi="Arial" w:cs="Arial"/>
          <w:b w:val="0"/>
          <w:i w:val="0"/>
          <w:color w:val="000000"/>
          <w:sz w:val="28"/>
        </w:rPr>
        <w:t xml:space="preserve"> o REsp 2.019.200/MG não alcança o caso, pois a credora recebeu o bem; </w:t>
      </w:r>
      <w:r>
        <w:rPr>
          <w:rFonts w:ascii="Arial" w:hAnsi="Arial" w:cs="Arial"/>
          <w:b/>
          <w:i w:val="0"/>
          <w:color w:val="000000"/>
          <w:sz w:val="28"/>
        </w:rPr>
        <w:t>5)</w:t>
      </w:r>
      <w:r>
        <w:rPr>
          <w:rFonts w:ascii="Arial" w:hAnsi="Arial" w:cs="Arial"/>
          <w:b w:val="0"/>
          <w:i w:val="0"/>
          <w:color w:val="000000"/>
          <w:sz w:val="28"/>
        </w:rPr>
        <w:t xml:space="preserve"> subsidiariamente, a sentença não pode ser proferida antes da transferência registral do veículo (ID 89467886).</w:t>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rPr>
        <w:t>Requer a reforma da r. decisão agravada para admitir a conversão da ação em execução ou, subsidiariamente, manter o feito até a transferência registral do veículo.</w:t>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highlight w:val="yellow"/>
        </w:rPr>
        <w:t>Sem razão.</w:t>
      </w:r>
    </w:p>
    <w:p>
      <w:pPr>
        <w:spacing w:line="360" w:lineRule="auto" w:after="0"/>
        <w:ind w:firstLine="2268"/>
      </w:pPr>
      <w:r>
        <w:rPr>
          <w:sz w:val="28"/>
        </w:rPr>
      </w:r>
    </w:p>
    <w:p>
      <w:pPr>
        <w:spacing w:line="360" w:lineRule="auto" w:after="0" w:before="0"/>
        <w:ind w:firstLine="2268"/>
        <w:jc w:val="both"/>
      </w:pPr>
      <w:commentRangeStart w:id="6"/>
      <w:r>
        <w:rPr>
          <w:rFonts w:ascii="Arial" w:hAnsi="Arial" w:cs="Arial"/>
          <w:b w:val="0"/>
          <w:i w:val="0"/>
          <w:color w:val="000000"/>
          <w:sz w:val="28"/>
        </w:rPr>
        <w:t>Mantenho as razões expostas na decisão liminar que indeferiu o pedido de efeito suspensivo (ID 89579127):</w:t>
      </w:r>
      <w:commentRangeEnd w:id="6"/>
      <w:r>
        <w:rPr>
          <w:rStyle w:val="CommentReference"/>
        </w:rPr>
        <w:commentReference w:id="6"/>
      </w:r>
    </w:p>
    <w:p>
      <w:pPr>
        <w:spacing w:line="360" w:lineRule="auto" w:after="0"/>
        <w:ind w:firstLine="2268"/>
      </w:pPr>
      <w:r>
        <w:rPr>
          <w:sz w:val="28"/>
        </w:rPr>
      </w:r>
    </w:p>
    <w:p>
      <w:pPr>
        <w:spacing w:line="360" w:lineRule="auto" w:after="0" w:before="0"/>
        <w:ind w:firstLine="1134" w:left="2268"/>
        <w:jc w:val="both"/>
      </w:pPr>
      <w:r>
        <w:rPr>
          <w:rFonts w:ascii="Arial" w:hAnsi="Arial" w:cs="Arial"/>
          <w:b w:val="0"/>
          <w:i/>
          <w:color w:val="000000"/>
          <w:sz w:val="26"/>
        </w:rPr>
        <w:t>“(...) A conversão pressupõe bem não encontrado ou fora da posse do devedor (Decreto-Lei 911/1969 4º).</w:t>
      </w:r>
    </w:p>
    <w:p>
      <w:pPr>
        <w:spacing w:line="360" w:lineRule="auto" w:after="0" w:before="0"/>
        <w:ind w:left="3402"/>
        <w:jc w:val="both"/>
      </w:pPr>
      <w:r>
        <w:rPr>
          <w:rFonts w:ascii="Arial" w:hAnsi="Arial" w:cs="Arial"/>
          <w:b w:val="0"/>
          <w:i/>
          <w:color w:val="000000"/>
          <w:sz w:val="26"/>
        </w:rPr>
        <w:t>‘Art. 4º Se o bem alienado fiduciariamente não for encontrado ou não se achar na posse do devedor, fica facultado ao credor requerer, nos mesmos autos, a conversão do pedido de busca e apreensão em ação executiva (...)’</w:t>
      </w:r>
    </w:p>
    <w:p>
      <w:pPr>
        <w:spacing w:line="360" w:lineRule="auto" w:after="0" w:before="0"/>
        <w:ind w:firstLine="1134" w:left="2268"/>
        <w:jc w:val="both"/>
      </w:pPr>
      <w:r>
        <w:rPr>
          <w:rFonts w:ascii="Arial" w:hAnsi="Arial" w:cs="Arial"/>
          <w:b w:val="0"/>
          <w:i/>
          <w:color w:val="000000"/>
          <w:sz w:val="26"/>
        </w:rPr>
        <w:t>A hipótese legal afere-se no momento do requerimento de conversão.</w:t>
      </w:r>
    </w:p>
    <w:p>
      <w:pPr>
        <w:spacing w:line="360" w:lineRule="auto" w:after="0" w:before="0"/>
        <w:ind w:firstLine="1134" w:left="2268"/>
        <w:jc w:val="both"/>
      </w:pPr>
      <w:r>
        <w:rPr>
          <w:rFonts w:ascii="Arial" w:hAnsi="Arial" w:cs="Arial"/>
          <w:b w:val="0"/>
          <w:i/>
          <w:color w:val="000000"/>
          <w:sz w:val="26"/>
        </w:rPr>
        <w:t>No caso, o veículo já estava apreendido, liberado por decisão judicial e entregue à agravante.</w:t>
      </w:r>
    </w:p>
    <w:p>
      <w:pPr>
        <w:spacing w:line="360" w:lineRule="auto" w:after="0" w:before="0"/>
        <w:ind w:firstLine="1134" w:left="2268"/>
        <w:jc w:val="both"/>
      </w:pPr>
      <w:r>
        <w:rPr>
          <w:rFonts w:ascii="Arial" w:hAnsi="Arial" w:cs="Arial"/>
          <w:b w:val="0"/>
          <w:i/>
          <w:color w:val="000000"/>
          <w:sz w:val="26"/>
        </w:rPr>
        <w:t>A conversão também não é faculdade exercível a qualquer tempo pelo credor.</w:t>
      </w:r>
    </w:p>
    <w:p>
      <w:pPr>
        <w:spacing w:line="360" w:lineRule="auto" w:after="0" w:before="0"/>
        <w:ind w:firstLine="1134" w:left="2268"/>
        <w:jc w:val="both"/>
      </w:pPr>
      <w:r>
        <w:rPr>
          <w:rFonts w:ascii="Arial" w:hAnsi="Arial" w:cs="Arial"/>
          <w:b w:val="0"/>
          <w:i/>
          <w:color w:val="000000"/>
          <w:sz w:val="26"/>
        </w:rPr>
        <w:t>Nesse sentido:</w:t>
      </w:r>
    </w:p>
    <w:p>
      <w:pPr>
        <w:spacing w:line="360" w:lineRule="auto" w:after="0" w:before="0"/>
        <w:ind w:left="3402"/>
        <w:jc w:val="both"/>
      </w:pPr>
      <w:r>
        <w:rPr>
          <w:rFonts w:ascii="Arial" w:hAnsi="Arial" w:cs="Arial"/>
          <w:b w:val="0"/>
          <w:i/>
          <w:color w:val="000000"/>
          <w:sz w:val="26"/>
        </w:rPr>
        <w:t>‘(...) 6. A conversão da ação de busca e apreensão não se trata de faculdade a ser exercida a qualquer momento e ad eternum pelo credor fiduciário. Trata-se de prerrogativa possível (I) no juízo prévio de escolha entre duas ações igualmente viáveis, mas com procedimentos e finalidades distintos, ou (II) quando a busca e apreensão se mostrar infrutífera por ausência de localização do bem ou por este se encontrar em posse de outrem. Não está, portanto, atrelada ao ‘interesse’ ou ‘desinteresse’ do credor no objeto alienado quando este é encontrado em natural estado de conservação (...)’ (REsp n. 2.019.200/MG, relatora Ministra Nancy Andrighi, Terceira Turma, julgado em 22/11/2022, DJe de 24/11/2022.) – Grifei</w:t>
      </w:r>
    </w:p>
    <w:p>
      <w:pPr>
        <w:spacing w:line="360" w:lineRule="auto" w:after="0" w:before="0"/>
        <w:ind w:firstLine="1134" w:left="2268"/>
        <w:jc w:val="both"/>
      </w:pPr>
      <w:r>
        <w:rPr>
          <w:rFonts w:ascii="Arial" w:hAnsi="Arial" w:cs="Arial"/>
          <w:b w:val="0"/>
          <w:i/>
          <w:color w:val="000000"/>
          <w:sz w:val="26"/>
        </w:rPr>
        <w:t>Por outro lado, a apuração do saldo não deve ser feita nestes autos.</w:t>
      </w:r>
    </w:p>
    <w:p>
      <w:pPr>
        <w:spacing w:line="360" w:lineRule="auto" w:after="0" w:before="0"/>
        <w:ind w:left="3402"/>
        <w:jc w:val="both"/>
      </w:pPr>
      <w:r>
        <w:rPr>
          <w:rFonts w:ascii="Arial" w:hAnsi="Arial" w:cs="Arial"/>
          <w:b w:val="0"/>
          <w:i/>
          <w:color w:val="000000"/>
          <w:sz w:val="26"/>
        </w:rPr>
        <w:t>‘(...) 6. As questões concernentes à venda extrajudicial do bem, imputação do valor alcançado no pagamento do débito e apuração acerca de eventual saldo remanescente em favor do devedor não podem ser discutidas, incidentalmente, no bojo da ação de busca e apreensão que, como se sabe, visa tão somente à consolidação da propriedade do bem no patrimônio do credor fiduciário. (...)’ (REsp n. 1.866.230/SP, relatora Ministra Nancy Andrighi, Terceira Turma, julgado em 22/9/2020, DJe de 28/9/2020.) – Grifei</w:t>
      </w:r>
    </w:p>
    <w:p>
      <w:pPr>
        <w:spacing w:line="360" w:lineRule="auto" w:after="0" w:before="0"/>
        <w:ind w:firstLine="1134" w:left="2268"/>
        <w:jc w:val="both"/>
      </w:pPr>
      <w:r>
        <w:rPr>
          <w:rFonts w:ascii="Arial" w:hAnsi="Arial" w:cs="Arial"/>
          <w:b w:val="0"/>
          <w:i/>
          <w:color w:val="000000"/>
          <w:sz w:val="26"/>
        </w:rPr>
        <w:t>A via própria está prevista na Súmula 384/STJ:</w:t>
      </w:r>
    </w:p>
    <w:p>
      <w:pPr>
        <w:spacing w:line="360" w:lineRule="auto" w:after="0" w:before="0"/>
        <w:ind w:left="3402"/>
        <w:jc w:val="both"/>
      </w:pPr>
      <w:r>
        <w:rPr>
          <w:rFonts w:ascii="Arial" w:hAnsi="Arial" w:cs="Arial"/>
          <w:b w:val="0"/>
          <w:i/>
          <w:color w:val="000000"/>
          <w:sz w:val="26"/>
        </w:rPr>
        <w:t>‘Cabe ação monitória para haver saldo remanescente oriundo de venda extrajudicial de bem alienado fiduciariamente em garantia.’ (Súmula 384 do Superior Tribunal de Justiça.)</w:t>
      </w:r>
    </w:p>
    <w:p>
      <w:pPr>
        <w:spacing w:line="360" w:lineRule="auto" w:after="0" w:before="0"/>
        <w:ind w:firstLine="1134" w:left="2268"/>
        <w:jc w:val="both"/>
      </w:pPr>
      <w:r>
        <w:rPr>
          <w:rFonts w:ascii="Arial" w:hAnsi="Arial" w:cs="Arial"/>
          <w:b w:val="0"/>
          <w:i/>
          <w:color w:val="000000"/>
          <w:sz w:val="26"/>
        </w:rPr>
        <w:t>No mais, o pedido subsidiário de transferência registral não foi apreciado na origem e seu exame direto por esta instância configuraria supressão.” (ID 89579127)</w:t>
      </w:r>
    </w:p>
    <w:p>
      <w:pPr>
        <w:spacing w:line="360" w:lineRule="auto" w:after="0"/>
        <w:ind w:firstLine="2268"/>
      </w:pPr>
      <w:r>
        <w:rPr>
          <w:sz w:val="28"/>
        </w:rPr>
      </w:r>
    </w:p>
    <w:p>
      <w:pPr>
        <w:spacing w:line="360" w:lineRule="auto" w:after="0" w:before="0"/>
        <w:ind w:firstLine="2268"/>
        <w:jc w:val="both"/>
      </w:pPr>
      <w:commentRangeStart w:id="7"/>
      <w:r>
        <w:rPr>
          <w:rFonts w:ascii="Arial" w:hAnsi="Arial" w:cs="Arial"/>
          <w:b w:val="0"/>
          <w:i w:val="0"/>
          <w:color w:val="000000"/>
          <w:sz w:val="28"/>
        </w:rPr>
        <w:t xml:space="preserve">Desse modo, ausente elemento novo capaz de infirmar os fundamentos já expostos, </w:t>
      </w:r>
      <w:r>
        <w:rPr>
          <w:rFonts w:ascii="Arial" w:hAnsi="Arial" w:cs="Arial"/>
          <w:b w:val="0"/>
          <w:i w:val="0"/>
          <w:color w:val="000000"/>
          <w:sz w:val="28"/>
          <w:highlight w:val="yellow"/>
        </w:rPr>
        <w:t>deve ser mantida a r. decisão agravada que indeferiu a conversão da ação de busca e apreensão em execução e determinou o prosseguimento do feito</w:t>
      </w:r>
      <w:r>
        <w:rPr>
          <w:rFonts w:ascii="Arial" w:hAnsi="Arial" w:cs="Arial"/>
          <w:b w:val="0"/>
          <w:i w:val="0"/>
          <w:color w:val="000000"/>
          <w:sz w:val="28"/>
        </w:rPr>
        <w:t xml:space="preserve"> (ID 287087802, do processo de origem).</w:t>
      </w:r>
      <w:commentRangeEnd w:id="7"/>
      <w:r>
        <w:rPr>
          <w:rStyle w:val="CommentReference"/>
        </w:rPr>
        <w:commentReference w:id="7"/>
      </w:r>
    </w:p>
    <w:p>
      <w:pPr>
        <w:spacing w:line="360" w:lineRule="auto" w:after="0"/>
        <w:ind w:firstLine="2268"/>
      </w:pPr>
      <w:r>
        <w:rPr>
          <w:sz w:val="28"/>
        </w:rPr>
      </w:r>
    </w:p>
    <w:p>
      <w:pPr>
        <w:spacing w:line="360" w:lineRule="auto" w:after="0" w:before="0"/>
        <w:jc w:val="center"/>
      </w:pPr>
      <w:r>
        <w:rPr>
          <w:rFonts w:ascii="Arial" w:hAnsi="Arial" w:cs="Arial"/>
          <w:b/>
          <w:i w:val="0"/>
          <w:color w:val="000000"/>
          <w:sz w:val="28"/>
        </w:rPr>
        <w:t>DISPOSITIVO</w:t>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rPr>
        <w:t xml:space="preserve">Ante o exposto, conheço do agravo de instrumento da autora, COOPERATIVA DE CRÉDITO DE LIVRE ADMISSÃO DO BRASIL CENTRAL LTDA. – SICOOB EXECUTIVO, e </w:t>
      </w:r>
      <w:r>
        <w:rPr>
          <w:rFonts w:ascii="Arial" w:hAnsi="Arial" w:cs="Arial"/>
          <w:b/>
          <w:i w:val="0"/>
          <w:color w:val="000000"/>
          <w:sz w:val="28"/>
        </w:rPr>
        <w:t>nego-lhe provimento</w:t>
      </w:r>
      <w:r>
        <w:rPr>
          <w:rFonts w:ascii="Arial" w:hAnsi="Arial" w:cs="Arial"/>
          <w:b w:val="0"/>
          <w:i w:val="0"/>
          <w:color w:val="000000"/>
          <w:sz w:val="28"/>
        </w:rPr>
        <w:t>.</w:t>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rPr>
        <w:t>É como voto.</w:t>
      </w:r>
    </w:p>
    <w:p>
      <w:pPr>
        <w:spacing w:line="360" w:lineRule="auto" w:after="0"/>
        <w:ind w:firstLine="2268"/>
      </w:pPr>
      <w:r>
        <w:rPr>
          <w:sz w:val="28"/>
        </w:rPr>
      </w:r>
    </w:p>
    <w:p>
      <w:pPr>
        <w:pageBreakBefore/>
        <w:spacing w:line="360" w:lineRule="auto" w:after="0" w:before="0"/>
        <w:jc w:val="center"/>
      </w:pPr>
      <w:r>
        <w:rPr>
          <w:rFonts w:ascii="Arial" w:hAnsi="Arial" w:cs="Arial"/>
          <w:b/>
          <w:i w:val="0"/>
          <w:color w:val="00B050"/>
          <w:sz w:val="27"/>
        </w:rPr>
        <w:t>DECISÃO AGRAVADA (ID 287087802 do processo de origem)</w:t>
      </w:r>
    </w:p>
    <w:p>
      <w:pPr>
        <w:spacing w:line="360" w:lineRule="auto" w:after="0" w:before="0"/>
        <w:jc w:val="both"/>
      </w:pPr>
      <w:r>
        <w:rPr>
          <w:rFonts w:ascii="Arial" w:hAnsi="Arial" w:cs="Arial"/>
          <w:b w:val="0"/>
          <w:i w:val="0"/>
          <w:color w:val="00B050"/>
          <w:sz w:val="27"/>
        </w:rPr>
        <w:t>Poder Judiciário da União</w:t>
      </w:r>
    </w:p>
    <w:p>
      <w:pPr>
        <w:spacing w:line="360" w:lineRule="auto" w:after="0" w:before="0"/>
        <w:jc w:val="both"/>
      </w:pPr>
      <w:r>
        <w:rPr>
          <w:rFonts w:ascii="Arial" w:hAnsi="Arial" w:cs="Arial"/>
          <w:b w:val="0"/>
          <w:i w:val="0"/>
          <w:color w:val="00B050"/>
          <w:sz w:val="27"/>
        </w:rPr>
        <w:t>TRIBUNAL DE JUSTIÇA DO DISTRITO FEDERAL E DOS TERRITÓRIOS</w:t>
      </w:r>
    </w:p>
    <w:p>
      <w:pPr>
        <w:spacing w:line="360" w:lineRule="auto" w:after="0" w:before="0"/>
        <w:jc w:val="both"/>
      </w:pPr>
      <w:r>
        <w:rPr>
          <w:rFonts w:ascii="Arial" w:hAnsi="Arial" w:cs="Arial"/>
          <w:b w:val="0"/>
          <w:i w:val="0"/>
          <w:color w:val="00B050"/>
          <w:sz w:val="27"/>
        </w:rPr>
        <w:t>2ª Vara Cível de Sobradinho</w:t>
      </w:r>
    </w:p>
    <w:p>
      <w:pPr>
        <w:spacing w:line="360" w:lineRule="auto" w:after="0" w:before="0"/>
        <w:jc w:val="both"/>
      </w:pPr>
      <w:r>
        <w:rPr>
          <w:rFonts w:ascii="Arial" w:hAnsi="Arial" w:cs="Arial"/>
          <w:b w:val="0"/>
          <w:i w:val="0"/>
          <w:color w:val="00B050"/>
          <w:sz w:val="27"/>
        </w:rPr>
        <w:t>Classe judicial: BUSCA E APREENSÃO EM ALIENAÇÃO FIDUCIÁRIA (81)</w:t>
      </w:r>
    </w:p>
    <w:p>
      <w:pPr>
        <w:spacing w:line="360" w:lineRule="auto" w:after="0" w:before="0"/>
        <w:jc w:val="both"/>
      </w:pPr>
      <w:r>
        <w:rPr>
          <w:rFonts w:ascii="Arial" w:hAnsi="Arial" w:cs="Arial"/>
          <w:b w:val="0"/>
          <w:i w:val="0"/>
          <w:color w:val="00B050"/>
          <w:sz w:val="27"/>
        </w:rPr>
        <w:t>REQUERENTE: COOPERATIVA DE CREDITO DE LIVRE ADMISSAO DO BRASIL CENTRAL LTDA. - SICOOB EXECUTIVO</w:t>
      </w:r>
    </w:p>
    <w:p>
      <w:pPr>
        <w:spacing w:line="360" w:lineRule="auto" w:after="0" w:before="0"/>
        <w:jc w:val="both"/>
      </w:pPr>
      <w:r>
        <w:rPr>
          <w:rFonts w:ascii="Arial" w:hAnsi="Arial" w:cs="Arial"/>
          <w:b w:val="0"/>
          <w:i w:val="0"/>
          <w:color w:val="00B050"/>
          <w:sz w:val="27"/>
        </w:rPr>
        <w:t>REQUERIDO: TOP GAS DF DISTRIBUIDORA, REVENDEDORA E TRANSPORTADORA DE GLP E AGUA MINERAL LTDA</w:t>
      </w:r>
    </w:p>
    <w:p>
      <w:pPr>
        <w:spacing w:line="360" w:lineRule="auto" w:after="0" w:before="0"/>
        <w:jc w:val="both"/>
      </w:pPr>
      <w:r>
        <w:rPr>
          <w:rFonts w:ascii="Arial" w:hAnsi="Arial" w:cs="Arial"/>
          <w:b w:val="0"/>
          <w:i w:val="0"/>
          <w:color w:val="00B050"/>
          <w:sz w:val="27"/>
        </w:rPr>
        <w:t>REPRESENTANTE LEGAL: FABIO JUNIOR DE SOUSA VIEIRA, CARLA MARA DIAS</w:t>
      </w:r>
    </w:p>
    <w:p>
      <w:pPr>
        <w:spacing w:line="360" w:lineRule="auto" w:after="0" w:before="0"/>
        <w:jc w:val="both"/>
      </w:pPr>
      <w:r>
        <w:rPr>
          <w:rFonts w:ascii="Arial" w:hAnsi="Arial" w:cs="Arial"/>
          <w:b w:val="0"/>
          <w:i w:val="0"/>
          <w:color w:val="00B050"/>
          <w:sz w:val="27"/>
        </w:rPr>
        <w:t>DECISÃO INTERLOCUTÓRIA</w:t>
      </w:r>
    </w:p>
    <w:p>
      <w:pPr>
        <w:spacing w:line="360" w:lineRule="auto" w:after="0" w:before="0"/>
        <w:jc w:val="both"/>
      </w:pPr>
      <w:r>
        <w:rPr>
          <w:rFonts w:ascii="Arial" w:hAnsi="Arial" w:cs="Arial"/>
          <w:b w:val="0"/>
          <w:i w:val="0"/>
          <w:color w:val="00B050"/>
          <w:sz w:val="27"/>
        </w:rPr>
        <w:t>Chamo o feito à ordem.</w:t>
      </w:r>
    </w:p>
    <w:p>
      <w:pPr>
        <w:spacing w:line="360" w:lineRule="auto" w:after="0" w:before="0"/>
        <w:jc w:val="both"/>
      </w:pPr>
      <w:r>
        <w:rPr>
          <w:rFonts w:ascii="Arial" w:hAnsi="Arial" w:cs="Arial"/>
          <w:b w:val="0"/>
          <w:i w:val="0"/>
          <w:color w:val="00B050"/>
          <w:sz w:val="27"/>
        </w:rPr>
        <w:t>Trata-se de ação de busca e apreensão de bem gravado com cláusula de alienação fiduciária.</w:t>
      </w:r>
    </w:p>
    <w:p>
      <w:pPr>
        <w:spacing w:line="360" w:lineRule="auto" w:after="0" w:before="0"/>
        <w:jc w:val="both"/>
      </w:pPr>
      <w:r>
        <w:rPr>
          <w:rFonts w:ascii="Arial" w:hAnsi="Arial" w:cs="Arial"/>
          <w:b w:val="0"/>
          <w:i w:val="0"/>
          <w:color w:val="00B050"/>
          <w:sz w:val="27"/>
        </w:rPr>
        <w:t>A liminar foi deferida, porém não cumprida, diante da falta de localização do veículo.</w:t>
      </w:r>
    </w:p>
    <w:p>
      <w:pPr>
        <w:spacing w:line="360" w:lineRule="auto" w:after="0" w:before="0"/>
        <w:jc w:val="both"/>
      </w:pPr>
      <w:r>
        <w:rPr>
          <w:rFonts w:ascii="Arial" w:hAnsi="Arial" w:cs="Arial"/>
          <w:b w:val="0"/>
          <w:i w:val="0"/>
          <w:color w:val="00B050"/>
          <w:sz w:val="27"/>
        </w:rPr>
        <w:t>O veículo foi apreendido em 17/03/2026 pela Polícia Rodoviária Federal (PRF).</w:t>
      </w:r>
    </w:p>
    <w:p>
      <w:pPr>
        <w:spacing w:line="360" w:lineRule="auto" w:after="0" w:before="0"/>
        <w:jc w:val="both"/>
      </w:pPr>
      <w:r>
        <w:rPr>
          <w:rFonts w:ascii="Arial" w:hAnsi="Arial" w:cs="Arial"/>
          <w:b w:val="0"/>
          <w:i w:val="0"/>
          <w:color w:val="00B050"/>
          <w:sz w:val="27"/>
        </w:rPr>
        <w:t>Ato contínuo, o autor manifesta interesse na retomada do veículo.</w:t>
      </w:r>
    </w:p>
    <w:p>
      <w:pPr>
        <w:spacing w:line="360" w:lineRule="auto" w:after="0" w:before="0"/>
        <w:jc w:val="both"/>
      </w:pPr>
      <w:r>
        <w:rPr>
          <w:rFonts w:ascii="Arial" w:hAnsi="Arial" w:cs="Arial"/>
          <w:b w:val="0"/>
          <w:i w:val="0"/>
          <w:color w:val="00B050"/>
          <w:sz w:val="27"/>
        </w:rPr>
        <w:t>Ao ID 269427725 foi proferida decisão autorizando a entrega do veículo à parte autora através dos depositários indicados pela parte, condicionada ao pagamento das despesas pelo autor.</w:t>
      </w:r>
    </w:p>
    <w:p>
      <w:pPr>
        <w:spacing w:line="360" w:lineRule="auto" w:after="0" w:before="0"/>
        <w:jc w:val="both"/>
      </w:pPr>
      <w:r>
        <w:rPr>
          <w:rFonts w:ascii="Arial" w:hAnsi="Arial" w:cs="Arial"/>
          <w:b w:val="0"/>
          <w:i w:val="0"/>
          <w:color w:val="00B050"/>
          <w:sz w:val="27"/>
        </w:rPr>
        <w:t>O veículo foi entregue ao autor.</w:t>
      </w:r>
    </w:p>
    <w:p>
      <w:pPr>
        <w:spacing w:line="360" w:lineRule="auto" w:after="0" w:before="0"/>
        <w:jc w:val="both"/>
      </w:pPr>
      <w:r>
        <w:rPr>
          <w:rFonts w:ascii="Arial" w:hAnsi="Arial" w:cs="Arial"/>
          <w:b w:val="0"/>
          <w:i w:val="0"/>
          <w:color w:val="00B050"/>
          <w:sz w:val="27"/>
        </w:rPr>
        <w:t>Não obstante a entrega do veículo, o autor requer a conversão do feito em ação executiva e expedição de carta de adjudicação.</w:t>
      </w:r>
    </w:p>
    <w:p>
      <w:pPr>
        <w:spacing w:line="360" w:lineRule="auto" w:after="0" w:before="0"/>
        <w:jc w:val="both"/>
      </w:pPr>
      <w:r>
        <w:rPr>
          <w:rFonts w:ascii="Arial" w:hAnsi="Arial" w:cs="Arial"/>
          <w:b w:val="0"/>
          <w:i w:val="0"/>
          <w:color w:val="00B050"/>
          <w:sz w:val="27"/>
        </w:rPr>
        <w:t>Há controvérsia sobre o valor da causa indicado pelo autor.</w:t>
      </w:r>
    </w:p>
    <w:p>
      <w:pPr>
        <w:spacing w:line="360" w:lineRule="auto" w:after="0" w:before="0"/>
        <w:jc w:val="both"/>
      </w:pPr>
      <w:r>
        <w:rPr>
          <w:rFonts w:ascii="Arial" w:hAnsi="Arial" w:cs="Arial"/>
          <w:b w:val="0"/>
          <w:i w:val="0"/>
          <w:color w:val="00B050"/>
          <w:sz w:val="27"/>
        </w:rPr>
        <w:t>DECIDO.</w:t>
      </w:r>
    </w:p>
    <w:p>
      <w:pPr>
        <w:spacing w:line="360" w:lineRule="auto" w:after="0" w:before="0"/>
        <w:jc w:val="both"/>
      </w:pPr>
      <w:r>
        <w:rPr>
          <w:rFonts w:ascii="Arial" w:hAnsi="Arial" w:cs="Arial"/>
          <w:b w:val="0"/>
          <w:i w:val="0"/>
          <w:color w:val="00B050"/>
          <w:sz w:val="27"/>
        </w:rPr>
        <w:t>Tem-se que a presente ação de busca e apreensão observa procedimento específico, previsto pelo Decreto-Lei 911/69.</w:t>
      </w:r>
    </w:p>
    <w:p>
      <w:pPr>
        <w:spacing w:line="360" w:lineRule="auto" w:after="0" w:before="0"/>
        <w:jc w:val="both"/>
      </w:pPr>
      <w:r>
        <w:rPr>
          <w:rFonts w:ascii="Arial" w:hAnsi="Arial" w:cs="Arial"/>
          <w:b w:val="0"/>
          <w:i w:val="0"/>
          <w:color w:val="00B050"/>
          <w:sz w:val="27"/>
        </w:rPr>
        <w:t>Estando o veículo na posse do credor fiduciário, carece de respaldo legal o requerimento formulado pelo autor de conversão do feito em ação executiva, uma vez o artigo 4º do Decreto-lei 911/69 autoriza a conversão somente se o bem não for encontrado.</w:t>
      </w:r>
    </w:p>
    <w:p>
      <w:pPr>
        <w:spacing w:line="360" w:lineRule="auto" w:after="0" w:before="0"/>
        <w:jc w:val="both"/>
      </w:pPr>
      <w:r>
        <w:rPr>
          <w:rFonts w:ascii="Arial" w:hAnsi="Arial" w:cs="Arial"/>
          <w:b w:val="0"/>
          <w:i w:val="0"/>
          <w:color w:val="00B050"/>
          <w:sz w:val="27"/>
        </w:rPr>
        <w:t>A conversão em ação executiva é uma faculdade do credor se o bem não for localizado. Localizado o veículo e, estando na posse plena e exclusiva do credor fiduciário, não há razão para a conversão do feito em ação executiva.</w:t>
      </w:r>
    </w:p>
    <w:p>
      <w:pPr>
        <w:spacing w:line="360" w:lineRule="auto" w:after="0" w:before="0"/>
        <w:jc w:val="both"/>
      </w:pPr>
      <w:r>
        <w:rPr>
          <w:rFonts w:ascii="Arial" w:hAnsi="Arial" w:cs="Arial"/>
          <w:b w:val="0"/>
          <w:i w:val="0"/>
          <w:color w:val="00B050"/>
          <w:sz w:val="27"/>
        </w:rPr>
        <w:t>Ante o exposto, indefiro a conversão do feito.</w:t>
      </w:r>
    </w:p>
    <w:p>
      <w:pPr>
        <w:spacing w:line="360" w:lineRule="auto" w:after="0" w:before="0"/>
        <w:jc w:val="both"/>
      </w:pPr>
      <w:r>
        <w:rPr>
          <w:rFonts w:ascii="Arial" w:hAnsi="Arial" w:cs="Arial"/>
          <w:b w:val="0"/>
          <w:i w:val="0"/>
          <w:color w:val="00B050"/>
          <w:sz w:val="27"/>
        </w:rPr>
        <w:t>O feito seguirá como busca e apreensão.</w:t>
      </w:r>
    </w:p>
    <w:p>
      <w:pPr>
        <w:spacing w:line="360" w:lineRule="auto" w:after="0" w:before="0"/>
        <w:jc w:val="both"/>
      </w:pPr>
      <w:r>
        <w:rPr>
          <w:rFonts w:ascii="Arial" w:hAnsi="Arial" w:cs="Arial"/>
          <w:b w:val="0"/>
          <w:i w:val="0"/>
          <w:color w:val="00B050"/>
          <w:sz w:val="27"/>
        </w:rPr>
        <w:t>De acordo com os autos, o veículo foi apreendido em 13/10/2025, em barreira policial.</w:t>
      </w:r>
    </w:p>
    <w:p>
      <w:pPr>
        <w:spacing w:line="360" w:lineRule="auto" w:after="0" w:before="0"/>
        <w:jc w:val="both"/>
      </w:pPr>
      <w:r>
        <w:rPr>
          <w:rFonts w:ascii="Arial" w:hAnsi="Arial" w:cs="Arial"/>
          <w:b w:val="0"/>
          <w:i w:val="0"/>
          <w:color w:val="00B050"/>
          <w:sz w:val="27"/>
        </w:rPr>
        <w:t>Transcorrido o prazo de 5 (cinco) dias para o devedor purgar a mora, contados a partir da apreensão do veículo, consolida-se a propriedade do veículo e a posse plena e exclusiva do bem no patrimônio do credor fiduciário, na forma do art. 3º, § 1º do Decreto-lei 911/69.</w:t>
      </w:r>
    </w:p>
    <w:p>
      <w:pPr>
        <w:spacing w:line="360" w:lineRule="auto" w:after="0" w:before="0"/>
        <w:jc w:val="both"/>
      </w:pPr>
      <w:r>
        <w:rPr>
          <w:rFonts w:ascii="Arial" w:hAnsi="Arial" w:cs="Arial"/>
          <w:b w:val="0"/>
          <w:i w:val="0"/>
          <w:color w:val="00B050"/>
          <w:sz w:val="27"/>
        </w:rPr>
        <w:t>Ao ID 256450636 o requerido apresentou contestação.</w:t>
      </w:r>
    </w:p>
    <w:p>
      <w:pPr>
        <w:spacing w:line="360" w:lineRule="auto" w:after="0" w:before="0"/>
        <w:jc w:val="both"/>
      </w:pPr>
      <w:r>
        <w:rPr>
          <w:rFonts w:ascii="Arial" w:hAnsi="Arial" w:cs="Arial"/>
          <w:b w:val="0"/>
          <w:i w:val="0"/>
          <w:color w:val="00B050"/>
          <w:sz w:val="27"/>
        </w:rPr>
        <w:t>O autor apresentou réplica ao ID 265230097.</w:t>
      </w:r>
    </w:p>
    <w:p>
      <w:pPr>
        <w:spacing w:line="360" w:lineRule="auto" w:after="0" w:before="0"/>
        <w:jc w:val="both"/>
      </w:pPr>
      <w:r>
        <w:rPr>
          <w:rFonts w:ascii="Arial" w:hAnsi="Arial" w:cs="Arial"/>
          <w:b w:val="0"/>
          <w:i w:val="0"/>
          <w:color w:val="00B050"/>
          <w:sz w:val="27"/>
        </w:rPr>
        <w:t>Desse modo, não há empecilho para o regular andamento do feito.</w:t>
      </w:r>
    </w:p>
    <w:p>
      <w:pPr>
        <w:spacing w:line="360" w:lineRule="auto" w:after="0" w:before="0"/>
        <w:jc w:val="both"/>
      </w:pPr>
      <w:r>
        <w:rPr>
          <w:rFonts w:ascii="Arial" w:hAnsi="Arial" w:cs="Arial"/>
          <w:b w:val="0"/>
          <w:i w:val="0"/>
          <w:color w:val="00B050"/>
          <w:sz w:val="27"/>
        </w:rPr>
        <w:t>No tocante a discussão do valor do débito após os abatimentos para fins de retirada do pátio da PRF, fica ressalvado que a ação de busca e apreensão serve apenas para consolidar a posse e propriedade do bem. Desse modo, eventual prestação de contas deve ser objeto de ação autônoma conforme entendimento do Superior Tribunal de Justiça.</w:t>
      </w:r>
    </w:p>
    <w:p>
      <w:pPr>
        <w:spacing w:line="360" w:lineRule="auto" w:after="0" w:before="0"/>
        <w:jc w:val="both"/>
      </w:pPr>
      <w:r>
        <w:rPr>
          <w:rFonts w:ascii="Arial" w:hAnsi="Arial" w:cs="Arial"/>
          <w:b w:val="0"/>
          <w:i w:val="0"/>
          <w:color w:val="00B050"/>
          <w:sz w:val="27"/>
        </w:rPr>
        <w:t>Preclusa esta decisão, anote-se conclusão para sentença.</w:t>
      </w:r>
    </w:p>
    <w:p>
      <w:pPr>
        <w:spacing w:line="360" w:lineRule="auto" w:after="0" w:before="0"/>
        <w:jc w:val="both"/>
      </w:pPr>
      <w:r>
        <w:rPr>
          <w:rFonts w:ascii="Arial" w:hAnsi="Arial" w:cs="Arial"/>
          <w:b w:val="0"/>
          <w:i w:val="0"/>
          <w:color w:val="00B050"/>
          <w:sz w:val="27"/>
        </w:rPr>
        <w:t>Documento datado e assinado eletronicamente, conforme certificação digital.</w:t>
      </w:r>
    </w:p>
    <w:sectPr w:rsidRPr="0006063C" w:rsidR="00FC693F" w:rsidSect="00034616">
      <w:footerReference w:type="default" r:id="rId9"/>
      <w:pgSz w:w="11906" w:h="16838" w:orient="portrait"/>
      <w:pgMar w:top="1417" w:right="1701" w:bottom="1417" w:left="1701"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d="0" w:author="Minuta GDSXSR" w:initials="MG" w:date="2026-10-28T18:02:16Z">
    <w:p>
      <w:pPr>
        <w:pStyle w:val="CommentText"/>
      </w:pPr>
      <w:r>
        <w:rPr>
          <w:rStyle w:val="CommentReference"/>
        </w:rPr>
        <w:annotationRef/>
      </w:r>
      <w:r>
        <w:t>MINUTA GDSXSR — Ementa conforme C-3E (cabeçalho fecha em fórmula curta), C-37 (sem tese de julgamento) e C-3T v42: o pedido subsidiário de transferência registral, que a liminar já não examinou por supressão de instância, não aparece no cabeçalho nem em item próprio.</w:t>
      </w:r>
    </w:p>
  </w:comment>
  <w:comment w:id="1" w:author="Minuta GDSXSR" w:initials="MG" w:date="2026-10-28T18:02:16Z">
    <w:p>
      <w:pPr>
        <w:pStyle w:val="CommentText"/>
      </w:pPr>
      <w:r>
        <w:rPr>
          <w:rStyle w:val="CommentReference"/>
        </w:rPr>
        <w:annotationRef/>
      </w:r>
      <w:r>
        <w:t>MINUTA GDSXSR — Valor da causa conforme o PJe do processo de origem (ID 89467887, capa). Partes pelo nome da autuação, com acentuação corrigida (C-34A, C-28).</w:t>
      </w:r>
    </w:p>
  </w:comment>
  <w:comment w:id="2" w:author="Minuta GDSXSR" w:initials="MG" w:date="2026-10-28T18:02:16Z">
    <w:p>
      <w:pPr>
        <w:pStyle w:val="CommentText"/>
      </w:pPr>
      <w:r>
        <w:rPr>
          <w:rStyle w:val="CommentReference"/>
        </w:rPr>
        <w:annotationRef/>
      </w:r>
      <w:r>
        <w:t>MINUTA GDSXSR — PENDÊNCIA (C-52, C-72): o iajus não devolveu os dois REsp pelo número. O REsp 2.019.200/MG está confirmado por acórdãos que o citam com relatora, Turma e datas (STJ, AgInt nos EDcl no AREsp 2.241.958, Quarta Turma, j. 29/05/2023; TJDFT 2ª Turma Cível, 0718964-41.2022.8.07.0007 e 0702150-17.2023.8.07.0007, que reproduzem o item 6 transcrito). O REsp 1.866.230/SP teve relatora, Turma, data de julgamento (22/09/2020) e publicação (28/09/2020) confirmadas em fonte secundária (informativos.trilhante.com.br); o texto do item 6 transcrito vem da decisão liminar (ID 89579127) e coincide com a citação feita por acórdãos do TJES, mas não foi aberto no SCON/STJ. Conferir o item 6 e o DJe no SCON antes de liberar. Súmula 384/STJ conferida no iajus (vigente, Segunda Seção, 27/05/2009).</w:t>
      </w:r>
    </w:p>
  </w:comment>
  <w:comment w:id="3" w:author="Minuta GDSXSR" w:initials="MG" w:date="2026-10-28T18:02:16Z">
    <w:p>
      <w:pPr>
        <w:pStyle w:val="CommentText"/>
      </w:pPr>
      <w:r>
        <w:rPr>
          <w:rStyle w:val="CommentReference"/>
        </w:rPr>
        <w:annotationRef/>
      </w:r>
      <w:r>
        <w:t>MINUTA GDSXSR — Resumo de trabalho (C-39) feito a partir das razões do agravo (ID 89467886); é o melhor argumento contrário ao voto.</w:t>
      </w:r>
    </w:p>
  </w:comment>
  <w:comment w:id="4" w:author="Minuta GDSXSR" w:initials="MG" w:date="2026-10-28T18:02:16Z">
    <w:p>
      <w:pPr>
        <w:pStyle w:val="CommentText"/>
      </w:pPr>
      <w:r>
        <w:rPr>
          <w:rStyle w:val="CommentReference"/>
        </w:rPr>
        <w:annotationRef/>
      </w:r>
      <w:r>
        <w:t>MINUTA GDSXSR — Relatório da liminar adotado (C-3S): transcrito o relatório da decisão do Relator que indeferiu o efeito suspensivo (ID 89579127, 14/09/2026); depois dele seguem só os atos posteriores (contrarrazões). Quanto a esse trecho, o texto é literal.</w:t>
      </w:r>
    </w:p>
  </w:comment>
  <w:comment w:id="5" w:author="Minuta GDSXSR" w:initials="MG" w:date="2026-10-28T18:02:16Z">
    <w:p>
      <w:pPr>
        <w:pStyle w:val="CommentText"/>
      </w:pPr>
      <w:r>
        <w:rPr>
          <w:rStyle w:val="CommentReference"/>
        </w:rPr>
        <w:annotationRef/>
      </w:r>
      <w:r>
        <w:t>MINUTA GDSXSR — ASSESSOR: ponto de conferência (C-52). A decisão agravada indeferiu a conversão de rito, hipótese que não consta do rol do CPC 1.015; o agravo invoca o Tema 988/STJ (urgência decorrente da inutilidade do julgamento da questão na apelação) e a liminar não impugnou o cabimento. Mantive a admissibilidade direta (C-3T), como na liminar. Texto literal (C-63), STJ, Tema Repetitivo 988: “O rol do art. 1.015 do CPC é de taxatividade mitigada, por isso admite a interposição de agravo de instrumento quando verificada a urgência decorrente da inutilidade do julgamento da questão no recurso de apelação.” (fonte: iajus; leading case REsp 1.696.396/MT e REsp 1.704.520/MT, Corte Especial, j. 05/12/2018, dado a conferir no SCON). Os pedidos subsidiários da parte (conclusão para sentença e transferência registral) não ganham capítulo: a liminar já os tratou como supressão de instância e a transcrição abaixo os reproduz (C-3T v42, C-17).</w:t>
      </w:r>
    </w:p>
  </w:comment>
  <w:comment w:id="6" w:author="Minuta GDSXSR" w:initials="MG" w:date="2026-10-28T18:02:16Z">
    <w:p>
      <w:pPr>
        <w:pStyle w:val="CommentText"/>
      </w:pPr>
      <w:r>
        <w:rPr>
          <w:rStyle w:val="CommentReference"/>
        </w:rPr>
        <w:annotationRef/>
      </w:r>
      <w:r>
        <w:t>MINUTA GDSXSR — Transcrição integral da fundamentação da liminar (C-17 v42, C-3S): o corpo da liminar não é abreviado por “(...)” além do que ela própria fez; as citações internas passam a aspas simples e mantêm “– Grifei”. No texto literal da liminar a última frase termina em “configuraria supressão.”, sem “de instância”; mantido literal. Texto literal do art. 4º do DL 911/1969 conferido no iajus/Planalto (redação da Lei 13.043/2014); a vigência não foi atestada pelo iajus, mas o Planalto não traz marca de revogação no art. 4º (C-64).</w:t>
      </w:r>
    </w:p>
  </w:comment>
  <w:comment w:id="7" w:author="Minuta GDSXSR" w:initials="MG" w:date="2026-10-28T18:02:16Z">
    <w:p>
      <w:pPr>
        <w:pStyle w:val="CommentText"/>
      </w:pPr>
      <w:r>
        <w:rPr>
          <w:rStyle w:val="CommentReference"/>
        </w:rPr>
        <w:annotationRef/>
      </w:r>
      <w:r>
        <w:t>MINUTA GDSXSR — Fecho conforme C-17 e o perfil AGI 2.4. Não enfrentei o REsp 2.050.599/DF (invocado só no agravo e lido apenas na transcrição da parte; a própria agravante o limita à extensão do débito após conversão admissível) nem criei capítulo para o argumento de coerência procedimental (decisão de ID 279947496, do processo de origem, não veio nos autos recebidos) (C-17, C-24). Observação: a decisão agravada traz duas datas de apreensão pela PRF (17/03/2026 e 13/10/2025); o voto não depende de nenhuma delas e não as repete.</w:t>
      </w:r>
    </w:p>
  </w:comment>
</w:comments>
</file>

<file path=word/commentsExtended.xml><?xml version="1.0" encoding="utf-8"?>
<w15:commentsEx xmlns:mc="http://schemas.openxmlformats.org/markup-compatibility/2006" xmlns:w15="http://schemas.microsoft.com/office/word/2012/wordml" mc:Ignorable="w15">
  <w15:commentEx w15:done="0" w15:paraId="2C5B8251"/>
  <w15:commentEx w15:done="0" w15:paraId="798E2068"/>
  <w15:commentEx w15:done="0" w15:paraId="2A6D5DD9"/>
  <w15:commentEx w15:done="0" w15:paraId="1B7BE6E4"/>
  <w15:commentEx w15:done="0" w15:paraId="45FAA30E"/>
  <w15:commentEx w15:done="0" w15:paraId="1B306973"/>
  <w15:commentEx w15:done="0" w15:paraId="43E7FB85"/>
  <w15:commentEx w15:done="0" w15:paraId="3F150D51"/>
  <w15:commentEx w15:done="0" w15:paraId="2C79B740"/>
  <w15:commentEx w15:done="0" w15:paraId="7BBA337D"/>
  <w15:commentEx w15:done="0" w15:paraId="2A9E23A0"/>
  <w15:commentEx w15:done="0" w15:paraId="461976A2"/>
  <w15:commentEx w15:done="0" w15:paraId="1D5F2134"/>
  <w15:commentEx w15:done="0" w15:paraId="4316FF66"/>
  <w15:commentEx w15:done="0" w15:paraId="1DFCC4EB"/>
  <w15:commentEx w15:done="0" w15:paraId="459684B9"/>
  <w15:commentEx w15:done="0" w15:paraId="4496DBAF"/>
  <w15:commentEx w15:done="0" w15:paraId="21AD587B"/>
  <w15:commentEx w15:done="0" w15:paraId="715B9FB8"/>
  <w15:commentEx w15:done="0" w15:paraId="3447A896"/>
  <w15:commentEx w15:done="0" w15:paraId="4EF6052F"/>
  <w15:commentEx w15:done="0" w15:paraId="46F698D4"/>
  <w15:commentEx w15:done="0" w15:paraId="1D8A9808" w15:paraIdParent="2C5B8251"/>
  <w15:commentEx w15:done="0" w15:paraId="4A4C1F6B"/>
  <w15:commentEx w15:done="0" w15:paraId="1F83DBEC"/>
  <w15:commentEx w15:done="0" w15:paraId="7F8AAC5A"/>
  <w15:commentEx w15:done="0" w15:paraId="666EF34C"/>
  <w15:commentEx w15:done="0" w15:paraId="5E23538A"/>
  <w15:commentEx w15:done="0" w15:paraId="3A38D848"/>
  <w15:commentEx w15:done="0" w15:paraId="07DCF8DA" w15:paraIdParent="2C5B825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08A9367" w16cex:dateUtc="2026-10-11T19:22:34.373Z">
    <w16cex:extLst>
      <w16:ext w16:uri="{CE6994B0-6A32-4C9F-8C6B-6E91EDA988CE}">
        <cr:reactions xmlns:cr="http://schemas.microsoft.com/office/comments/2020/reactions">
          <cr:reaction reactionType="1">
            <cr:reactionInfo dateUtc="2026-10-11T22:16:33.46Z">
              <cr:user userId="S::t313207@tjdft.jus.br::d29e2de7-00a4-4621-a031-73d81317b1e9" userProvider="AD" userName="Marcelo Ribeiro Da Silva - GDSXSR"/>
            </cr:reactionInfo>
          </cr:reaction>
        </cr:reactions>
      </w16:ext>
    </w16cex:extLst>
  </w16cex:commentExtensible>
  <w16cex:commentExtensible w16cex:durableId="76C443C4" w16cex:dateUtc="2026-10-11T23:03:36.174Z"/>
</w16cex:commentsExtensible>
</file>

<file path=word/commentsIds.xml><?xml version="1.0" encoding="utf-8"?>
<w16cid:commentsIds xmlns:mc="http://schemas.openxmlformats.org/markup-compatibility/2006" xmlns:w16cid="http://schemas.microsoft.com/office/word/2016/wordml/cid" mc:Ignorable="w16cid">
  <w16cid:commentId w16cid:paraId="2C5B8251" w16cid:durableId="0B053848"/>
  <w16cid:commentId w16cid:paraId="798E2068" w16cid:durableId="486E0027"/>
  <w16cid:commentId w16cid:paraId="2A6D5DD9" w16cid:durableId="343AFC76"/>
  <w16cid:commentId w16cid:paraId="1B7BE6E4" w16cid:durableId="06F67560"/>
  <w16cid:commentId w16cid:paraId="45FAA30E" w16cid:durableId="093D3FE9"/>
  <w16cid:commentId w16cid:paraId="1B306973" w16cid:durableId="4416EADA"/>
  <w16cid:commentId w16cid:paraId="43E7FB85" w16cid:durableId="5093624A"/>
  <w16cid:commentId w16cid:paraId="3F150D51" w16cid:durableId="0E7BECA3"/>
  <w16cid:commentId w16cid:paraId="2C79B740" w16cid:durableId="24D767EA"/>
  <w16cid:commentId w16cid:paraId="7BBA337D" w16cid:durableId="721284C8"/>
  <w16cid:commentId w16cid:paraId="2A9E23A0" w16cid:durableId="6828F1F0"/>
  <w16cid:commentId w16cid:paraId="461976A2" w16cid:durableId="251F1A03"/>
  <w16cid:commentId w16cid:paraId="1D5F2134" w16cid:durableId="7584782F"/>
  <w16cid:commentId w16cid:paraId="4316FF66" w16cid:durableId="7FE4C1BE"/>
  <w16cid:commentId w16cid:paraId="1DFCC4EB" w16cid:durableId="29E3DF67"/>
  <w16cid:commentId w16cid:paraId="459684B9" w16cid:durableId="07FCA37E"/>
  <w16cid:commentId w16cid:paraId="4496DBAF" w16cid:durableId="0143BA81"/>
  <w16cid:commentId w16cid:paraId="21AD587B" w16cid:durableId="103F77A3"/>
  <w16cid:commentId w16cid:paraId="715B9FB8" w16cid:durableId="064803E8"/>
  <w16cid:commentId w16cid:paraId="3447A896" w16cid:durableId="40748DA4"/>
  <w16cid:commentId w16cid:paraId="4EF6052F" w16cid:durableId="739C0535"/>
  <w16cid:commentId w16cid:paraId="46F698D4" w16cid:durableId="34F04E7A"/>
  <w16cid:commentId w16cid:paraId="4A4C1F6B" w16cid:durableId="1584374C"/>
  <w16cid:commentId w16cid:paraId="1F83DBEC" w16cid:durableId="59E39858"/>
  <w16cid:commentId w16cid:paraId="7F8AAC5A" w16cid:durableId="7A3A04F1"/>
  <w16cid:commentId w16cid:paraId="666EF34C" w16cid:durableId="624D51AC"/>
  <w16cid:commentId w16cid:paraId="5E23538A" w16cid:durableId="57F971A6"/>
  <w16cid:commentId w16cid:paraId="3A38D848" w16cid:durableId="412C0201"/>
  <w16cid:commentId w16cid:paraId="07DCF8DA" w16cid:durableId="708A9367"/>
  <w16cid:commentId w16cid:paraId="1D8A9808" w16cid:durableId="76C443C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33EDD17" wp14:textId="77777777">
    <w:pPr>
      <w:pStyle w:val="Footer"/>
      <w:jc w:val="right"/>
    </w:pPr>
    <w:r w:rsidRPr="7A6EA4F2">
      <w:rPr>
        <w:sz w:val="20"/>
        <w:szCs w:val="20"/>
      </w:rPr>
      <w:fldChar w:fldCharType="begin"/>
    </w:r>
    <w:r w:rsidRPr="7A6EA4F2">
      <w:rPr>
        <w:sz w:val="20"/>
        <w:szCs w:val="20"/>
      </w:rPr>
      <w:instrText xml:space="preserve">PAGE</w:instrText>
    </w:r>
    <w:r w:rsidRPr="7A6EA4F2">
      <w:rPr>
        <w:sz w:val="20"/>
        <w:szCs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8">
    <w:nsid w:val="72ac45b8"/>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11270f0"/>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af4b861"/>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775335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fb714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eebcbc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9802c3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f86ed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215dc09"/>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bd40266"/>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31b8c08"/>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6d5d37d"/>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3e1570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ea1487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f187d8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ec229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9a8bb89"/>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4b5340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8d1c97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98df9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mc="http://schemas.openxmlformats.org/markup-compatibility/2006" xmlns:w15="http://schemas.microsoft.com/office/word/2012/wordml" mc:Ignorable="w15">
  <w15:person w15:author="Marcos Dwayne Saraiva Costa - GDSXSR">
    <w15:presenceInfo w15:providerId="AD" w15:userId="S::t321760@tjdft.jus.br::71ef89ef-9eb5-4780-8a4d-3f3a792db9c6"/>
  </w15:person>
  <w15:person w15:author="Marcelo Ribeiro Da Silva - GDSXSR">
    <w15:presenceInfo w15:providerId="AD" w15:userId="S::t313207@tjdft.jus.br::d29e2de7-00a4-4621-a031-73d81317b1e9"/>
  </w15:person>
  <w15:person w15:author="Marcelo Ribeiro Da Silva - GDSXSR">
    <w15:presenceInfo w15:providerId="AD" w15:userId="S::t313207@tjdft.jus.br::d29e2de7-00a4-4621-a031-73d81317b1e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ercent="100"/>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6E4610"/>
    <w:rsid w:val="03746094"/>
    <w:rsid w:val="070270C6"/>
    <w:rsid w:val="070270C6"/>
    <w:rsid w:val="0CDBB89A"/>
    <w:rsid w:val="0CDBB89A"/>
    <w:rsid w:val="127289C4"/>
    <w:rsid w:val="143FCE2B"/>
    <w:rsid w:val="143FCE2B"/>
    <w:rsid w:val="2579E5BD"/>
    <w:rsid w:val="2671BA38"/>
    <w:rsid w:val="2671BA38"/>
    <w:rsid w:val="27C7E5BF"/>
    <w:rsid w:val="27DC0ACD"/>
    <w:rsid w:val="287199CE"/>
    <w:rsid w:val="2C1D780E"/>
    <w:rsid w:val="304A0FCA"/>
    <w:rsid w:val="30540941"/>
    <w:rsid w:val="30540941"/>
    <w:rsid w:val="31C05ADD"/>
    <w:rsid w:val="3B0A4E47"/>
    <w:rsid w:val="3B52C076"/>
    <w:rsid w:val="3CC530B6"/>
    <w:rsid w:val="3D534256"/>
    <w:rsid w:val="3D98C15A"/>
    <w:rsid w:val="3DB67851"/>
    <w:rsid w:val="40702BEB"/>
    <w:rsid w:val="40702BEB"/>
    <w:rsid w:val="4225855D"/>
    <w:rsid w:val="43BAE1A9"/>
    <w:rsid w:val="45A53B79"/>
    <w:rsid w:val="47433204"/>
    <w:rsid w:val="494E1CDD"/>
    <w:rsid w:val="507E89D7"/>
    <w:rsid w:val="52C5BA21"/>
    <w:rsid w:val="562BD644"/>
    <w:rsid w:val="6043905E"/>
    <w:rsid w:val="6043905E"/>
    <w:rsid w:val="6E02D687"/>
    <w:rsid w:val="6E40A680"/>
    <w:rsid w:val="7924A6A5"/>
    <w:rsid w:val="7A6EA4F2"/>
    <w:rsid w:val="7ABC65D7"/>
    <w:rsid w:val="7E1EE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9ECA6FD-2EDC-408E-AAD6-4A99129672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uiPriority w:val="0"/>
    <w:name w:val="Normal"/>
    <w:qFormat/>
    <w:rsid w:val="7A6EA4F2"/>
    <w:rPr>
      <w:rFonts w:ascii="Arial" w:hAnsi="Arial" w:eastAsia="Arial"/>
      <w:noProof w:val="0"/>
      <w:color w:val="808080" w:themeColor="background1" w:themeTint="FF" w:themeShade="80"/>
      <w:sz w:val="28"/>
      <w:szCs w:val="28"/>
      <w:lang w:val="pt-BR"/>
    </w:rPr>
    <w:pPr>
      <w:spacing w:before="0" w:after="0"/>
      <w:jc w:val="both"/>
    </w:pPr>
  </w:style>
  <w:style w:type="paragraph" w:styleId="Header">
    <w:uiPriority w:val="99"/>
    <w:name w:val="header"/>
    <w:basedOn w:val="Normal"/>
    <w:unhideWhenUsed/>
    <w:link w:val="HeaderChar"/>
    <w:rsid w:val="7A6EA4F2"/>
    <w:pPr>
      <w:tabs>
        <w:tab w:val="center" w:leader="none" w:pos="4680"/>
        <w:tab w:val="right" w:leader="none" w:pos="9360"/>
      </w:tabs>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7A6EA4F2"/>
    <w:pPr>
      <w:tabs>
        <w:tab w:val="center" w:leader="none" w:pos="4680"/>
        <w:tab w:val="right" w:leader="none" w:pos="9360"/>
      </w:tabs>
    </w:pPr>
  </w:style>
  <w:style w:type="character" w:styleId="FooterChar" w:customStyle="1">
    <w:name w:val="Footer Char"/>
    <w:basedOn w:val="DefaultParagraphFont"/>
    <w:link w:val="Footer"/>
    <w:uiPriority w:val="99"/>
    <w:rsid w:val="00E618BF"/>
  </w:style>
  <w:style w:type="paragraph" w:styleId="Heading1">
    <w:uiPriority w:val="9"/>
    <w:name w:val="heading 1"/>
    <w:basedOn w:val="Normal"/>
    <w:next w:val="Normal"/>
    <w:link w:val="Heading1Char"/>
    <w:qFormat/>
    <w:rsid w:val="7A6EA4F2"/>
    <w:rPr>
      <w:rFonts w:ascii="Calibri" w:hAnsi="Calibri" w:eastAsia="ＭＳ ゴシック" w:cs="" w:asciiTheme="majorAscii" w:hAnsiTheme="majorAscii" w:eastAsiaTheme="majorEastAsia" w:cstheme="majorBidi"/>
      <w:b w:val="1"/>
      <w:bCs w:val="1"/>
      <w:color w:val="365F91" w:themeColor="accent1" w:themeTint="FF" w:themeShade="BF"/>
    </w:rPr>
    <w:pPr>
      <w:keepNext w:val="1"/>
      <w:keepLines w:val="1"/>
      <w:spacing w:before="480"/>
      <w:outlineLvl w:val="0"/>
    </w:pPr>
  </w:style>
  <w:style w:type="paragraph" w:styleId="Heading2">
    <w:uiPriority w:val="9"/>
    <w:name w:val="heading 2"/>
    <w:basedOn w:val="Normal"/>
    <w:next w:val="Normal"/>
    <w:unhideWhenUsed/>
    <w:link w:val="Heading2Char"/>
    <w:qFormat/>
    <w:rsid w:val="7A6EA4F2"/>
    <w:rPr>
      <w:rFonts w:ascii="Calibri" w:hAnsi="Calibri" w:eastAsia="ＭＳ ゴシック" w:cs="" w:asciiTheme="majorAscii" w:hAnsiTheme="majorAscii" w:eastAsiaTheme="majorEastAsia" w:cstheme="majorBidi"/>
      <w:b w:val="1"/>
      <w:bCs w:val="1"/>
      <w:color w:val="4F81BD" w:themeColor="accent1" w:themeTint="FF" w:themeShade="FF"/>
      <w:sz w:val="26"/>
      <w:szCs w:val="26"/>
    </w:rPr>
    <w:pPr>
      <w:keepNext w:val="1"/>
      <w:keepLines w:val="1"/>
      <w:spacing w:before="200"/>
      <w:outlineLvl w:val="1"/>
    </w:pPr>
  </w:style>
  <w:style w:type="paragraph" w:styleId="Heading3">
    <w:uiPriority w:val="9"/>
    <w:name w:val="heading 3"/>
    <w:basedOn w:val="Normal"/>
    <w:next w:val="Normal"/>
    <w:unhideWhenUsed/>
    <w:link w:val="Heading3Char"/>
    <w:qFormat/>
    <w:rsid w:val="7A6EA4F2"/>
    <w:rPr>
      <w:rFonts w:ascii="Calibri" w:hAnsi="Calibri" w:eastAsia="ＭＳ ゴシック" w:cs="" w:asciiTheme="majorAscii" w:hAnsiTheme="majorAscii" w:eastAsiaTheme="majorEastAsia" w:cstheme="majorBidi"/>
      <w:b w:val="1"/>
      <w:bCs w:val="1"/>
      <w:color w:val="4F81BD" w:themeColor="accent1" w:themeTint="FF" w:themeShade="FF"/>
    </w:rPr>
    <w:pPr>
      <w:keepNext w:val="1"/>
      <w:keepLines w:val="1"/>
      <w:spacing w:before="200"/>
      <w:outlineLvl w:val="2"/>
    </w:pPr>
  </w:style>
  <w:style w:type="paragraph" w:styleId="Heading4">
    <w:uiPriority w:val="9"/>
    <w:name w:val="heading 4"/>
    <w:basedOn w:val="Normal"/>
    <w:next w:val="Normal"/>
    <w:semiHidden/>
    <w:unhideWhenUsed/>
    <w:link w:val="Heading4Char"/>
    <w:qFormat/>
    <w:rsid w:val="7A6EA4F2"/>
    <w:rPr>
      <w:rFonts w:ascii="Calibri" w:hAnsi="Calibri" w:eastAsia="ＭＳ ゴシック" w:cs="" w:asciiTheme="majorAscii" w:hAnsiTheme="majorAscii" w:eastAsiaTheme="majorEastAsia" w:cstheme="majorBidi"/>
      <w:b w:val="1"/>
      <w:bCs w:val="1"/>
      <w:i w:val="1"/>
      <w:iCs w:val="1"/>
      <w:color w:val="4F81BD" w:themeColor="accent1" w:themeTint="FF" w:themeShade="FF"/>
    </w:rPr>
    <w:pPr>
      <w:keepNext w:val="1"/>
      <w:keepLines w:val="1"/>
      <w:spacing w:before="200"/>
      <w:outlineLvl w:val="3"/>
    </w:pPr>
  </w:style>
  <w:style w:type="paragraph" w:styleId="Heading5">
    <w:uiPriority w:val="9"/>
    <w:name w:val="heading 5"/>
    <w:basedOn w:val="Normal"/>
    <w:next w:val="Normal"/>
    <w:semiHidden/>
    <w:unhideWhenUsed/>
    <w:link w:val="Heading5Char"/>
    <w:qFormat/>
    <w:rsid w:val="7A6EA4F2"/>
    <w:rPr>
      <w:rFonts w:ascii="Calibri" w:hAnsi="Calibri" w:eastAsia="ＭＳ ゴシック" w:cs="" w:asciiTheme="majorAscii" w:hAnsiTheme="majorAscii" w:eastAsiaTheme="majorEastAsia" w:cstheme="majorBidi"/>
      <w:color w:val="243F60"/>
    </w:rPr>
    <w:pPr>
      <w:keepNext w:val="1"/>
      <w:keepLines w:val="1"/>
      <w:spacing w:before="200"/>
      <w:outlineLvl w:val="4"/>
    </w:pPr>
  </w:style>
  <w:style w:type="paragraph" w:styleId="Heading6">
    <w:uiPriority w:val="9"/>
    <w:name w:val="heading 6"/>
    <w:basedOn w:val="Normal"/>
    <w:next w:val="Normal"/>
    <w:semiHidden/>
    <w:unhideWhenUsed/>
    <w:link w:val="Heading6Char"/>
    <w:qFormat/>
    <w:rsid w:val="7A6EA4F2"/>
    <w:rPr>
      <w:rFonts w:ascii="Calibri" w:hAnsi="Calibri" w:eastAsia="ＭＳ ゴシック" w:cs="" w:asciiTheme="majorAscii" w:hAnsiTheme="majorAscii" w:eastAsiaTheme="majorEastAsia" w:cstheme="majorBidi"/>
      <w:i w:val="1"/>
      <w:iCs w:val="1"/>
      <w:color w:val="243F60"/>
    </w:rPr>
    <w:pPr>
      <w:keepNext w:val="1"/>
      <w:keepLines w:val="1"/>
      <w:spacing w:before="200"/>
      <w:outlineLvl w:val="5"/>
    </w:pPr>
  </w:style>
  <w:style w:type="paragraph" w:styleId="Heading7">
    <w:uiPriority w:val="9"/>
    <w:name w:val="heading 7"/>
    <w:basedOn w:val="Normal"/>
    <w:next w:val="Normal"/>
    <w:semiHidden/>
    <w:unhideWhenUsed/>
    <w:link w:val="Heading7Char"/>
    <w:qFormat/>
    <w:rsid w:val="7A6EA4F2"/>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outlineLvl w:val="6"/>
    </w:pPr>
  </w:style>
  <w:style w:type="paragraph" w:styleId="Heading8">
    <w:uiPriority w:val="9"/>
    <w:name w:val="heading 8"/>
    <w:basedOn w:val="Normal"/>
    <w:next w:val="Normal"/>
    <w:semiHidden/>
    <w:unhideWhenUsed/>
    <w:link w:val="Heading8Char"/>
    <w:qFormat/>
    <w:rsid w:val="7A6EA4F2"/>
    <w:rPr>
      <w:rFonts w:ascii="Calibri" w:hAnsi="Calibri" w:eastAsia="ＭＳ ゴシック" w:cs="" w:asciiTheme="majorAscii" w:hAnsiTheme="majorAscii" w:eastAsiaTheme="majorEastAsia" w:cstheme="majorBidi"/>
      <w:color w:val="4F81BD" w:themeColor="accent1" w:themeTint="FF" w:themeShade="FF"/>
      <w:sz w:val="20"/>
      <w:szCs w:val="20"/>
    </w:rPr>
    <w:pPr>
      <w:keepNext w:val="1"/>
      <w:keepLines w:val="1"/>
      <w:spacing w:before="200"/>
      <w:outlineLvl w:val="7"/>
    </w:pPr>
  </w:style>
  <w:style w:type="paragraph" w:styleId="Heading9">
    <w:uiPriority w:val="9"/>
    <w:name w:val="heading 9"/>
    <w:basedOn w:val="Normal"/>
    <w:next w:val="Normal"/>
    <w:semiHidden/>
    <w:unhideWhenUsed/>
    <w:link w:val="Heading9Char"/>
    <w:qFormat/>
    <w:rsid w:val="7A6EA4F2"/>
    <w:rPr>
      <w:rFonts w:ascii="Calibri" w:hAnsi="Calibri" w:eastAsia="ＭＳ ゴシック" w:cs="" w:asciiTheme="majorAscii" w:hAnsiTheme="majorAscii" w:eastAsiaTheme="majorEastAsia" w:cstheme="majorBidi"/>
      <w:i w:val="1"/>
      <w:iCs w:val="1"/>
      <w:color w:val="404040" w:themeColor="text1" w:themeTint="BF" w:themeShade="FF"/>
      <w:sz w:val="20"/>
      <w:szCs w:val="20"/>
    </w:rPr>
    <w:pPr>
      <w:keepNext w:val="1"/>
      <w:keepLines w:val="1"/>
      <w:spacing w:before="20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7A6EA4F2"/>
    <w:rPr>
      <w:rFonts w:ascii="Calibri" w:hAnsi="Calibri" w:eastAsia="ＭＳ ゴシック" w:cs="" w:asciiTheme="majorAscii" w:hAnsiTheme="majorAscii" w:eastAsiaTheme="majorEastAsia" w:cstheme="majorBidi"/>
      <w:color w:val="17365D" w:themeColor="text2" w:themeTint="FF" w:themeShade="BF"/>
      <w:sz w:val="52"/>
      <w:szCs w:val="52"/>
    </w:rPr>
    <w:pPr>
      <w:pBdr>
        <w:bottom w:val="single" w:color="4F81BD" w:themeColor="accent1" w:sz="8" w:space="4"/>
      </w:pBdr>
      <w:spacing w:after="300"/>
      <w:contextualSpacing/>
    </w:p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uiPriority w:val="11"/>
    <w:name w:val="Subtitle"/>
    <w:basedOn w:val="Normal"/>
    <w:next w:val="Normal"/>
    <w:link w:val="SubtitleChar"/>
    <w:qFormat/>
    <w:rsid w:val="7A6EA4F2"/>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uiPriority w:val="34"/>
    <w:name w:val="List Paragraph"/>
    <w:basedOn w:val="Normal"/>
    <w:qFormat/>
    <w:rsid w:val="7A6EA4F2"/>
    <w:pPr>
      <w:spacing/>
      <w:ind w:left="720"/>
      <w:contextualSpacing/>
    </w:pPr>
  </w:style>
  <w:style w:type="paragraph" w:styleId="BodyText">
    <w:uiPriority w:val="99"/>
    <w:name w:val="Body Text"/>
    <w:basedOn w:val="Normal"/>
    <w:unhideWhenUsed/>
    <w:link w:val="BodyTextChar"/>
    <w:rsid w:val="7A6EA4F2"/>
    <w:pPr>
      <w:spacing w:after="120"/>
    </w:pPr>
  </w:style>
  <w:style w:type="character" w:styleId="BodyTextChar" w:customStyle="1">
    <w:name w:val="Body Text Char"/>
    <w:basedOn w:val="DefaultParagraphFont"/>
    <w:link w:val="BodyText"/>
    <w:uiPriority w:val="99"/>
    <w:rsid w:val="00AA1D8D"/>
  </w:style>
  <w:style w:type="paragraph" w:styleId="BodyText2">
    <w:uiPriority w:val="99"/>
    <w:name w:val="Body Text 2"/>
    <w:basedOn w:val="Normal"/>
    <w:unhideWhenUsed/>
    <w:link w:val="BodyText2Char"/>
    <w:rsid w:val="7A6EA4F2"/>
    <w:pPr>
      <w:spacing w:after="120"/>
    </w:pPr>
  </w:style>
  <w:style w:type="character" w:styleId="BodyText2Char" w:customStyle="1">
    <w:name w:val="Body Text 2 Char"/>
    <w:basedOn w:val="DefaultParagraphFont"/>
    <w:link w:val="BodyText2"/>
    <w:uiPriority w:val="99"/>
    <w:rsid w:val="00AA1D8D"/>
  </w:style>
  <w:style w:type="paragraph" w:styleId="BodyText3">
    <w:uiPriority w:val="99"/>
    <w:name w:val="Body Text 3"/>
    <w:basedOn w:val="Normal"/>
    <w:unhideWhenUsed/>
    <w:link w:val="BodyText3Char"/>
    <w:rsid w:val="7A6EA4F2"/>
    <w:rPr>
      <w:sz w:val="16"/>
      <w:szCs w:val="16"/>
    </w:rPr>
    <w:pPr>
      <w:spacing w:after="120"/>
    </w:pPr>
  </w:style>
  <w:style w:type="character" w:styleId="BodyText3Char" w:customStyle="1">
    <w:name w:val="Body Text 3 Char"/>
    <w:basedOn w:val="DefaultParagraphFont"/>
    <w:link w:val="BodyText3"/>
    <w:uiPriority w:val="99"/>
    <w:rsid w:val="00AA1D8D"/>
    <w:rPr>
      <w:sz w:val="16"/>
      <w:szCs w:val="16"/>
    </w:rPr>
  </w:style>
  <w:style w:type="paragraph" w:styleId="List">
    <w:uiPriority w:val="99"/>
    <w:name w:val="List"/>
    <w:basedOn w:val="Normal"/>
    <w:unhideWhenUsed/>
    <w:rsid w:val="7A6EA4F2"/>
    <w:pPr>
      <w:spacing/>
      <w:ind w:left="360" w:hanging="360"/>
      <w:contextualSpacing/>
    </w:pPr>
  </w:style>
  <w:style w:type="paragraph" w:styleId="List2">
    <w:uiPriority w:val="99"/>
    <w:name w:val="List 2"/>
    <w:basedOn w:val="Normal"/>
    <w:unhideWhenUsed/>
    <w:rsid w:val="7A6EA4F2"/>
    <w:pPr>
      <w:spacing/>
      <w:ind w:left="720" w:hanging="360"/>
      <w:contextualSpacing/>
    </w:pPr>
  </w:style>
  <w:style w:type="paragraph" w:styleId="List3">
    <w:uiPriority w:val="99"/>
    <w:name w:val="List 3"/>
    <w:basedOn w:val="Normal"/>
    <w:unhideWhenUsed/>
    <w:rsid w:val="7A6EA4F2"/>
    <w:pPr>
      <w:spacing/>
      <w:ind w:left="1080" w:hanging="360"/>
      <w:contextualSpacing/>
    </w:pPr>
  </w:style>
  <w:style w:type="paragraph" w:styleId="ListBullet">
    <w:uiPriority w:val="99"/>
    <w:name w:val="List Bullet"/>
    <w:basedOn w:val="Normal"/>
    <w:unhideWhenUsed/>
    <w:rsid w:val="7A6EA4F2"/>
    <w:pPr>
      <w:numPr>
        <w:numId w:val="1"/>
      </w:numPr>
      <w:spacing/>
      <w:contextualSpacing/>
    </w:pPr>
  </w:style>
  <w:style w:type="paragraph" w:styleId="ListBullet2">
    <w:uiPriority w:val="99"/>
    <w:name w:val="List Bullet 2"/>
    <w:basedOn w:val="Normal"/>
    <w:unhideWhenUsed/>
    <w:rsid w:val="7A6EA4F2"/>
    <w:pPr>
      <w:numPr>
        <w:numId w:val="2"/>
      </w:numPr>
      <w:spacing/>
      <w:contextualSpacing/>
    </w:pPr>
  </w:style>
  <w:style w:type="paragraph" w:styleId="ListBullet3">
    <w:uiPriority w:val="99"/>
    <w:name w:val="List Bullet 3"/>
    <w:basedOn w:val="Normal"/>
    <w:unhideWhenUsed/>
    <w:rsid w:val="7A6EA4F2"/>
    <w:pPr>
      <w:numPr>
        <w:numId w:val="3"/>
      </w:numPr>
      <w:spacing/>
      <w:contextualSpacing/>
    </w:pPr>
  </w:style>
  <w:style w:type="paragraph" w:styleId="ListNumber">
    <w:uiPriority w:val="99"/>
    <w:name w:val="List Number"/>
    <w:basedOn w:val="Normal"/>
    <w:unhideWhenUsed/>
    <w:rsid w:val="7A6EA4F2"/>
    <w:pPr>
      <w:numPr>
        <w:numId w:val="5"/>
      </w:numPr>
      <w:spacing/>
      <w:contextualSpacing/>
    </w:pPr>
  </w:style>
  <w:style w:type="paragraph" w:styleId="ListNumber2">
    <w:uiPriority w:val="99"/>
    <w:name w:val="List Number 2"/>
    <w:basedOn w:val="Normal"/>
    <w:unhideWhenUsed/>
    <w:rsid w:val="7A6EA4F2"/>
    <w:pPr>
      <w:numPr>
        <w:numId w:val="6"/>
      </w:numPr>
      <w:spacing/>
      <w:contextualSpacing/>
    </w:pPr>
  </w:style>
  <w:style w:type="paragraph" w:styleId="ListNumber3">
    <w:uiPriority w:val="99"/>
    <w:name w:val="List Number 3"/>
    <w:basedOn w:val="Normal"/>
    <w:unhideWhenUsed/>
    <w:rsid w:val="7A6EA4F2"/>
    <w:pPr>
      <w:numPr>
        <w:numId w:val="7"/>
      </w:numPr>
      <w:spacing/>
      <w:contextualSpacing/>
    </w:pPr>
  </w:style>
  <w:style w:type="paragraph" w:styleId="ListContinue">
    <w:uiPriority w:val="99"/>
    <w:name w:val="List Continue"/>
    <w:basedOn w:val="Normal"/>
    <w:unhideWhenUsed/>
    <w:rsid w:val="7A6EA4F2"/>
    <w:pPr>
      <w:spacing w:after="120"/>
      <w:ind w:left="360"/>
      <w:contextualSpacing/>
    </w:pPr>
  </w:style>
  <w:style w:type="paragraph" w:styleId="ListContinue2">
    <w:uiPriority w:val="99"/>
    <w:name w:val="List Continue 2"/>
    <w:basedOn w:val="Normal"/>
    <w:unhideWhenUsed/>
    <w:rsid w:val="7A6EA4F2"/>
    <w:pPr>
      <w:spacing w:after="120"/>
      <w:ind w:left="720"/>
      <w:contextualSpacing/>
    </w:pPr>
  </w:style>
  <w:style w:type="paragraph" w:styleId="ListContinue3">
    <w:uiPriority w:val="99"/>
    <w:name w:val="List Continue 3"/>
    <w:basedOn w:val="Normal"/>
    <w:unhideWhenUsed/>
    <w:rsid w:val="7A6EA4F2"/>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7A6EA4F2"/>
    <w:rPr>
      <w:i w:val="1"/>
      <w:iCs w:val="1"/>
      <w:color w:val="000000" w:themeColor="text1" w:themeTint="FF" w:themeShade="FF"/>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uiPriority w:val="35"/>
    <w:name w:val="caption"/>
    <w:basedOn w:val="Normal"/>
    <w:next w:val="Normal"/>
    <w:semiHidden/>
    <w:unhideWhenUsed/>
    <w:qFormat/>
    <w:rsid w:val="7A6EA4F2"/>
    <w:rPr>
      <w:b w:val="1"/>
      <w:bCs w:val="1"/>
      <w:color w:val="4F81BD" w:themeColor="accent1" w:themeTint="FF" w:themeShade="F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7A6EA4F2"/>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asks.xml><?xml version="1.0" encoding="utf-8"?>
<t:Tasks xmlns:t="http://schemas.microsoft.com/office/tasks/2019/documenttasks" xmlns:oel="http://schemas.microsoft.com/office/2019/extlst">
  <t:Task id="{C67BC264-FEFF-415E-97A8-D74601C1B65E}">
    <t:Anchor>
      <t:Comment id="184891464"/>
    </t:Anchor>
    <t:History>
      <t:Event id="{911C2B67-0C42-4768-9461-3255BECCA592}" time="2026-10-11T19:22:34.391Z">
        <t:Attribution userId="S::t321760@tjdft.jus.br::71ef89ef-9eb5-4780-8a4d-3f3a792db9c6" userProvider="AD" userName="Marcos Dwayne Saraiva Costa - GDSXSR"/>
        <t:Anchor>
          <t:Comment id="1888129895"/>
        </t:Anchor>
        <t:Create/>
      </t:Event>
      <t:Event id="{A9099FB8-1FA0-4673-8448-A211D5BA4203}" time="2026-10-11T19:22:34.391Z">
        <t:Attribution userId="S::t321760@tjdft.jus.br::71ef89ef-9eb5-4780-8a4d-3f3a792db9c6" userProvider="AD" userName="Marcos Dwayne Saraiva Costa - GDSXSR"/>
        <t:Anchor>
          <t:Comment id="1888129895"/>
        </t:Anchor>
        <t:Assign userId="S::t313207@tjdft.jus.br::d29e2de7-00a4-4621-a031-73d81317b1e9" userProvider="AD" userName="Marcelo Ribeiro Da Silva - GDSXSR"/>
      </t:Event>
      <t:Event id="{54AC2F5D-21E1-4639-8C81-C89659A16133}" time="2026-10-11T19:22:34.391Z">
        <t:Attribution userId="S::t321760@tjdft.jus.br::71ef89ef-9eb5-4780-8a4d-3f3a792db9c6" userProvider="AD" userName="Marcos Dwayne Saraiva Costa - GDSXSR"/>
        <t:Anchor>
          <t:Comment id="1888129895"/>
        </t:Anchor>
        <t:SetTitle title="@Marcelo Ribeiro Da Silva - GDSXSR indicar quem fez a liminar. Não coloque o nome do assessor que fez a liminar no nome do arquivo, vamos seguir o padrão. Ajuste a ementa ao modelo do gabinte, por favor."/>
      </t:Event>
      <t:Event id="{0C7952B5-5BE8-4F5D-B336-BAFBB63E508B}" time="2026-10-11T23:03:36.181Z">
        <t:Attribution userId="S::t313207@tjdft.jus.br::d29e2de7-00a4-4621-a031-73d81317b1e9" userProvider="AD" userName="Marcelo Ribeiro Da Silva - GDSXSR"/>
        <t:Anchor>
          <t:Comment id="1992573892"/>
        </t:Anchor>
        <t:UnassignAll/>
      </t:Event>
      <t:Event id="{582EBACF-6F68-42EA-911F-B805B123E2FC}" time="2026-10-11T23:03:36.181Z">
        <t:Attribution userId="S::t313207@tjdft.jus.br::d29e2de7-00a4-4621-a031-73d81317b1e9" userProvider="AD" userName="Marcelo Ribeiro Da Silva - GDSXSR"/>
        <t:Anchor>
          <t:Comment id="1992573892"/>
        </t:Anchor>
        <t:Assign userId="S::t321760@tjdft.jus.br::71ef89ef-9eb5-4780-8a4d-3f3a792db9c6" userProvider="AD" userName="Marcos Dwayne Saraiva Costa - GDSXSR"/>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comments" Target="comments.xml"/><Relationship Id="Rcbbabb10f6824d19" Type="http://schemas.microsoft.com/office/2016/09/relationships/commentsIds" Target="commentsIds.xml"/><Relationship Id="R6a89c3e11a324a5c" Type="http://schemas.microsoft.com/office/2011/relationships/commentsExtended" Target="commentsExtended.xml"/><Relationship Id="R87d1abcfb2244ae8" Type="http://schemas.microsoft.com/office/2018/08/relationships/commentsExtensible" Target="commentsExtensible.xml"/><Relationship Id="R3cf21916c7444e12" Type="http://schemas.microsoft.com/office/2011/relationships/people" Target="people.xml"/><Relationship Id="Rc22cb32ae97041e1" Type="http://schemas.microsoft.com/office/2019/05/relationships/documenttasks" Target="task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Marcelo Ribeiro Da Silva - GDSXSR</lastModifiedBy>
  <revision>3</revision>
  <dcterms:created xsi:type="dcterms:W3CDTF">2013-12-23T23:15:00.0000000Z</dcterms:created>
  <dcterms:modified xsi:type="dcterms:W3CDTF">2026-10-11T23:05:46.9913324Z</dcterms:modified>
  <category/>
</coreProperties>
</file>