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50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2"/>
        <w:gridCol w:w="5682"/>
      </w:tblGrid>
      <w:tr w:rsidR="00264107" w14:paraId="4680266B" w14:textId="77777777" w:rsidTr="4F3CC75C">
        <w:tc>
          <w:tcPr>
            <w:tcW w:w="28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E29C9C" w14:textId="7A7CF8CF" w:rsidR="00264107" w:rsidRDefault="00264107" w:rsidP="4F3CC75C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5C07C5B" wp14:editId="5CB1E9A6">
                  <wp:extent cx="1647825" cy="504825"/>
                  <wp:effectExtent l="0" t="0" r="9525" b="9525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4F3CC75C">
              <w:rPr>
                <w:rStyle w:val="eop"/>
                <w:rFonts w:ascii="Arial" w:hAnsi="Arial" w:cs="Arial"/>
                <w:sz w:val="28"/>
                <w:szCs w:val="28"/>
              </w:rPr>
              <w:t> </w:t>
            </w:r>
          </w:p>
        </w:tc>
        <w:tc>
          <w:tcPr>
            <w:tcW w:w="568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99F0D40" w14:textId="77777777" w:rsidR="00264107" w:rsidRDefault="00264107" w:rsidP="00FD470E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b/>
                <w:bCs/>
                <w:color w:val="595959"/>
                <w:sz w:val="20"/>
                <w:szCs w:val="20"/>
              </w:rPr>
              <w:t>Poder Judiciário da União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14:paraId="55CC1E66" w14:textId="77777777" w:rsidR="00264107" w:rsidRDefault="00264107" w:rsidP="62C261FF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Tribunal de Justiça do Distrito Federal e dos Territóri</w:t>
            </w:r>
            <w:commentRangeStart w:id="0"/>
            <w:commentRangeStart w:id="1"/>
            <w:commentRangeStart w:id="2"/>
            <w:commentRangeStart w:id="3"/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o</w:t>
            </w:r>
            <w:commentRangeEnd w:id="0"/>
            <w:r w:rsidR="00345813" w:rsidRPr="62C261FF">
              <w:rPr>
                <w:rStyle w:val="Refdecomentrio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0"/>
            </w:r>
            <w:commentRangeEnd w:id="1"/>
            <w:r w:rsidRPr="62C261FF">
              <w:rPr>
                <w:rStyle w:val="Refdecomentrio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1"/>
            </w:r>
            <w:commentRangeEnd w:id="2"/>
            <w:r w:rsidRPr="62C261FF">
              <w:rPr>
                <w:rStyle w:val="Refdecomentrio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2"/>
            </w:r>
            <w:commentRangeEnd w:id="3"/>
            <w:r w:rsidR="003A539B" w:rsidRPr="62C261FF">
              <w:rPr>
                <w:rStyle w:val="Refdecomentrio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3"/>
            </w:r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s</w:t>
            </w:r>
            <w:r w:rsidRPr="62C261FF">
              <w:rPr>
                <w:rStyle w:val="eop"/>
                <w:rFonts w:ascii="Calibri" w:hAnsi="Calibri" w:cs="Calibri"/>
                <w:color w:val="595959" w:themeColor="text1" w:themeTint="A6"/>
                <w:sz w:val="20"/>
                <w:szCs w:val="20"/>
              </w:rPr>
              <w:t> </w:t>
            </w:r>
          </w:p>
          <w:p w14:paraId="12B71A35" w14:textId="77777777" w:rsidR="00264107" w:rsidRDefault="00264107" w:rsidP="00FD470E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GDSXSR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14:paraId="15750CFE" w14:textId="77777777" w:rsidR="00264107" w:rsidRDefault="00264107" w:rsidP="00FD470E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GABINETE DO DESEMBARGADOR SÉRGIO ROCHA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</w:tc>
      </w:tr>
    </w:tbl>
    <w:p w14:paraId="3D4EAEEA" w14:textId="77777777" w:rsidR="00DB1301" w:rsidRDefault="00DB1301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tbl>
      <w:tblPr>
        <w:tblW w:w="8723" w:type="dxa"/>
        <w:tblLayout w:type="fixed"/>
        <w:tblLook w:val="0000" w:firstRow="0" w:lastRow="0" w:firstColumn="0" w:lastColumn="0" w:noHBand="0" w:noVBand="0"/>
      </w:tblPr>
      <w:tblGrid>
        <w:gridCol w:w="3686"/>
        <w:gridCol w:w="447"/>
        <w:gridCol w:w="4590"/>
      </w:tblGrid>
      <w:tr w:rsidR="00770E7F" w:rsidRPr="009F36E1" w14:paraId="39579C6E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0E990AE5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Órgão</w:t>
            </w:r>
          </w:p>
        </w:tc>
        <w:tc>
          <w:tcPr>
            <w:tcW w:w="447" w:type="dxa"/>
            <w:vAlign w:val="center"/>
          </w:tcPr>
          <w:p w14:paraId="2043BC66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619F5A49" w14:textId="77777777" w:rsidR="00770E7F" w:rsidRPr="009F36E1" w:rsidRDefault="00000000" w:rsidP="00B34ADF">
            <w:pPr>
              <w:spacing w:line="240" w:lineRule="auto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cs="Arial"/>
                  <w:sz w:val="28"/>
                  <w:szCs w:val="28"/>
                </w:rPr>
                <w:alias w:val="Órgão"/>
                <w:tag w:val="Órgão"/>
                <w:id w:val="-940843638"/>
                <w:placeholder>
                  <w:docPart w:val="A3B9A70FAF5543A087E733AB63B30A08"/>
                </w:placeholder>
                <w15:color w:val="000000"/>
                <w:dropDownList>
                  <w:listItem w:value="Escolher um item."/>
                  <w:listItem w:displayText="4ª Turma Cível" w:value="4ª Turma Cível"/>
                  <w:listItem w:displayText="2ª Câmara Cível" w:value="2ª Câmara Cível"/>
                  <w:listItem w:displayText="Conselho Especial Jurisdicional" w:value="Conselho Especial Jurisdicional"/>
                  <w:listItem w:displayText="Conselho Especial Administrativo" w:value="Conselho Especial Administrativo"/>
                  <w:listItem w:displayText="Tribunal Pleno" w:value="Tribunal Pleno"/>
                  <w:listItem w:displayText="Conselho da Magistratura" w:value="Conselho da Magistratura"/>
                </w:dropDownList>
              </w:sdtPr>
              <w:sdtContent>
                <w:r w:rsidR="00770E7F" w:rsidRPr="009F36E1">
                  <w:rPr>
                    <w:rFonts w:ascii="Arial" w:hAnsi="Arial" w:cs="Arial"/>
                    <w:sz w:val="28"/>
                    <w:szCs w:val="28"/>
                  </w:rPr>
                  <w:t>4ª Turma Cível</w:t>
                </w:r>
              </w:sdtContent>
            </w:sdt>
          </w:p>
        </w:tc>
      </w:tr>
      <w:tr w:rsidR="00770E7F" w:rsidRPr="009F36E1" w14:paraId="1234CB9C" w14:textId="77777777" w:rsidTr="21E019B6">
        <w:trPr>
          <w:cantSplit/>
          <w:trHeight w:val="570"/>
        </w:trPr>
        <w:tc>
          <w:tcPr>
            <w:tcW w:w="3686" w:type="dxa"/>
            <w:vAlign w:val="center"/>
          </w:tcPr>
          <w:p w14:paraId="7118EFBD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Classe</w:t>
            </w:r>
          </w:p>
        </w:tc>
        <w:tc>
          <w:tcPr>
            <w:tcW w:w="447" w:type="dxa"/>
            <w:vAlign w:val="center"/>
          </w:tcPr>
          <w:p w14:paraId="64B2264F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sdt>
            <w:sdtPr>
              <w:rPr>
                <w:rFonts w:cs="Arial"/>
                <w:i w:val="0"/>
                <w:iCs w:val="0"/>
                <w:sz w:val="28"/>
                <w:szCs w:val="28"/>
              </w:rPr>
              <w:id w:val="1558446301"/>
              <w:placeholder>
                <w:docPart w:val="3FA3A92DAD524C3DB57C04BE729E38DD"/>
              </w:placeholder>
              <w15:color w:val="000000"/>
              <w:comboBox>
                <w:listItem w:value="Escolher um item."/>
                <w:listItem w:displayText="Apelação Cível" w:value="Apelação Cível"/>
                <w:listItem w:displayText="Agravo de Instrumento" w:value="Agravo de Instrumento"/>
                <w:listItem w:displayText="Embargos de Declaração" w:value="Embargos de Declaração"/>
                <w:listItem w:displayText="Agravo Interno" w:value="Agravo Interno"/>
                <w:listItem w:displayText="Agravo de Instrumento e Agravo Interno" w:value="Agravo de Instrumento e Agravo Interno"/>
                <w:listItem w:displayText="Apelação e Reexame Necessário" w:value="Apelação e Reexame Necessário"/>
                <w:listItem w:displayText="Reexame Necessário" w:value="Reexame Necessário"/>
                <w:listItem w:displayText="Mandado de Segurança" w:value="Mandado de Segurança"/>
                <w:listItem w:displayText="Mandado de Injunção" w:value="Mandado de Injunção"/>
                <w:listItem w:displayText="Ação Direta de Constitucionalidade" w:value="Ação Direta de Constitucionalidade"/>
                <w:listItem w:displayText="Ação Declaratória de Constitucionalidade" w:value="Ação Declaratória de Constitucionalidade"/>
                <w:listItem w:displayText="Ação Penal Originária" w:value="Ação Penal Originária"/>
                <w:listItem w:displayText="Conflito de Competência" w:value="Conflito de Competência"/>
                <w:listItem w:displayText="Ação Rescisória" w:value="Ação Rescisória"/>
                <w:listItem w:displayText="Reclamação" w:value="Reclamação"/>
                <w:listItem w:displayText="Petição" w:value="Petição"/>
              </w:comboBox>
            </w:sdtPr>
            <w:sdtContent>
              <w:p w14:paraId="2174A042" w14:textId="4BD4FA6E" w:rsidR="00770E7F" w:rsidRPr="009F36E1" w:rsidRDefault="00F63CDB" w:rsidP="00B34ADF">
                <w:pPr>
                  <w:pStyle w:val="Citao"/>
                  <w:ind w:left="0" w:firstLine="0"/>
                  <w:jc w:val="both"/>
                  <w:rPr>
                    <w:rFonts w:cs="Arial"/>
                    <w:i w:val="0"/>
                    <w:iCs w:val="0"/>
                    <w:sz w:val="28"/>
                    <w:szCs w:val="28"/>
                  </w:rPr>
                </w:pPr>
                <w:r>
                  <w:rPr>
                    <w:rFonts w:cs="Arial"/>
                    <w:i w:val="0"/>
                    <w:iCs w:val="0"/>
                    <w:sz w:val="28"/>
                    <w:szCs w:val="28"/>
                  </w:rPr>
                  <w:t>Apelação Cível</w:t>
                </w:r>
              </w:p>
            </w:sdtContent>
          </w:sdt>
        </w:tc>
      </w:tr>
      <w:tr w:rsidR="00770E7F" w:rsidRPr="009F36E1" w14:paraId="32B00EA9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0E73EC07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Processo nº</w:t>
            </w:r>
          </w:p>
        </w:tc>
        <w:tc>
          <w:tcPr>
            <w:tcW w:w="447" w:type="dxa"/>
            <w:vAlign w:val="center"/>
          </w:tcPr>
          <w:p w14:paraId="10327F8B" w14:textId="5A82C08D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20EF5200">
              <w:rPr>
                <w:rFonts w:ascii="Arial" w:hAnsi="Arial" w:cs="Arial"/>
                <w:sz w:val="28"/>
                <w:szCs w:val="28"/>
              </w:rPr>
              <w:t>:</w:t>
            </w:r>
            <w:r w:rsidR="3757F389" w:rsidRPr="20EF5200">
              <w:rPr>
                <w:rFonts w:ascii="Arial" w:hAnsi="Arial" w:cs="Arial"/>
                <w:sz w:val="28"/>
                <w:szCs w:val="28"/>
              </w:rPr>
              <w:t xml:space="preserve"> </w:t>
            </w:r>
          </w:p>
        </w:tc>
        <w:tc>
          <w:tcPr>
            <w:tcW w:w="4590" w:type="dxa"/>
            <w:vAlign w:val="center"/>
          </w:tcPr>
          <w:p w14:paraId="7C53B768" w14:textId="57615DCE" w:rsidR="00770E7F" w:rsidRPr="009F36E1" w:rsidRDefault="00284625" w:rsidP="00B34ADF">
            <w:pPr>
              <w:ind w:right="-675"/>
              <w:rPr>
                <w:rFonts w:ascii="Arial" w:hAnsi="Arial" w:cs="Arial"/>
                <w:sz w:val="28"/>
                <w:szCs w:val="28"/>
              </w:rPr>
            </w:pPr>
            <w:r w:rsidRPr="00284625">
              <w:rPr>
                <w:rFonts w:ascii="Arial" w:hAnsi="Arial" w:cs="Arial"/>
                <w:sz w:val="28"/>
                <w:szCs w:val="28"/>
              </w:rPr>
              <w:t>0716140-25.2025.8.07.0001</w:t>
            </w:r>
          </w:p>
        </w:tc>
      </w:tr>
      <w:tr w:rsidR="00770E7F" w:rsidRPr="009F36E1" w14:paraId="48ED7BFE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272F493B" w14:textId="1AD7452F" w:rsidR="00770E7F" w:rsidRPr="00F63CDB" w:rsidRDefault="00000000" w:rsidP="00B34ADF">
            <w:pPr>
              <w:spacing w:line="240" w:lineRule="auto"/>
              <w:ind w:right="34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254128301"/>
                <w:placeholder>
                  <w:docPart w:val="D299773260594DFB838BAFD35996AEEF"/>
                </w:placeholder>
                <w15:color w:val="808080"/>
                <w:comboBox>
                  <w:listItem w:value="Escolher um item."/>
                  <w:listItem w:displayText="Apelante" w:value="Apelante"/>
                  <w:listItem w:displayText="Agravante" w:value="Agravante"/>
                  <w:listItem w:displayText="Requerente" w:value="Requerente"/>
                  <w:listItem w:displayText="Autor" w:value="Autor"/>
                  <w:listItem w:displayText="Embargante" w:value="Embargante"/>
                  <w:listItem w:displayText="Suscitante" w:value="Suscitante"/>
                  <w:listItem w:displayText="Impetrante" w:value="Impetrante"/>
                  <w:listItem w:displayText="Exequente" w:value="Exequente"/>
                </w:comboBox>
              </w:sdtPr>
              <w:sdtContent>
                <w:r w:rsidR="00F63CDB" w:rsidRPr="00F63CDB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Apelante</w:t>
                </w:r>
              </w:sdtContent>
            </w:sdt>
            <w:r w:rsidR="00770E7F" w:rsidRPr="00F63CDB">
              <w:rPr>
                <w:rFonts w:ascii="Arial" w:hAnsi="Arial" w:cs="Arial"/>
                <w:sz w:val="28"/>
                <w:szCs w:val="28"/>
              </w:rPr>
              <w:t xml:space="preserve"> (s)</w:t>
            </w:r>
          </w:p>
        </w:tc>
        <w:tc>
          <w:tcPr>
            <w:tcW w:w="447" w:type="dxa"/>
            <w:vAlign w:val="center"/>
          </w:tcPr>
          <w:p w14:paraId="5C191C1F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4A58BA3C" w14:textId="28DB51A5" w:rsidR="00770E7F" w:rsidRPr="009F36E1" w:rsidRDefault="00284625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Rose Mary Cerqueira Ramos </w:t>
            </w:r>
          </w:p>
        </w:tc>
      </w:tr>
      <w:tr w:rsidR="00770E7F" w:rsidRPr="009F36E1" w14:paraId="55763F2D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59BAA433" w14:textId="5D3E5176" w:rsidR="00770E7F" w:rsidRPr="009F36E1" w:rsidRDefault="00000000" w:rsidP="009F36E1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1351640470"/>
                <w:placeholder>
                  <w:docPart w:val="7AA328237CE04ECF8850841618042D0C"/>
                </w:placeholder>
                <w15:color w:val="000000"/>
                <w:comboBox>
                  <w:listItem w:value="Escolher um item."/>
                  <w:listItem w:displayText="Apelado" w:value="Apelado"/>
                  <w:listItem w:displayText="Agravado" w:value="Agravado"/>
                  <w:listItem w:displayText="Autoridade coatora" w:value="Autoridade coatora"/>
                  <w:listItem w:displayText="Embargado" w:value="Embargado"/>
                  <w:listItem w:displayText="Requerido" w:value="Requerido"/>
                  <w:listItem w:displayText="Executado" w:value="Executado"/>
                  <w:listItem w:displayText="Suscitado" w:value="Suscitado"/>
                </w:comboBox>
              </w:sdtPr>
              <w:sdtContent>
                <w:r w:rsidR="00F63CDB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Apelado</w:t>
                </w:r>
              </w:sdtContent>
            </w:sdt>
            <w:r w:rsidR="00770E7F" w:rsidRPr="009F36E1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9F36E1">
              <w:rPr>
                <w:rFonts w:ascii="Arial" w:hAnsi="Arial" w:cs="Arial"/>
                <w:sz w:val="28"/>
                <w:szCs w:val="28"/>
              </w:rPr>
              <w:t>(</w:t>
            </w:r>
            <w:r w:rsidR="00770E7F" w:rsidRPr="009F36E1">
              <w:rPr>
                <w:rFonts w:ascii="Arial" w:hAnsi="Arial" w:cs="Arial"/>
                <w:sz w:val="28"/>
                <w:szCs w:val="28"/>
              </w:rPr>
              <w:t>a)(s)</w:t>
            </w:r>
          </w:p>
        </w:tc>
        <w:tc>
          <w:tcPr>
            <w:tcW w:w="447" w:type="dxa"/>
            <w:vAlign w:val="center"/>
          </w:tcPr>
          <w:p w14:paraId="683A2C11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1AB96577" w14:textId="0C9DD8B7" w:rsidR="00770E7F" w:rsidRPr="009F36E1" w:rsidRDefault="00A32384" w:rsidP="00B34ADF">
            <w:pPr>
              <w:ind w:right="-74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Luminar Saúde Associação de Assistência à Saúde</w:t>
            </w:r>
          </w:p>
        </w:tc>
      </w:tr>
      <w:tr w:rsidR="00770E7F" w:rsidRPr="009F36E1" w14:paraId="640EA867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34627CFC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Relator(a)</w:t>
            </w:r>
          </w:p>
        </w:tc>
        <w:tc>
          <w:tcPr>
            <w:tcW w:w="447" w:type="dxa"/>
            <w:vAlign w:val="center"/>
          </w:tcPr>
          <w:p w14:paraId="4161AF01" w14:textId="77777777" w:rsidR="00770E7F" w:rsidRPr="009F36E1" w:rsidRDefault="00770E7F" w:rsidP="00B34ADF">
            <w:pPr>
              <w:ind w:right="-11"/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5B83A2F0" w14:textId="77777777" w:rsidR="00770E7F" w:rsidRPr="009F36E1" w:rsidRDefault="00770E7F" w:rsidP="00B34ADF">
            <w:pPr>
              <w:rPr>
                <w:rFonts w:ascii="Arial" w:hAnsi="Arial" w:cs="Arial"/>
                <w:b/>
                <w:sz w:val="28"/>
                <w:szCs w:val="28"/>
              </w:rPr>
            </w:pPr>
            <w:r w:rsidRPr="009F36E1">
              <w:rPr>
                <w:rFonts w:ascii="Arial" w:hAnsi="Arial" w:cs="Arial"/>
                <w:b/>
                <w:bCs/>
                <w:sz w:val="28"/>
                <w:szCs w:val="28"/>
              </w:rPr>
              <w:t>Des. Sérgio Rocha</w:t>
            </w:r>
          </w:p>
        </w:tc>
      </w:tr>
    </w:tbl>
    <w:p w14:paraId="638734C5" w14:textId="77777777" w:rsidR="00886ABA" w:rsidRDefault="00886ABA" w:rsidP="00886AB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06BF179A" w14:textId="6F05C250" w:rsidR="00886ABA" w:rsidRDefault="00886ABA" w:rsidP="00915CEC">
      <w:pPr>
        <w:spacing w:after="0" w:line="360" w:lineRule="auto"/>
        <w:rPr>
          <w:rFonts w:ascii="Arial" w:hAnsi="Arial" w:cs="Arial"/>
          <w:sz w:val="28"/>
          <w:szCs w:val="28"/>
        </w:rPr>
      </w:pPr>
      <w:r w:rsidRPr="45CC8256">
        <w:rPr>
          <w:rFonts w:ascii="Arial" w:hAnsi="Arial" w:cs="Arial"/>
          <w:b/>
          <w:bCs/>
          <w:sz w:val="28"/>
          <w:szCs w:val="28"/>
        </w:rPr>
        <w:t>EMENTA</w:t>
      </w:r>
    </w:p>
    <w:p w14:paraId="11486012" w14:textId="0B08D655" w:rsidR="00E30825" w:rsidRPr="00E30825" w:rsidRDefault="00C44921" w:rsidP="3B713A7A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  <w:commentRangeStart w:id="4"/>
      <w:commentRangeStart w:id="29"/>
      <w:r>
        <w:rPr>
          <w:rFonts w:ascii="Arial" w:hAnsi="Arial" w:cs="Arial"/>
          <w:smallCaps/>
          <w:sz w:val="28"/>
          <w:szCs w:val="28"/>
        </w:rPr>
        <w:t xml:space="preserve">APELAÇÃO CÍVEL. DIREITO</w:t>
      </w:r>
      <w:r>
        <w:rPr>
          <w:rFonts w:ascii="Arial" w:hAnsi="Arial" w:cs="Arial"/>
          <w:smallCaps/>
          <w:sz w:val="28"/>
          <w:szCs w:val="28"/>
        </w:rPr>
        <w:t xml:space="preserve"> CIVIL. AÇÃO DE COBRANÇA. PLANO DE SAÚDE </w:t>
      </w:r>
      <w:r>
        <w:rPr>
          <w:rFonts w:ascii="Arial" w:hAnsi="Arial" w:cs="Arial"/>
          <w:smallCaps/>
          <w:sz w:val="28"/>
          <w:szCs w:val="28"/>
        </w:rPr>
        <w:t xml:space="preserve">DE AUTOGESTÃO. INAPLICABILIDADE DO CDC</w:t>
      </w:r>
      <w:r>
        <w:rPr>
          <w:rFonts w:ascii="Arial" w:hAnsi="Arial" w:cs="Arial"/>
          <w:smallCaps/>
          <w:sz w:val="28"/>
          <w:szCs w:val="28"/>
        </w:rPr>
        <w:t xml:space="preserve">. ÔNUS DA PROVA DO PAGAMENTO. CARTA DE PORTABILIDADE</w:t>
      </w:r>
      <w:r>
        <w:rPr>
          <w:rFonts w:ascii="Arial" w:hAnsi="Arial" w:cs="Arial"/>
          <w:smallCaps/>
          <w:sz w:val="28"/>
          <w:szCs w:val="28"/>
        </w:rPr>
        <w:t xml:space="preserve"> </w:t>
      </w:r>
      <w:r>
        <w:rPr>
          <w:rFonts w:ascii="Arial" w:hAnsi="Arial" w:cs="Arial"/>
          <w:smallCaps/>
          <w:color w:val="808080"/>
          <w:sz w:val="28"/>
          <w:szCs w:val="28"/>
        </w:rPr>
        <w:t xml:space="preserve">SEM</w:t>
      </w:r>
      <w:r>
        <w:rPr>
          <w:rFonts w:ascii="Arial" w:hAnsi="Arial" w:cs="Arial"/>
          <w:smallCaps/>
          <w:sz w:val="28"/>
          <w:szCs w:val="28"/>
        </w:rPr>
        <w:t xml:space="preserve"> QUITAÇÃO EXPRESSA. </w:t>
      </w:r>
      <w:r>
        <w:rPr>
          <w:rFonts w:ascii="Arial" w:hAnsi="Arial" w:cs="Arial"/>
          <w:smallCaps/>
          <w:color w:val="808080"/>
          <w:sz w:val="28"/>
          <w:szCs w:val="28"/>
        </w:rPr>
        <w:t xml:space="preserve">SUPRESSIO</w:t>
      </w:r>
      <w:r>
        <w:rPr>
          <w:rFonts w:ascii="Arial" w:hAnsi="Arial" w:cs="Arial"/>
          <w:i/>
          <w:iCs/>
          <w:smallCaps/>
          <w:sz w:val="28"/>
          <w:szCs w:val="28"/>
        </w:rPr>
        <w:t xml:space="preserve"> </w:t>
      </w:r>
      <w:r>
        <w:rPr>
          <w:rFonts w:ascii="Arial" w:hAnsi="Arial" w:cs="Arial"/>
          <w:smallCaps/>
          <w:sz w:val="28"/>
          <w:szCs w:val="28"/>
        </w:rPr>
        <w:t xml:space="preserve">E</w:t>
      </w:r>
      <w:r>
        <w:rPr>
          <w:rFonts w:ascii="Arial" w:hAnsi="Arial" w:cs="Arial"/>
          <w:i/>
          <w:iCs/>
          <w:smallCaps/>
          <w:sz w:val="28"/>
          <w:szCs w:val="28"/>
        </w:rPr>
        <w:t xml:space="preserve"> VENIRE CONTRA FACTUM PROPRIUM</w:t>
      </w:r>
      <w:r>
        <w:rPr>
          <w:rFonts w:ascii="Arial" w:hAnsi="Arial" w:cs="Arial"/>
          <w:smallCaps/>
          <w:sz w:val="28"/>
          <w:szCs w:val="28"/>
        </w:rPr>
        <w:t xml:space="preserve">. NÃO CONFIGURAÇÃO. </w:t>
      </w:r>
      <w:r>
        <w:rPr>
          <w:rFonts w:ascii="Arial" w:eastAsia="Arial" w:hAnsi="Arial" w:cs="Arial"/>
          <w:color w:val="000000" w:themeColor="text1"/>
          <w:sz w:val="28"/>
          <w:szCs w:val="28"/>
        </w:rPr>
        <w:t xml:space="preserve">RECURSO NÃO PROVIDO.</w:t>
      </w:r>
      <w:commentRangeEnd w:id="29"/>
      <w:r>
        <w:rPr>
          <w:rStyle w:val="CommentReference"/>
        </w:rPr>
        <w:commentReference w:id="29"/>
      </w:r>
      <w:commentRangeEnd w:id="4"/>
      <w:r w:rsidRPr="00E30825">
        <w:rPr>
          <w:rStyle w:val="Refdecomentrio"/>
          <w:rFonts w:ascii="Arial" w:eastAsia="Arial" w:hAnsi="Arial" w:cs="Arial"/>
          <w:sz w:val="28"/>
          <w:szCs w:val="28"/>
        </w:rPr>
        <w:commentReference w:id="4"/>
      </w:r>
    </w:p>
    <w:p w14:paraId="515C6761" w14:textId="77777777" w:rsidR="00886ABA" w:rsidRPr="0034247B" w:rsidRDefault="00886ABA" w:rsidP="00886ABA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I. Caso em exame</w:t>
      </w:r>
    </w:p>
    <w:p w14:paraId="39A113BB" w14:textId="77777777" w:rsidR="0028363E" w:rsidRDefault="00886ABA" w:rsidP="0028363E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commentRangeStart w:id="5"/>
      <w:r>
        <w:rPr>
          <w:rFonts w:ascii="Arial" w:hAnsi="Arial" w:cs="Arial"/>
          <w:sz w:val="28"/>
          <w:szCs w:val="28"/>
        </w:rPr>
        <w:t xml:space="preserve">1. Ação de cobrança proposta por Luminar Saúde Associação de Assistência à Saúde contra pessoa natural, </w:t>
      </w:r>
      <w:r>
        <w:rPr>
          <w:rFonts w:ascii="Arial" w:hAnsi="Arial" w:cs="Arial"/>
          <w:color w:val="808080"/>
          <w:sz w:val="28"/>
          <w:szCs w:val="28"/>
        </w:rPr>
        <w:t xml:space="preserve">por</w:t>
      </w:r>
      <w:r>
        <w:rPr>
          <w:rFonts w:ascii="Arial" w:hAnsi="Arial" w:cs="Arial"/>
          <w:sz w:val="28"/>
          <w:szCs w:val="28"/>
        </w:rPr>
        <w:t xml:space="preserve"> mensalidades e coparticipações</w:t>
      </w:r>
      <w:r>
        <w:rPr>
          <w:rFonts w:ascii="Arial" w:hAnsi="Arial" w:cs="Arial"/>
          <w:sz w:val="28"/>
          <w:szCs w:val="28"/>
        </w:rPr>
        <w:t xml:space="preserve"> de plano de saúde </w:t>
      </w:r>
      <w:r>
        <w:rPr>
          <w:rFonts w:ascii="Arial" w:hAnsi="Arial" w:cs="Arial"/>
          <w:color w:val="808080"/>
          <w:sz w:val="28"/>
          <w:szCs w:val="28"/>
        </w:rPr>
        <w:t xml:space="preserve">de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autogestão (R$ 23</w:t>
      </w:r>
      <w:r>
        <w:rPr>
          <w:rFonts w:ascii="Arial" w:hAnsi="Arial" w:cs="Arial"/>
          <w:sz w:val="28"/>
          <w:szCs w:val="28"/>
        </w:rPr>
        <w:t xml:space="preserve">.</w:t>
      </w:r>
      <w:r>
        <w:rPr>
          <w:rFonts w:ascii="Arial" w:hAnsi="Arial" w:cs="Arial"/>
          <w:color w:val="808080"/>
          <w:sz w:val="28"/>
          <w:szCs w:val="28"/>
        </w:rPr>
        <w:t xml:space="preserve">548,08).</w:t>
      </w:r>
      <w:commentRangeEnd w:id="5"/>
      <w:r>
        <w:rPr>
          <w:rStyle w:val="Refdecomentrio"/>
          <w:rFonts w:ascii="Arial" w:hAnsi="Arial" w:cs="Arial"/>
          <w:sz w:val="28"/>
          <w:szCs w:val="28"/>
        </w:rPr>
        <w:commentReference w:id="5"/>
      </w:r>
    </w:p>
    <w:p w14:paraId="3800DBCC" w14:textId="77777777" w:rsidR="0028363E" w:rsidRDefault="0028363E" w:rsidP="0028363E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2. </w:t>
      </w:r>
      <w:r>
        <w:rPr>
          <w:rFonts w:ascii="Arial" w:hAnsi="Arial" w:cs="Arial"/>
          <w:sz w:val="28"/>
          <w:szCs w:val="28"/>
        </w:rPr>
        <w:t xml:space="preserve">A sentença julgou procedente o pedido para condenar a ré ao pagamento de R$ 12.285,76, </w:t>
      </w:r>
      <w:r>
        <w:rPr>
          <w:rFonts w:ascii="Arial" w:hAnsi="Arial" w:cs="Arial"/>
          <w:color w:val="808080"/>
          <w:sz w:val="28"/>
          <w:szCs w:val="28"/>
        </w:rPr>
        <w:t xml:space="preserve">com</w:t>
      </w:r>
      <w:r>
        <w:rPr>
          <w:rFonts w:ascii="Arial" w:hAnsi="Arial" w:cs="Arial"/>
          <w:sz w:val="28"/>
          <w:szCs w:val="28"/>
        </w:rPr>
        <w:t xml:space="preserve"> correção monetária, juros</w:t>
      </w:r>
      <w:r>
        <w:rPr>
          <w:rFonts w:ascii="Arial" w:hAnsi="Arial" w:cs="Arial"/>
          <w:sz w:val="28"/>
          <w:szCs w:val="28"/>
        </w:rPr>
        <w:t xml:space="preserve"> e multa contratual de 2%.</w:t>
      </w:r>
    </w:p>
    <w:p w14:paraId="3CC7FA98" w14:textId="6439AF86" w:rsidR="00511630" w:rsidRDefault="008B20AB" w:rsidP="0028363E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commentRangeStart w:id="6"/>
      <w:r>
        <w:rPr>
          <w:rFonts w:ascii="Arial" w:hAnsi="Arial" w:cs="Arial"/>
          <w:sz w:val="28"/>
          <w:szCs w:val="28"/>
        </w:rPr>
        <w:t xml:space="preserve">3. A ré apelou sustentando </w:t>
      </w:r>
      <w:r>
        <w:rPr>
          <w:rFonts w:ascii="Arial" w:hAnsi="Arial" w:cs="Arial"/>
          <w:color w:val="808080"/>
          <w:sz w:val="28"/>
          <w:szCs w:val="28"/>
        </w:rPr>
        <w:t xml:space="preserve">violação da boa-fé objetiva (</w:t>
      </w:r>
      <w:r>
        <w:rPr>
          <w:rFonts w:ascii="Arial" w:hAnsi="Arial" w:cs="Arial"/>
          <w:i/>
          <w:iCs/>
          <w:color w:val="808080"/>
          <w:sz w:val="28"/>
          <w:szCs w:val="28"/>
        </w:rPr>
        <w:t xml:space="preserve">venire contra factum proprium</w:t>
      </w:r>
      <w:r>
        <w:rPr>
          <w:rFonts w:ascii="Arial" w:hAnsi="Arial" w:cs="Arial"/>
          <w:color w:val="808080"/>
          <w:sz w:val="28"/>
          <w:szCs w:val="28"/>
        </w:rPr>
        <w:t xml:space="preserve">) e </w:t>
      </w:r>
      <w:r>
        <w:rPr>
          <w:rFonts w:ascii="Arial" w:hAnsi="Arial" w:cs="Arial"/>
          <w:i/>
          <w:iCs/>
          <w:color w:val="808080"/>
          <w:sz w:val="28"/>
          <w:szCs w:val="28"/>
        </w:rPr>
        <w:t xml:space="preserve">supressio</w:t>
      </w:r>
      <w:r>
        <w:rPr>
          <w:rFonts w:ascii="Arial" w:hAnsi="Arial" w:cs="Arial"/>
          <w:color w:val="808080"/>
          <w:sz w:val="28"/>
          <w:szCs w:val="28"/>
        </w:rPr>
        <w:t xml:space="preserve">, pela cobrança de débitos não indicados na carta de portabilidade, aplicação</w:t>
      </w:r>
      <w:r>
        <w:rPr>
          <w:rFonts w:ascii="Arial" w:hAnsi="Arial" w:cs="Arial"/>
          <w:sz w:val="28"/>
          <w:szCs w:val="28"/>
        </w:rPr>
        <w:t xml:space="preserve"> do </w:t>
      </w:r>
      <w:r>
        <w:rPr>
          <w:rFonts w:ascii="Arial" w:hAnsi="Arial" w:cs="Arial"/>
          <w:color w:val="808080"/>
          <w:sz w:val="28"/>
          <w:szCs w:val="28"/>
        </w:rPr>
        <w:t xml:space="preserve">CDC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e</w:t>
      </w:r>
      <w:r>
        <w:rPr>
          <w:rFonts w:ascii="Arial" w:hAnsi="Arial" w:cs="Arial"/>
          <w:sz w:val="28"/>
          <w:szCs w:val="28"/>
        </w:rPr>
        <w:t xml:space="preserve"> falta</w:t>
      </w:r>
      <w:r>
        <w:rPr>
          <w:rFonts w:ascii="Arial" w:hAnsi="Arial" w:cs="Arial"/>
          <w:sz w:val="28"/>
          <w:szCs w:val="28"/>
        </w:rPr>
        <w:t xml:space="preserve"> dos boletos bancários, postulando a improcedência da cobrança.</w:t>
      </w:r>
      <w:commentRangeEnd w:id="6"/>
      <w:r>
        <w:rPr>
          <w:rStyle w:val="Refdecomentrio"/>
          <w:rFonts w:ascii="Arial" w:hAnsi="Arial" w:cs="Arial"/>
          <w:sz w:val="28"/>
          <w:szCs w:val="28"/>
        </w:rPr>
        <w:commentReference w:id="6"/>
      </w:r>
    </w:p>
    <w:p w14:paraId="75F97632" w14:textId="77777777" w:rsidR="00886ABA" w:rsidRPr="0034247B" w:rsidRDefault="00886ABA" w:rsidP="00886ABA">
      <w:pPr>
        <w:pStyle w:val="PargrafodaLista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II. Questão em discussão</w:t>
      </w:r>
    </w:p>
    <w:p w14:paraId="4FB459D6" w14:textId="6FF3B7F0" w:rsidR="009C7443" w:rsidRPr="009C7443" w:rsidRDefault="00511630" w:rsidP="009C7443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4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Há duas questões em discussão: (i) saber se a autora comprovou </w:t>
      </w:r>
      <w:r>
        <w:rPr>
          <w:rFonts w:ascii="Arial" w:hAnsi="Arial" w:cs="Arial"/>
          <w:color w:val="808080"/>
          <w:sz w:val="28"/>
          <w:szCs w:val="28"/>
        </w:rPr>
        <w:t xml:space="preserve">as</w:t>
      </w:r>
      <w:r>
        <w:rPr>
          <w:rFonts w:ascii="Arial" w:hAnsi="Arial" w:cs="Arial"/>
          <w:sz w:val="28"/>
          <w:szCs w:val="28"/>
        </w:rPr>
        <w:t xml:space="preserve"> obrigações inadimplidas; e (ii) saber se a carta emitida para</w:t>
      </w:r>
      <w:r>
        <w:rPr>
          <w:rFonts w:ascii="Arial" w:hAnsi="Arial" w:cs="Arial"/>
          <w:sz w:val="28"/>
          <w:szCs w:val="28"/>
        </w:rPr>
        <w:t xml:space="preserve"> a portabilidade do plano de saúde configura quitação dos débitos ou impede a </w:t>
      </w:r>
      <w:r>
        <w:rPr>
          <w:rFonts w:ascii="Arial" w:hAnsi="Arial" w:cs="Arial"/>
          <w:sz w:val="28"/>
          <w:szCs w:val="28"/>
        </w:rPr>
        <w:t xml:space="preserve">cobrança, à luz</w:t>
      </w:r>
      <w:r>
        <w:rPr>
          <w:rFonts w:ascii="Arial" w:hAnsi="Arial" w:cs="Arial"/>
          <w:sz w:val="28"/>
          <w:szCs w:val="28"/>
        </w:rPr>
        <w:t xml:space="preserve"> da </w:t>
      </w:r>
      <w:r>
        <w:rPr>
          <w:rFonts w:ascii="Arial" w:hAnsi="Arial" w:cs="Arial"/>
          <w:i/>
          <w:iCs/>
          <w:sz w:val="28"/>
          <w:szCs w:val="28"/>
        </w:rPr>
        <w:t xml:space="preserve">supressio</w:t>
      </w:r>
      <w:r>
        <w:rPr>
          <w:rFonts w:ascii="Arial" w:hAnsi="Arial" w:cs="Arial"/>
          <w:sz w:val="28"/>
          <w:szCs w:val="28"/>
        </w:rPr>
        <w:t xml:space="preserve"> e do </w:t>
      </w:r>
      <w:r>
        <w:rPr>
          <w:rFonts w:ascii="Arial" w:hAnsi="Arial" w:cs="Arial"/>
          <w:i/>
          <w:iCs/>
          <w:sz w:val="28"/>
          <w:szCs w:val="28"/>
        </w:rPr>
        <w:t xml:space="preserve">venire contra factum proprium</w:t>
      </w:r>
      <w:r>
        <w:rPr>
          <w:rFonts w:ascii="Arial" w:hAnsi="Arial" w:cs="Arial"/>
          <w:sz w:val="28"/>
          <w:szCs w:val="28"/>
        </w:rPr>
        <w:t xml:space="preserve">.</w:t>
      </w:r>
    </w:p>
    <w:p w14:paraId="514DEA23" w14:textId="54E74779" w:rsidR="00886ABA" w:rsidRPr="0034247B" w:rsidRDefault="00886ABA" w:rsidP="00886ABA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III. Razões de decidir</w:t>
      </w:r>
    </w:p>
    <w:p w14:paraId="528129E5" w14:textId="31EB835C" w:rsidR="003B1726" w:rsidRDefault="00000000">
      <w:pPr>
        <w:pStyle w:val="PargrafodaLista"/>
        <w:spacing w:after="0" w:line="360" w:lineRule="auto"/>
        <w:ind w:left="0"/>
        <w:jc w:val="both"/>
      </w:pPr>
      <w:commentRangeStart w:id="7"/>
      <w:r>
        <w:rPr>
          <w:rFonts w:ascii="Arial" w:hAnsi="Arial" w:cs="Arial"/>
          <w:sz w:val="28"/>
          <w:szCs w:val="28"/>
        </w:rPr>
        <w:t xml:space="preserve">5.</w:t>
      </w:r>
      <w:r>
        <w:t xml:space="preserve"> </w:t>
      </w:r>
      <w:r>
        <w:rPr>
          <w:rFonts w:ascii="Arial" w:hAnsi="Arial" w:cs="Arial"/>
          <w:color w:val="833C0B" w:themeColor="accent2" w:themeShade="80"/>
          <w:sz w:val="28"/>
          <w:szCs w:val="28"/>
        </w:rPr>
        <w:t xml:space="preserve">Não se aplica</w:t>
      </w:r>
      <w:r>
        <w:rPr>
          <w:rFonts w:ascii="Arial" w:hAnsi="Arial" w:cs="Arial"/>
          <w:color w:val="833C0B" w:themeColor="accent2" w:themeShade="80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o </w:t>
      </w:r>
      <w:r>
        <w:rPr>
          <w:rFonts w:ascii="Arial" w:hAnsi="Arial" w:cs="Arial"/>
          <w:color w:val="808080"/>
          <w:sz w:val="28"/>
          <w:szCs w:val="28"/>
        </w:rPr>
        <w:t xml:space="preserve">CDC</w:t>
      </w:r>
      <w:r>
        <w:rPr>
          <w:rFonts w:ascii="Arial" w:hAnsi="Arial" w:cs="Arial"/>
          <w:sz w:val="28"/>
          <w:szCs w:val="28"/>
        </w:rPr>
        <w:t xml:space="preserve"> aos contratos de plano de saúde </w:t>
      </w:r>
      <w:r>
        <w:rPr>
          <w:rFonts w:ascii="Arial" w:hAnsi="Arial" w:cs="Arial"/>
          <w:sz w:val="28"/>
          <w:szCs w:val="28"/>
        </w:rPr>
        <w:t xml:space="preserve">de autogestão </w:t>
      </w:r>
      <w:r>
        <w:rPr>
          <w:rFonts w:ascii="Arial" w:hAnsi="Arial" w:cs="Arial"/>
          <w:color w:val="808080"/>
          <w:sz w:val="28"/>
          <w:szCs w:val="28"/>
        </w:rPr>
        <w:t xml:space="preserve">(</w:t>
      </w:r>
      <w:r>
        <w:rPr>
          <w:rFonts w:ascii="Arial" w:hAnsi="Arial" w:cs="Arial"/>
          <w:sz w:val="28"/>
          <w:szCs w:val="28"/>
        </w:rPr>
        <w:t xml:space="preserve">Súmula 608</w:t>
      </w:r>
      <w:r>
        <w:rPr>
          <w:rFonts w:ascii="Arial" w:hAnsi="Arial" w:cs="Arial"/>
          <w:color w:val="808080"/>
          <w:sz w:val="28"/>
          <w:szCs w:val="28"/>
        </w:rPr>
        <w:t xml:space="preserve">/</w:t>
      </w:r>
      <w:r>
        <w:rPr>
          <w:rFonts w:ascii="Arial" w:hAnsi="Arial" w:cs="Arial"/>
          <w:sz w:val="28"/>
          <w:szCs w:val="28"/>
        </w:rPr>
        <w:t xml:space="preserve">STJ</w:t>
      </w:r>
      <w:r>
        <w:rPr>
          <w:rFonts w:ascii="Arial" w:hAnsi="Arial" w:cs="Arial"/>
          <w:color w:val="808080"/>
          <w:sz w:val="28"/>
          <w:szCs w:val="28"/>
        </w:rPr>
        <w:t xml:space="preserve">).</w:t>
      </w:r>
    </w:p>
    <w:p w14:paraId="320C9EAC" w14:textId="77777777" w:rsidR="009B02D8" w:rsidRDefault="00511630" w:rsidP="00FB4D3E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6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color w:val="808080"/>
          <w:sz w:val="28"/>
          <w:szCs w:val="28"/>
        </w:rPr>
        <w:t xml:space="preserve">O</w:t>
      </w:r>
      <w:r>
        <w:rPr>
          <w:rFonts w:ascii="Arial" w:hAnsi="Arial" w:cs="Arial"/>
          <w:sz w:val="28"/>
          <w:szCs w:val="28"/>
        </w:rPr>
        <w:t xml:space="preserve"> ônus da prova segue a regra </w:t>
      </w:r>
      <w:r>
        <w:rPr>
          <w:rFonts w:ascii="Arial" w:hAnsi="Arial" w:cs="Arial"/>
          <w:color w:val="808080"/>
          <w:sz w:val="28"/>
          <w:szCs w:val="28"/>
        </w:rPr>
        <w:t xml:space="preserve">ordinária</w:t>
      </w:r>
      <w:r>
        <w:rPr>
          <w:rFonts w:ascii="Arial" w:hAnsi="Arial" w:cs="Arial"/>
          <w:color w:val="808080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 xml:space="preserve"> à autora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sz w:val="28"/>
          <w:szCs w:val="28"/>
        </w:rPr>
        <w:t xml:space="preserve"> o fato constitutivo</w:t>
      </w:r>
      <w:r>
        <w:rPr>
          <w:rFonts w:ascii="Arial" w:hAnsi="Arial" w:cs="Arial"/>
          <w:color w:val="808080"/>
          <w:sz w:val="28"/>
          <w:szCs w:val="28"/>
        </w:rPr>
        <w:t xml:space="preserve">;</w:t>
      </w:r>
      <w:r>
        <w:rPr>
          <w:rFonts w:ascii="Arial" w:hAnsi="Arial" w:cs="Arial"/>
          <w:sz w:val="28"/>
          <w:szCs w:val="28"/>
        </w:rPr>
        <w:t xml:space="preserve"> à ré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o</w:t>
      </w:r>
      <w:r>
        <w:rPr>
          <w:rFonts w:ascii="Arial" w:hAnsi="Arial" w:cs="Arial"/>
          <w:sz w:val="28"/>
          <w:szCs w:val="28"/>
        </w:rPr>
        <w:t xml:space="preserve"> fato extintivo</w:t>
      </w:r>
      <w:r>
        <w:rPr>
          <w:rFonts w:ascii="Arial" w:hAnsi="Arial" w:cs="Arial"/>
          <w:color w:val="808080"/>
          <w:sz w:val="28"/>
          <w:szCs w:val="28"/>
        </w:rPr>
        <w:t xml:space="preserve"> (CPC 373 I e II)</w:t>
      </w:r>
      <w:r>
        <w:rPr>
          <w:rFonts w:ascii="Arial" w:hAnsi="Arial" w:cs="Arial"/>
          <w:sz w:val="28"/>
          <w:szCs w:val="28"/>
        </w:rPr>
        <w:t xml:space="preserve">.</w:t>
      </w:r>
      <w:commentRangeEnd w:id="7"/>
      <w:r>
        <w:rPr>
          <w:rStyle w:val="Refdecomentrio"/>
          <w:rFonts w:ascii="Arial" w:hAnsi="Arial" w:cs="Arial"/>
          <w:sz w:val="28"/>
          <w:szCs w:val="28"/>
        </w:rPr>
        <w:commentReference w:id="7"/>
      </w:r>
    </w:p>
    <w:p w14:paraId="7544CCB4" w14:textId="77777777" w:rsidR="00915CEC" w:rsidRDefault="00511630" w:rsidP="00FB4D3E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7</w:t>
      </w:r>
      <w:r>
        <w:rPr>
          <w:rFonts w:ascii="Arial" w:hAnsi="Arial" w:cs="Arial"/>
          <w:sz w:val="28"/>
          <w:szCs w:val="28"/>
        </w:rPr>
        <w:t xml:space="preserve">.</w:t>
      </w:r>
      <w:r>
        <w:t xml:space="preserve"> </w:t>
      </w:r>
      <w:r>
        <w:rPr>
          <w:rFonts w:ascii="Arial" w:hAnsi="Arial" w:cs="Arial"/>
          <w:sz w:val="28"/>
          <w:szCs w:val="28"/>
        </w:rPr>
        <w:t xml:space="preserve">A autora comprovou </w:t>
      </w:r>
      <w:r>
        <w:rPr>
          <w:rFonts w:ascii="Arial" w:hAnsi="Arial" w:cs="Arial"/>
          <w:color w:val="808080"/>
          <w:sz w:val="28"/>
          <w:szCs w:val="28"/>
        </w:rPr>
        <w:t xml:space="preserve">os</w:t>
      </w:r>
      <w:r>
        <w:rPr>
          <w:rFonts w:ascii="Arial" w:hAnsi="Arial" w:cs="Arial"/>
          <w:sz w:val="28"/>
          <w:szCs w:val="28"/>
        </w:rPr>
        <w:t xml:space="preserve"> débitos </w:t>
      </w:r>
      <w:r>
        <w:rPr>
          <w:rFonts w:ascii="Arial" w:hAnsi="Arial" w:cs="Arial"/>
          <w:color w:val="808080"/>
          <w:sz w:val="28"/>
          <w:szCs w:val="28"/>
        </w:rPr>
        <w:t xml:space="preserve">por</w:t>
      </w:r>
      <w:r>
        <w:rPr>
          <w:rFonts w:ascii="Arial" w:hAnsi="Arial" w:cs="Arial"/>
          <w:sz w:val="28"/>
          <w:szCs w:val="28"/>
        </w:rPr>
        <w:t xml:space="preserve"> contrato, regulamento</w:t>
      </w:r>
      <w:r>
        <w:rPr>
          <w:rFonts w:ascii="Arial" w:hAnsi="Arial" w:cs="Arial"/>
          <w:sz w:val="28"/>
          <w:szCs w:val="28"/>
        </w:rPr>
        <w:t xml:space="preserve">, demonstrativos</w:t>
      </w:r>
      <w:r>
        <w:rPr>
          <w:rFonts w:ascii="Arial" w:hAnsi="Arial" w:cs="Arial"/>
          <w:sz w:val="28"/>
          <w:szCs w:val="28"/>
        </w:rPr>
        <w:t xml:space="preserve"> e extratos analíticos das mensalidades</w:t>
      </w:r>
      <w:r>
        <w:rPr>
          <w:rFonts w:ascii="Arial" w:hAnsi="Arial" w:cs="Arial"/>
          <w:sz w:val="28"/>
          <w:szCs w:val="28"/>
        </w:rPr>
        <w:t xml:space="preserve"> e </w:t>
      </w:r>
      <w:r>
        <w:rPr>
          <w:rFonts w:ascii="Arial" w:hAnsi="Arial" w:cs="Arial"/>
          <w:color w:val="808080"/>
          <w:sz w:val="28"/>
          <w:szCs w:val="28"/>
        </w:rPr>
        <w:t xml:space="preserve">coparticipações</w:t>
      </w:r>
      <w:r>
        <w:rPr>
          <w:rFonts w:ascii="Arial" w:hAnsi="Arial" w:cs="Arial"/>
          <w:sz w:val="28"/>
          <w:szCs w:val="28"/>
        </w:rPr>
        <w:t xml:space="preserve">.</w:t>
      </w:r>
    </w:p>
    <w:p w14:paraId="44371752" w14:textId="12341247" w:rsidR="00504971" w:rsidRDefault="00915CEC" w:rsidP="00FB4D3E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8. </w:t>
      </w:r>
      <w:r>
        <w:rPr>
          <w:rFonts w:ascii="Arial" w:hAnsi="Arial" w:cs="Arial"/>
          <w:sz w:val="28"/>
          <w:szCs w:val="28"/>
        </w:rPr>
        <w:t xml:space="preserve">A </w:t>
      </w:r>
      <w:r>
        <w:rPr>
          <w:rFonts w:ascii="Arial" w:hAnsi="Arial" w:cs="Arial"/>
          <w:color w:val="808080"/>
          <w:sz w:val="28"/>
          <w:szCs w:val="28"/>
        </w:rPr>
        <w:t xml:space="preserve">falta</w:t>
      </w:r>
      <w:r>
        <w:rPr>
          <w:rFonts w:ascii="Arial" w:hAnsi="Arial" w:cs="Arial"/>
          <w:sz w:val="28"/>
          <w:szCs w:val="28"/>
        </w:rPr>
        <w:t xml:space="preserve"> dos boletos bancários não inviabiliza a </w:t>
      </w:r>
      <w:r>
        <w:rPr>
          <w:rFonts w:ascii="Arial" w:hAnsi="Arial" w:cs="Arial"/>
          <w:color w:val="808080"/>
          <w:sz w:val="28"/>
          <w:szCs w:val="28"/>
        </w:rPr>
        <w:t xml:space="preserve">prova</w:t>
      </w:r>
      <w:r>
        <w:rPr>
          <w:rFonts w:ascii="Arial" w:hAnsi="Arial" w:cs="Arial"/>
          <w:sz w:val="28"/>
          <w:szCs w:val="28"/>
        </w:rPr>
        <w:t xml:space="preserve"> da dívida quando outros documentos evidenciam as obrigações</w:t>
      </w:r>
      <w:r>
        <w:rPr>
          <w:rFonts w:ascii="Arial" w:hAnsi="Arial" w:cs="Arial"/>
          <w:sz w:val="28"/>
          <w:szCs w:val="28"/>
        </w:rPr>
        <w:t xml:space="preserve">.</w:t>
      </w:r>
    </w:p>
    <w:p w14:paraId="2CADD694" w14:textId="143D5F04" w:rsidR="00A4195B" w:rsidRDefault="00915CEC" w:rsidP="00FB4D3E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9</w:t>
      </w:r>
      <w:r>
        <w:rPr>
          <w:rFonts w:ascii="Arial" w:hAnsi="Arial" w:cs="Arial"/>
          <w:sz w:val="28"/>
          <w:szCs w:val="28"/>
        </w:rPr>
        <w:t xml:space="preserve">. A devedora não </w:t>
      </w:r>
      <w:r>
        <w:rPr>
          <w:rFonts w:ascii="Arial" w:hAnsi="Arial" w:cs="Arial"/>
          <w:color w:val="808080"/>
          <w:sz w:val="28"/>
          <w:szCs w:val="28"/>
        </w:rPr>
        <w:t xml:space="preserve">comprovou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o</w:t>
      </w:r>
      <w:r>
        <w:rPr>
          <w:rFonts w:ascii="Arial" w:hAnsi="Arial" w:cs="Arial"/>
          <w:sz w:val="28"/>
          <w:szCs w:val="28"/>
        </w:rPr>
        <w:t xml:space="preserve"> pagamento</w:t>
      </w:r>
      <w:r>
        <w:rPr>
          <w:rFonts w:ascii="Arial" w:hAnsi="Arial" w:cs="Arial"/>
          <w:sz w:val="28"/>
          <w:szCs w:val="28"/>
        </w:rPr>
        <w:t xml:space="preserve">. A carta de portabilidade não contém quitação expressa nem permite inferir adimplemento tácito, </w:t>
      </w:r>
      <w:r>
        <w:rPr>
          <w:rFonts w:ascii="Arial" w:hAnsi="Arial" w:cs="Arial"/>
          <w:color w:val="808080"/>
          <w:sz w:val="28"/>
          <w:szCs w:val="28"/>
        </w:rPr>
        <w:t xml:space="preserve">pois</w:t>
      </w:r>
      <w:r>
        <w:rPr>
          <w:rFonts w:ascii="Arial" w:hAnsi="Arial" w:cs="Arial"/>
          <w:sz w:val="28"/>
          <w:szCs w:val="28"/>
        </w:rPr>
        <w:t xml:space="preserve"> registra </w:t>
      </w:r>
      <w:r>
        <w:rPr>
          <w:rFonts w:ascii="Arial" w:hAnsi="Arial" w:cs="Arial"/>
          <w:color w:val="808080"/>
          <w:sz w:val="28"/>
          <w:szCs w:val="28"/>
        </w:rPr>
        <w:t xml:space="preserve">o</w:t>
      </w:r>
      <w:r>
        <w:rPr>
          <w:rFonts w:ascii="Arial" w:hAnsi="Arial" w:cs="Arial"/>
          <w:sz w:val="28"/>
          <w:szCs w:val="28"/>
        </w:rPr>
        <w:t xml:space="preserve"> contrato como “inadimplente”</w:t>
      </w:r>
      <w:r>
        <w:rPr>
          <w:rFonts w:ascii="Arial" w:hAnsi="Arial" w:cs="Arial"/>
          <w:color w:val="808080"/>
          <w:sz w:val="28"/>
          <w:szCs w:val="28"/>
        </w:rPr>
        <w:t xml:space="preserve"> (CC 320 parágrafo único)</w:t>
      </w:r>
      <w:r>
        <w:rPr>
          <w:rFonts w:ascii="Arial" w:hAnsi="Arial" w:cs="Arial"/>
          <w:sz w:val="28"/>
          <w:szCs w:val="28"/>
        </w:rPr>
        <w:t xml:space="preserve">.</w:t>
      </w:r>
    </w:p>
    <w:p w14:paraId="569DD894" w14:textId="00BBFE61" w:rsidR="00E51ABD" w:rsidRDefault="00915CEC" w:rsidP="00FB4D3E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commentRangeStart w:id="8"/>
      <w:commentRangeStart w:id="9"/>
      <w:commentRangeStart w:id="10"/>
      <w:r>
        <w:rPr>
          <w:rFonts w:ascii="Arial" w:hAnsi="Arial" w:cs="Arial"/>
          <w:color w:val="808080"/>
          <w:sz w:val="28"/>
          <w:szCs w:val="28"/>
        </w:rPr>
        <w:t xml:space="preserve">10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color w:val="808080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exigência</w:t>
      </w:r>
      <w:r>
        <w:rPr>
          <w:rFonts w:ascii="Arial" w:hAnsi="Arial" w:cs="Arial"/>
          <w:sz w:val="28"/>
          <w:szCs w:val="28"/>
        </w:rPr>
        <w:t xml:space="preserve"> de adimplência </w:t>
      </w:r>
      <w:r>
        <w:rPr>
          <w:rFonts w:ascii="Arial" w:hAnsi="Arial" w:cs="Arial"/>
          <w:color w:val="808080"/>
          <w:sz w:val="28"/>
          <w:szCs w:val="28"/>
        </w:rPr>
        <w:t xml:space="preserve">para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portabilidade</w:t>
      </w:r>
      <w:r>
        <w:rPr>
          <w:rFonts w:ascii="Arial" w:hAnsi="Arial" w:cs="Arial"/>
          <w:sz w:val="28"/>
          <w:szCs w:val="28"/>
        </w:rPr>
        <w:t xml:space="preserve"> não </w:t>
      </w:r>
      <w:r>
        <w:rPr>
          <w:rFonts w:ascii="Arial" w:hAnsi="Arial" w:cs="Arial"/>
          <w:color w:val="808080"/>
          <w:sz w:val="28"/>
          <w:szCs w:val="28"/>
        </w:rPr>
        <w:t xml:space="preserve">presume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inexistência de débitos pretéritos nem impede a </w:t>
      </w:r>
      <w:r>
        <w:rPr>
          <w:rFonts w:ascii="Arial" w:hAnsi="Arial" w:cs="Arial"/>
          <w:color w:val="808080"/>
          <w:sz w:val="28"/>
          <w:szCs w:val="28"/>
        </w:rPr>
        <w:t xml:space="preserve">migração</w:t>
      </w:r>
      <w:r>
        <w:rPr>
          <w:rFonts w:ascii="Arial" w:hAnsi="Arial" w:cs="Arial"/>
          <w:color w:val="808080"/>
          <w:sz w:val="28"/>
          <w:szCs w:val="28"/>
        </w:rPr>
        <w:t xml:space="preserve"> (Resolução Normativa </w:t>
      </w:r>
      <w:r>
        <w:rPr>
          <w:rFonts w:ascii="Arial" w:hAnsi="Arial" w:cs="Arial"/>
          <w:color w:val="808080"/>
          <w:sz w:val="28"/>
          <w:szCs w:val="28"/>
        </w:rPr>
        <w:t xml:space="preserve">AN</w:t>
      </w:r>
      <w:r>
        <w:rPr>
          <w:rFonts w:ascii="Arial" w:hAnsi="Arial" w:cs="Arial"/>
          <w:color w:val="808080"/>
          <w:sz w:val="28"/>
          <w:szCs w:val="28"/>
        </w:rPr>
        <w:t xml:space="preserve">S </w:t>
      </w:r>
      <w:r>
        <w:rPr>
          <w:rFonts w:ascii="Arial" w:hAnsi="Arial" w:cs="Arial"/>
          <w:color w:val="808080"/>
          <w:sz w:val="28"/>
          <w:szCs w:val="28"/>
        </w:rPr>
        <w:t xml:space="preserve">438 3º II </w:t>
      </w:r>
      <w:r>
        <w:rPr>
          <w:rFonts w:ascii="Arial" w:hAnsi="Arial" w:cs="Arial"/>
          <w:color w:val="808080"/>
          <w:sz w:val="28"/>
          <w:szCs w:val="28"/>
        </w:rPr>
        <w:t xml:space="preserve">e </w:t>
      </w:r>
      <w:r>
        <w:rPr>
          <w:rFonts w:ascii="Arial" w:hAnsi="Arial" w:cs="Arial"/>
          <w:color w:val="808080"/>
          <w:sz w:val="28"/>
          <w:szCs w:val="28"/>
        </w:rPr>
        <w:t xml:space="preserve">17</w:t>
      </w:r>
      <w:r>
        <w:rPr>
          <w:rFonts w:ascii="Arial" w:hAnsi="Arial" w:cs="Arial"/>
          <w:color w:val="808080"/>
          <w:sz w:val="28"/>
          <w:szCs w:val="28"/>
        </w:rPr>
        <w:t xml:space="preserve"> parágrafo único</w:t>
      </w:r>
      <w:r>
        <w:rPr>
          <w:rFonts w:ascii="Arial" w:hAnsi="Arial" w:cs="Arial"/>
          <w:color w:val="808080"/>
          <w:sz w:val="28"/>
          <w:szCs w:val="28"/>
        </w:rPr>
        <w:t xml:space="preserve">)</w:t>
      </w:r>
      <w:r>
        <w:rPr>
          <w:rFonts w:ascii="Arial" w:hAnsi="Arial" w:cs="Arial"/>
          <w:sz w:val="28"/>
          <w:szCs w:val="28"/>
        </w:rPr>
        <w:t xml:space="preserve">.</w:t>
      </w:r>
      <w:commentRangeEnd w:id="8"/>
      <w:commentRangeEnd w:id="9"/>
      <w:commentRangeEnd w:id="10"/>
      <w:r>
        <w:rPr>
          <w:rStyle w:val="Refdecomentrio"/>
          <w:rFonts w:ascii="Arial" w:hAnsi="Arial" w:cs="Arial"/>
          <w:color w:val="808080"/>
          <w:sz w:val="28"/>
          <w:szCs w:val="28"/>
        </w:rPr>
        <w:commentReference w:id="8"/>
      </w:r>
      <w:r>
        <w:rPr>
          <w:rStyle w:val="Refdecomentrio"/>
          <w:rFonts w:ascii="Arial" w:hAnsi="Arial" w:cs="Arial"/>
          <w:color w:val="808080"/>
          <w:sz w:val="28"/>
          <w:szCs w:val="28"/>
        </w:rPr>
        <w:commentReference w:id="9"/>
      </w:r>
      <w:r>
        <w:rPr>
          <w:rStyle w:val="Refdecomentrio"/>
          <w:rFonts w:ascii="Arial" w:hAnsi="Arial" w:cs="Arial"/>
          <w:color w:val="808080"/>
          <w:sz w:val="28"/>
          <w:szCs w:val="28"/>
        </w:rPr>
        <w:commentReference w:id="10"/>
      </w:r>
    </w:p>
    <w:p w14:paraId="13AFAFA3" w14:textId="19DDEE17" w:rsidR="00E51ABD" w:rsidRPr="00FB4D3E" w:rsidRDefault="00383E74" w:rsidP="00FB4D3E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1</w:t>
      </w:r>
      <w:r>
        <w:rPr>
          <w:rFonts w:ascii="Arial" w:hAnsi="Arial" w:cs="Arial"/>
          <w:color w:val="808080"/>
          <w:sz w:val="28"/>
          <w:szCs w:val="28"/>
        </w:rPr>
        <w:t xml:space="preserve">1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color w:val="808080"/>
          <w:sz w:val="28"/>
          <w:szCs w:val="28"/>
        </w:rPr>
        <w:t xml:space="preserve">Sem</w:t>
      </w:r>
      <w:r>
        <w:rPr>
          <w:rFonts w:ascii="Arial" w:hAnsi="Arial" w:cs="Arial"/>
          <w:sz w:val="28"/>
          <w:szCs w:val="28"/>
        </w:rPr>
        <w:t xml:space="preserve"> prova de pagamento ou </w:t>
      </w:r>
      <w:r>
        <w:rPr>
          <w:rFonts w:ascii="Arial" w:hAnsi="Arial" w:cs="Arial"/>
          <w:sz w:val="28"/>
          <w:szCs w:val="28"/>
        </w:rPr>
        <w:t xml:space="preserve">quitação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sz w:val="28"/>
          <w:szCs w:val="28"/>
        </w:rPr>
        <w:t xml:space="preserve"> e </w:t>
      </w:r>
      <w:r>
        <w:rPr>
          <w:rFonts w:ascii="Arial" w:hAnsi="Arial" w:cs="Arial"/>
          <w:color w:val="808080"/>
          <w:sz w:val="28"/>
          <w:szCs w:val="28"/>
        </w:rPr>
        <w:t xml:space="preserve">havendo</w:t>
      </w:r>
      <w:r>
        <w:rPr>
          <w:rFonts w:ascii="Arial" w:hAnsi="Arial" w:cs="Arial"/>
          <w:sz w:val="28"/>
          <w:szCs w:val="28"/>
        </w:rPr>
        <w:t xml:space="preserve"> notificação</w:t>
      </w:r>
      <w:r>
        <w:rPr>
          <w:rFonts w:ascii="Arial" w:hAnsi="Arial" w:cs="Arial"/>
          <w:sz w:val="28"/>
          <w:szCs w:val="28"/>
        </w:rPr>
        <w:t xml:space="preserve"> de cobrança em 23/</w:t>
      </w:r>
      <w:r>
        <w:rPr>
          <w:rFonts w:ascii="Arial" w:hAnsi="Arial" w:cs="Arial"/>
          <w:color w:val="808080"/>
          <w:sz w:val="28"/>
          <w:szCs w:val="28"/>
        </w:rPr>
        <w:t xml:space="preserve">05</w:t>
      </w:r>
      <w:r>
        <w:rPr>
          <w:rFonts w:ascii="Arial" w:hAnsi="Arial" w:cs="Arial"/>
          <w:sz w:val="28"/>
          <w:szCs w:val="28"/>
        </w:rPr>
        <w:t xml:space="preserve">/2023, não se </w:t>
      </w:r>
      <w:r>
        <w:rPr>
          <w:rFonts w:ascii="Arial" w:hAnsi="Arial" w:cs="Arial"/>
          <w:color w:val="808080"/>
          <w:sz w:val="28"/>
          <w:szCs w:val="28"/>
        </w:rPr>
        <w:t xml:space="preserve">caracterizam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i/>
          <w:iCs/>
          <w:sz w:val="28"/>
          <w:szCs w:val="28"/>
        </w:rPr>
        <w:t xml:space="preserve">supressio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nem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i/>
          <w:iCs/>
          <w:sz w:val="28"/>
          <w:szCs w:val="28"/>
        </w:rPr>
        <w:t xml:space="preserve">venire contra factum proprium</w:t>
      </w:r>
      <w:r>
        <w:rPr>
          <w:rFonts w:ascii="Arial" w:hAnsi="Arial" w:cs="Arial"/>
          <w:sz w:val="28"/>
          <w:szCs w:val="28"/>
        </w:rPr>
        <w:t xml:space="preserve">.</w:t>
      </w:r>
    </w:p>
    <w:p w14:paraId="61C39010" w14:textId="77777777" w:rsidR="00886ABA" w:rsidRPr="0034247B" w:rsidRDefault="00886ABA" w:rsidP="00886ABA">
      <w:pPr>
        <w:pStyle w:val="PargrafodaLista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413FE707">
        <w:rPr>
          <w:rFonts w:ascii="Arial" w:hAnsi="Arial" w:cs="Arial"/>
          <w:b/>
          <w:bCs/>
          <w:sz w:val="28"/>
          <w:szCs w:val="28"/>
        </w:rPr>
        <w:t>IV. Dispositivo</w:t>
      </w:r>
    </w:p>
    <w:p w14:paraId="267AB3B2" w14:textId="13B9BB4C" w:rsidR="00886ABA" w:rsidRPr="00E87018" w:rsidRDefault="00DF1B9C" w:rsidP="00886ABA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>1</w:t>
      </w:r>
      <w:r w:rsidR="00915CEC">
        <w:rPr>
          <w:rFonts w:ascii="Arial" w:hAnsi="Arial" w:cs="Arial"/>
          <w:color w:val="808080"/>
          <w:sz w:val="28"/>
          <w:szCs w:val="28"/>
        </w:rPr>
        <w:t>2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eastAsia="Arial" w:hAnsi="Arial" w:cs="Arial"/>
          <w:color w:val="000000" w:themeColor="text1"/>
          <w:sz w:val="28"/>
          <w:szCs w:val="28"/>
        </w:rPr>
        <w:t>Negou-se provimento ao apelo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da ré</w:t>
      </w:r>
      <w:r>
        <w:rPr>
          <w:rFonts w:ascii="Arial" w:eastAsia="Arial" w:hAnsi="Arial" w:cs="Arial"/>
          <w:color w:val="000000" w:themeColor="text1"/>
          <w:sz w:val="28"/>
          <w:szCs w:val="28"/>
        </w:rPr>
        <w:t>.</w:t>
      </w:r>
    </w:p>
    <w:p w14:paraId="4C4C6D22" w14:textId="4AF1698F" w:rsidR="00886ABA" w:rsidRPr="00E87018" w:rsidRDefault="008B62DA" w:rsidP="00886ABA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8"/>
          <w:szCs w:val="28"/>
        </w:rPr>
      </w:pPr>
      <w:r>
        <w:rPr>
          <w:rFonts w:ascii="Arial" w:eastAsia="Arial" w:hAnsi="Arial" w:cs="Arial"/>
          <w:color w:val="000000" w:themeColor="text1"/>
          <w:sz w:val="28"/>
          <w:szCs w:val="28"/>
        </w:rPr>
        <w:t>_______</w:t>
      </w:r>
    </w:p>
    <w:p w14:paraId="0D1EF4A9" w14:textId="2BADA581" w:rsidR="00DF1B9C" w:rsidRPr="00915CEC" w:rsidRDefault="00886ABA" w:rsidP="00DF1B9C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6"/>
          <w:szCs w:val="26"/>
        </w:rPr>
      </w:pPr>
      <w:r>
        <w:rPr>
          <w:rFonts w:ascii="Arial" w:eastAsia="Arial" w:hAnsi="Arial" w:cs="Arial"/>
          <w:i/>
          <w:iCs/>
          <w:color w:val="000000" w:themeColor="text1"/>
          <w:sz w:val="26"/>
          <w:szCs w:val="26"/>
        </w:rPr>
        <w:t xml:space="preserve">Dispositivos relevantes citados: </w:t>
      </w:r>
      <w:r w:rsidRPr="00915CEC">
        <w:rPr>
          <w:rFonts w:ascii="Arial" w:eastAsia="Arial" w:hAnsi="Arial" w:cs="Arial"/>
          <w:color w:val="808080"/>
          <w:sz w:val="26"/>
          <w:szCs w:val="26"/>
        </w:rPr>
        <w:t xml:space="preserve">CC 320 parágrafo único; </w:t>
      </w:r>
      <w:r w:rsidRPr="00915CEC">
        <w:rPr>
          <w:rFonts w:ascii="Arial" w:eastAsia="Arial" w:hAnsi="Arial" w:cs="Arial"/>
          <w:color w:val="000000" w:themeColor="text1"/>
          <w:sz w:val="26"/>
          <w:szCs w:val="26"/>
        </w:rPr>
        <w:t>CPC 85 § 11, 373 I e II; Resolução Normativa ANS 438 3º II e 17 parágrafo único</w:t>
      </w:r>
      <w:r w:rsidRPr="00915CEC">
        <w:rPr>
          <w:rFonts w:ascii="Arial" w:eastAsia="Arial" w:hAnsi="Arial" w:cs="Arial"/>
          <w:color w:val="808080"/>
          <w:sz w:val="26"/>
          <w:szCs w:val="26"/>
        </w:rPr>
        <w:t>.</w:t>
      </w:r>
    </w:p>
    <w:p w14:paraId="43D43365" w14:textId="1B4B1BC8" w:rsidR="00886ABA" w:rsidRPr="000D0D30" w:rsidRDefault="00886ABA" w:rsidP="00886ABA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6"/>
          <w:szCs w:val="26"/>
        </w:rPr>
      </w:pPr>
      <w:r>
        <w:rPr>
          <w:rFonts w:ascii="Arial" w:eastAsia="Arial" w:hAnsi="Arial" w:cs="Arial"/>
          <w:i/>
          <w:iCs/>
          <w:color w:val="000000" w:themeColor="text1"/>
          <w:sz w:val="26"/>
          <w:szCs w:val="26"/>
        </w:rPr>
        <w:t xml:space="preserve">Jurisprudência relevante citada: 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STJ, Súmula </w:t>
      </w:r>
      <w:r>
        <w:rPr>
          <w:rFonts w:ascii="Arial" w:eastAsia="Arial" w:hAnsi="Arial" w:cs="Arial"/>
          <w:color w:val="808080"/>
          <w:sz w:val="26"/>
          <w:szCs w:val="26"/>
        </w:rPr>
        <w:t xml:space="preserve">nº 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>608; TJDFT, Acórdão 2005667, 0758754-34.2024.8.07.0016, Rel(a). Juíza Rita de Cássia de Cerqueira Lima Rocha, Primeira Turma Recursal, j. 30/</w:t>
      </w:r>
      <w:r>
        <w:rPr>
          <w:rFonts w:ascii="Arial" w:eastAsia="Arial" w:hAnsi="Arial" w:cs="Arial"/>
          <w:color w:val="808080"/>
          <w:sz w:val="26"/>
          <w:szCs w:val="26"/>
        </w:rPr>
        <w:t>05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>/2025, DJe 13/06/2025.</w:t>
      </w:r>
    </w:p>
    <w:p w14:paraId="58E96891" w14:textId="77777777" w:rsidR="00886ABA" w:rsidRDefault="00886ABA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p w14:paraId="62489FFD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color w:val="FF0000"/>
        </w:rPr>
      </w:pPr>
      <w:commentRangeStart w:id="11"/>
      <w:r w:rsidRPr="00146FCB">
        <w:rPr>
          <w:rFonts w:cstheme="minorHAnsi"/>
          <w:b/>
          <w:color w:val="FF0000"/>
          <w:highlight w:val="yellow"/>
        </w:rPr>
        <w:t>RESUMO DA APELAÇÃO</w:t>
      </w:r>
      <w:commentRangeEnd w:id="11"/>
      <w:r w:rsidRPr="00146FCB">
        <w:rPr>
          <w:rStyle w:val="Refdecomentrio"/>
          <w:rFonts w:cstheme="minorHAnsi"/>
          <w:color w:val="FF0000"/>
          <w:sz w:val="22"/>
          <w:szCs w:val="22"/>
        </w:rPr>
        <w:commentReference w:id="11"/>
      </w:r>
    </w:p>
    <w:p w14:paraId="172EA2DA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146FCB">
        <w:rPr>
          <w:rFonts w:cstheme="minorHAnsi"/>
          <w:b/>
          <w:bCs/>
          <w:color w:val="FF0000"/>
        </w:rPr>
        <w:t>I. RAZÕES RECURSAIS</w:t>
      </w:r>
    </w:p>
    <w:p w14:paraId="732A34EC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146FCB">
        <w:rPr>
          <w:rFonts w:cstheme="minorHAnsi"/>
          <w:b/>
          <w:bCs/>
          <w:color w:val="FF0000"/>
        </w:rPr>
        <w:t>Violação da boa-fé objetiva e vedação ao comportamento contraditório (venire contra factum proprium)</w:t>
      </w:r>
    </w:p>
    <w:p w14:paraId="353D36A0" w14:textId="5999A36E" w:rsidR="00751971" w:rsidRPr="00146FCB" w:rsidRDefault="00751971" w:rsidP="00751971">
      <w:pPr>
        <w:spacing w:after="0" w:line="360" w:lineRule="auto"/>
        <w:jc w:val="both"/>
        <w:rPr>
          <w:rFonts w:cstheme="minorHAnsi"/>
          <w:color w:val="FF0000"/>
        </w:rPr>
      </w:pPr>
      <w:r w:rsidRPr="00146FCB">
        <w:rPr>
          <w:rFonts w:cstheme="minorHAnsi"/>
          <w:color w:val="FF0000"/>
        </w:rPr>
        <w:t xml:space="preserve">1. Sustenta que a apelada, ao emitir carta de portabilidade/declaração oficial de débitos indicando a existência de apenas um débito, criou legítima expectativa de que inexistiam outras pendências contratuais. Argumenta que a posterior cobrança de débitos não informados no </w:t>
      </w:r>
      <w:r w:rsidRPr="00146FCB">
        <w:rPr>
          <w:rFonts w:cstheme="minorHAnsi"/>
          <w:color w:val="FF0000"/>
        </w:rPr>
        <w:lastRenderedPageBreak/>
        <w:t>documento oficial configura comportamento contraditório, em afronta ao princípio da boa-fé objetiva previsto no art. 422 do Código Civil.</w:t>
      </w:r>
    </w:p>
    <w:p w14:paraId="08655964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146FCB">
        <w:rPr>
          <w:rFonts w:cstheme="minorHAnsi"/>
          <w:b/>
          <w:bCs/>
          <w:color w:val="FF0000"/>
        </w:rPr>
        <w:t>Inexigibilidade da cobrança em razão da supressio e da proteção da confiança legítima</w:t>
      </w:r>
    </w:p>
    <w:p w14:paraId="33230CD3" w14:textId="624FD7D0" w:rsidR="00751971" w:rsidRPr="00146FCB" w:rsidRDefault="00751971" w:rsidP="00751971">
      <w:pPr>
        <w:spacing w:after="0" w:line="360" w:lineRule="auto"/>
        <w:jc w:val="both"/>
        <w:rPr>
          <w:rFonts w:cstheme="minorHAnsi"/>
          <w:color w:val="FF0000"/>
        </w:rPr>
      </w:pPr>
      <w:r w:rsidRPr="00146FCB">
        <w:rPr>
          <w:rFonts w:cstheme="minorHAnsi"/>
          <w:color w:val="FF0000"/>
        </w:rPr>
        <w:t>2. Alega que, mesmo que houvesse débitos pretéritos, operou-se a supressio, pois a apelada deixou de exercer eventual direito de cobrança quando da emissão da carta de portabilidade e durante longo período após a migração do plano de saúde. Defende que a inércia da credora gerou legítima confiança na extinção das obrigações, tornando inadmissível a cobrança tardia dos valores.</w:t>
      </w:r>
    </w:p>
    <w:p w14:paraId="62AFB6AB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146FCB">
        <w:rPr>
          <w:rFonts w:cstheme="minorHAnsi"/>
          <w:b/>
          <w:bCs/>
          <w:color w:val="FF0000"/>
        </w:rPr>
        <w:t>Aplicação do Código de Defesa do Consumidor e violação do dever de informação</w:t>
      </w:r>
    </w:p>
    <w:p w14:paraId="09FFAAEC" w14:textId="761F871A" w:rsidR="00751971" w:rsidRPr="00146FCB" w:rsidRDefault="00751971" w:rsidP="00751971">
      <w:pPr>
        <w:spacing w:after="0" w:line="360" w:lineRule="auto"/>
        <w:jc w:val="both"/>
        <w:rPr>
          <w:rFonts w:cstheme="minorHAnsi"/>
          <w:color w:val="FF0000"/>
        </w:rPr>
      </w:pPr>
      <w:r w:rsidRPr="00146FCB">
        <w:rPr>
          <w:rFonts w:cstheme="minorHAnsi"/>
          <w:color w:val="FF0000"/>
        </w:rPr>
        <w:t>3. Afirma que a relação jurídica é de consumo, razão pela qual incidem as normas protetivas do CDC. Sustenta que a sentença incorreu em equívoco ao afastar sua aplicação. Argumenta que a carta de portabilidade deveria conter informações claras, precisas e completas sobre eventuais débitos e que eventual falha administrativa, contábil ou operacional da apelada constitui risco da atividade econômica, não podendo ser transferida ao consumidor. Aduz, ainda, que a ausência dos boletos de cobrança solicitados evidencia deficiência informacional e fragilidade da pretensão de cobrança.</w:t>
      </w:r>
    </w:p>
    <w:p w14:paraId="304CC952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146FCB">
        <w:rPr>
          <w:rFonts w:cstheme="minorHAnsi"/>
          <w:b/>
          <w:bCs/>
          <w:color w:val="FF0000"/>
        </w:rPr>
        <w:t>II. PEDIDO</w:t>
      </w:r>
    </w:p>
    <w:p w14:paraId="08F96DB0" w14:textId="0CD4215D" w:rsidR="00E87018" w:rsidRPr="00146FCB" w:rsidRDefault="00751971" w:rsidP="00751971">
      <w:pPr>
        <w:spacing w:after="0" w:line="360" w:lineRule="auto"/>
        <w:jc w:val="both"/>
        <w:rPr>
          <w:rFonts w:cstheme="minorHAnsi"/>
        </w:rPr>
      </w:pPr>
      <w:r w:rsidRPr="00146FCB">
        <w:rPr>
          <w:rFonts w:cstheme="minorHAnsi"/>
          <w:color w:val="FF0000"/>
        </w:rPr>
        <w:t xml:space="preserve">Requer o conhecimento e provimento da apelação para reformar integralmente a sentença e julgar improcedentes os pedidos de cobrança, reconhecendo a inexigibilidade dos débitos cobrados em razão da violação da boa-fé objetiva, da incidência do </w:t>
      </w:r>
      <w:r w:rsidRPr="00146FCB">
        <w:rPr>
          <w:rFonts w:cstheme="minorHAnsi"/>
          <w:i/>
          <w:iCs/>
          <w:color w:val="FF0000"/>
        </w:rPr>
        <w:t xml:space="preserve">venire contra factum proprium </w:t>
      </w:r>
      <w:r w:rsidRPr="00146FCB">
        <w:rPr>
          <w:rFonts w:cstheme="minorHAnsi"/>
          <w:color w:val="FF0000"/>
        </w:rPr>
        <w:t>e da</w:t>
      </w:r>
      <w:r w:rsidRPr="00146FCB">
        <w:rPr>
          <w:rFonts w:cstheme="minorHAnsi"/>
          <w:i/>
          <w:iCs/>
          <w:color w:val="FF0000"/>
        </w:rPr>
        <w:t xml:space="preserve"> supressio</w:t>
      </w:r>
      <w:r w:rsidRPr="00146FCB">
        <w:rPr>
          <w:rFonts w:cstheme="minorHAnsi"/>
          <w:color w:val="FF0000"/>
        </w:rPr>
        <w:t>, com a inversão dos ônus sucumbenciais e condenação da apelada ao pagamento das custas processuais e honorários advocatícios.</w:t>
      </w:r>
    </w:p>
    <w:p w14:paraId="5350F300" w14:textId="77777777" w:rsidR="00886ABA" w:rsidRDefault="00886ABA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p w14:paraId="7CF3D2C5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12D7C148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05389258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15DC468E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075B44B1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30046E39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27F40F9B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0C100593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243D18F7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583CA50A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3B2D3C48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14699FB5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63358632" w14:textId="516E6D72" w:rsidR="00DB1301" w:rsidRDefault="00F63CD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RELATÓRIO</w:t>
      </w:r>
    </w:p>
    <w:p w14:paraId="5B804E7F" w14:textId="77777777" w:rsidR="00DB1301" w:rsidRDefault="00DB1301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54DD0FB" w14:textId="04C87392" w:rsidR="00DB1301" w:rsidRDefault="00F63CDB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Adoto o relatório da r. sentença</w:t>
      </w:r>
      <w:r w:rsidR="00167F3A">
        <w:rPr>
          <w:rFonts w:ascii="Arial" w:hAnsi="Arial" w:cs="Arial"/>
          <w:sz w:val="28"/>
          <w:szCs w:val="28"/>
        </w:rPr>
        <w:t>:</w:t>
      </w:r>
    </w:p>
    <w:p w14:paraId="21AD02C0" w14:textId="77777777" w:rsidR="00167F3A" w:rsidRDefault="00167F3A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9E29BF9" w14:textId="77777777" w:rsidR="00AF1F15" w:rsidRPr="00AF1F15" w:rsidRDefault="00F63CDB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A7009">
        <w:rPr>
          <w:rFonts w:ascii="Arial" w:hAnsi="Arial" w:cs="Arial"/>
          <w:sz w:val="26"/>
          <w:szCs w:val="26"/>
        </w:rPr>
        <w:t>“</w:t>
      </w:r>
      <w:r w:rsidR="00AF1F15" w:rsidRPr="00AF1F15">
        <w:rPr>
          <w:rFonts w:ascii="Arial" w:hAnsi="Arial" w:cs="Arial"/>
          <w:i/>
          <w:iCs/>
          <w:sz w:val="26"/>
          <w:szCs w:val="26"/>
        </w:rPr>
        <w:t>Trata-se de ação sob o rito ordinário ajuizada por Luminar Saúde Associação de Assistência à Saúde contra Rose Mary Cerqueira Ramos, em que pede a condenação da ré ao pagamento de R$ 23.548,08, valor correspondente a mensalidades e coparticipações inadimplidas relativas ao plano de saúde denominado EVIDA Família, acrescido de atualização monetária, juros de mora e multa contratual.</w:t>
      </w:r>
    </w:p>
    <w:p w14:paraId="53A301E0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Para tanto, afirmou que a parte autora, operadora de planos privados de assistência à saúde registrada na ANS sob o nº 41.837-4 e classificada na modalidade autogestão, celebrou com a parte ré, em 15 de janeiro de 2016, contrato de adesão ao plano EVIDA Família, voltado a familiares de beneficiários titulares. A adesão teria ocorrido de forma voluntária, após esclarecimentos sobre as coberturas, carências e obrigações contratuais.</w:t>
      </w:r>
    </w:p>
    <w:p w14:paraId="20955744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color w:val="808080"/>
          <w:sz w:val="26"/>
          <w:szCs w:val="26"/>
        </w:rPr>
        <w:t>(</w:t>
      </w:r>
      <w:commentRangeStart w:id="12"/>
      <w:r>
        <w:rPr>
          <w:rFonts w:ascii="Arial" w:hAnsi="Arial" w:cs="Arial"/>
          <w:i/>
          <w:iCs/>
          <w:sz w:val="26"/>
          <w:szCs w:val="26"/>
        </w:rPr>
        <w:t>.</w:t>
      </w:r>
      <w:commentRangeEnd w:id="12"/>
      <w:r>
        <w:rPr>
          <w:rStyle w:val="Refdecomentrio"/>
          <w:rFonts w:ascii="Arial" w:hAnsi="Arial" w:cs="Arial"/>
          <w:i/>
          <w:iCs/>
          <w:color w:val="808080"/>
          <w:sz w:val="26"/>
          <w:szCs w:val="26"/>
        </w:rPr>
        <w:commentReference w:id="12"/>
      </w:r>
      <w:r>
        <w:rPr>
          <w:rFonts w:ascii="Arial" w:hAnsi="Arial" w:cs="Arial"/>
          <w:i/>
          <w:iCs/>
          <w:color w:val="808080"/>
          <w:sz w:val="26"/>
          <w:szCs w:val="26"/>
        </w:rPr>
        <w:t>..)</w:t>
      </w:r>
    </w:p>
    <w:p w14:paraId="1B8D0D49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 xml:space="preserve">Sustentou que, apesar da regular prestação dos serviços, a ré deixou de adimplir 14 parcelas, totalizando inicialmente R$ 12.285,76. Mesmo diante do inadimplemento, a autora manteve a prestação dos </w:t>
      </w:r>
      <w:r w:rsidRPr="00AF1F15">
        <w:rPr>
          <w:rFonts w:ascii="Arial" w:hAnsi="Arial" w:cs="Arial"/>
          <w:i/>
          <w:iCs/>
          <w:sz w:val="26"/>
          <w:szCs w:val="26"/>
        </w:rPr>
        <w:lastRenderedPageBreak/>
        <w:t>serviços de saúde, em observância às normas da ANS e ao princípio da boa-fé contratual.</w:t>
      </w:r>
    </w:p>
    <w:p w14:paraId="6E617CA4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Relatou que o contrato firmado entre as partes prevê, em caso de mora, a incidência de juros de 1% ao mês e multa de 2% sobre o valor do débito atualizado. Aplicando-se tais encargos, o montante devido pela ré alcança R$ 23.548,08, conforme demonstrativo de débito anexado à inicial.</w:t>
      </w:r>
    </w:p>
    <w:p w14:paraId="2EDF99B0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color w:val="808080"/>
          <w:sz w:val="26"/>
          <w:szCs w:val="26"/>
        </w:rPr>
        <w:t>(</w:t>
      </w:r>
      <w:r>
        <w:rPr>
          <w:rFonts w:ascii="Arial" w:hAnsi="Arial" w:cs="Arial"/>
          <w:i/>
          <w:iCs/>
          <w:sz w:val="26"/>
          <w:szCs w:val="26"/>
        </w:rPr>
        <w:t>.</w:t>
      </w:r>
      <w:r>
        <w:rPr>
          <w:rFonts w:ascii="Arial" w:hAnsi="Arial" w:cs="Arial"/>
          <w:i/>
          <w:iCs/>
          <w:color w:val="808080"/>
          <w:sz w:val="26"/>
          <w:szCs w:val="26"/>
        </w:rPr>
        <w:t>..)</w:t>
      </w:r>
    </w:p>
    <w:p w14:paraId="527024F5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A ré apresentou contestação no ID 243368797, em que suscita preliminar de inépcia da inicial, alegando ausência de documentos essenciais à ação.</w:t>
      </w:r>
    </w:p>
    <w:p w14:paraId="38DE1C41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No mérito, a parte ré defendeu que não reconhece integralmente os valores cobrados, sustentando que houve falhas na prestação dos serviços e divergências quanto à composição das mensalidades e coparticipações. Alegou que parte dos valores já teria sido quitada e que os cálculos apresentados pela parte autora não refletem a realidade dos pagamentos efetuados. Apontou que, em 01/10/2021, já havia migrado para outro plano de saúde, da operadora MedSênior, por meio de portabilidade, conforme documentação juntada aos autos, o que, segundo sua versão, implicaria a extinção da obrigação de pagamento das parcelas posteriores à migração.</w:t>
      </w:r>
    </w:p>
    <w:p w14:paraId="4E8E5030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 xml:space="preserve">Afirmou que, à época da portabilidade, não havia inadimplemento, conforme declaração emitida pela própria parte autora, e que a cobrança de valores posteriores à migração configura demanda por dívida </w:t>
      </w:r>
      <w:r w:rsidRPr="00AF1F15">
        <w:rPr>
          <w:rFonts w:ascii="Arial" w:hAnsi="Arial" w:cs="Arial"/>
          <w:i/>
          <w:iCs/>
          <w:sz w:val="26"/>
          <w:szCs w:val="26"/>
        </w:rPr>
        <w:lastRenderedPageBreak/>
        <w:t>já paga, o que atrairia a aplicação do art. 940 do Código Civil. Requereu, ao final, a improcedência da ação, com a condenação da parte autora ao pagamento em dobro dos valores indevidamente cobrados, além da produção de todos os meios de prova admitidos em direito.</w:t>
      </w:r>
    </w:p>
    <w:p w14:paraId="59FF2244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Formulou, ainda, pedido reconvencional no bojo da contestação.</w:t>
      </w:r>
    </w:p>
    <w:p w14:paraId="42568F6F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A parte autora apresentou réplica (ID 246346719), sustentando que a ré não trouxe prova inequívoca do adimplemento das parcelas cobradas, limitando-se a alegações genéricas e documentos que não infirmam os demonstrativos de débito anexados à inicial. Reiterou que a ré permaneceu vinculada ao plano EVIDA Família durante todo o período de inadimplemento, usufruindo dos serviços de saúde oferecidos pela rede credenciada.</w:t>
      </w:r>
    </w:p>
    <w:p w14:paraId="0424CB26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color w:val="808080"/>
          <w:sz w:val="26"/>
          <w:szCs w:val="26"/>
        </w:rPr>
        <w:t>(</w:t>
      </w:r>
      <w:r>
        <w:rPr>
          <w:rFonts w:ascii="Arial" w:hAnsi="Arial" w:cs="Arial"/>
          <w:i/>
          <w:iCs/>
          <w:sz w:val="26"/>
          <w:szCs w:val="26"/>
        </w:rPr>
        <w:t>.</w:t>
      </w:r>
      <w:r>
        <w:rPr>
          <w:rFonts w:ascii="Arial" w:hAnsi="Arial" w:cs="Arial"/>
          <w:i/>
          <w:iCs/>
          <w:color w:val="808080"/>
          <w:sz w:val="26"/>
          <w:szCs w:val="26"/>
        </w:rPr>
        <w:t>..)</w:t>
      </w:r>
    </w:p>
    <w:p w14:paraId="2A1367AB" w14:textId="578D6477" w:rsidR="00F63CDB" w:rsidRPr="000A7009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</w:rPr>
        <w:t>A parte ré manifestou desistência em relação ao pedido reconvencional, pedido este que foi homologado no ID 257776291.</w:t>
      </w:r>
      <w:r>
        <w:rPr>
          <w:rFonts w:ascii="Arial" w:hAnsi="Arial" w:cs="Arial"/>
          <w:i/>
          <w:sz w:val="26"/>
          <w:szCs w:val="26"/>
        </w:rPr>
        <w:t xml:space="preserve">” (ID </w:t>
      </w:r>
      <w:r>
        <w:rPr>
          <w:rFonts w:ascii="Arial" w:hAnsi="Arial" w:cs="Arial"/>
          <w:i/>
          <w:color w:val="808080"/>
          <w:sz w:val="26"/>
          <w:szCs w:val="26"/>
        </w:rPr>
        <w:t>88637481</w:t>
      </w:r>
      <w:r>
        <w:rPr>
          <w:rFonts w:ascii="Arial" w:hAnsi="Arial" w:cs="Arial"/>
          <w:i/>
          <w:sz w:val="26"/>
          <w:szCs w:val="26"/>
        </w:rPr>
        <w:t>).</w:t>
      </w:r>
    </w:p>
    <w:p w14:paraId="62321101" w14:textId="77777777" w:rsidR="00F63CDB" w:rsidRDefault="00F63CDB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4E520D9" w14:textId="43AEB336" w:rsidR="0061262D" w:rsidRDefault="0061262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3"/>
      <w:r>
        <w:rPr>
          <w:rFonts w:ascii="Arial" w:hAnsi="Arial" w:cs="Arial"/>
          <w:sz w:val="28"/>
          <w:szCs w:val="28"/>
        </w:rPr>
        <w:t xml:space="preserve">O MM. Juiz sentenciante, Dr. </w:t>
      </w:r>
      <w:r>
        <w:rPr>
          <w:rFonts w:ascii="Arial" w:hAnsi="Arial" w:cs="Arial"/>
          <w:color w:val="808080"/>
          <w:sz w:val="28"/>
          <w:szCs w:val="28"/>
        </w:rPr>
        <w:t>Heverson</w:t>
      </w:r>
      <w:r>
        <w:rPr>
          <w:rFonts w:ascii="Arial" w:hAnsi="Arial" w:cs="Arial"/>
          <w:sz w:val="28"/>
          <w:szCs w:val="28"/>
        </w:rPr>
        <w:t xml:space="preserve"> D’Abadia Teixeira Borges, da 12ª Vara Cível de Brasília, julgou no seguinte sentido:</w:t>
      </w:r>
      <w:commentRangeEnd w:id="13"/>
      <w:r>
        <w:rPr>
          <w:rStyle w:val="Refdecomentrio"/>
          <w:rFonts w:ascii="Arial" w:hAnsi="Arial" w:cs="Arial"/>
          <w:sz w:val="28"/>
          <w:szCs w:val="28"/>
        </w:rPr>
        <w:commentReference w:id="13"/>
      </w:r>
    </w:p>
    <w:p w14:paraId="12E5EEA8" w14:textId="77777777" w:rsidR="0061262D" w:rsidRDefault="0061262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66EE680" w14:textId="77777777" w:rsidR="00E93232" w:rsidRPr="00E93232" w:rsidRDefault="0006080C" w:rsidP="00E93232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A7009">
        <w:rPr>
          <w:rFonts w:ascii="Arial" w:hAnsi="Arial" w:cs="Arial"/>
          <w:sz w:val="26"/>
          <w:szCs w:val="26"/>
        </w:rPr>
        <w:t>“</w:t>
      </w:r>
      <w:r w:rsidR="00E93232" w:rsidRPr="00E93232">
        <w:rPr>
          <w:rFonts w:ascii="Arial" w:hAnsi="Arial" w:cs="Arial"/>
          <w:i/>
          <w:iCs/>
          <w:sz w:val="26"/>
          <w:szCs w:val="26"/>
        </w:rPr>
        <w:t xml:space="preserve">Diante do exposto, JULGO PROCEDENTE o pedido para condenar ROSE MARY CERQUEIRA RAMOS ao pagamento do valor nominal de R$ 12.285,76 (doze mil duzentos e oitenta e cinco reais e </w:t>
      </w:r>
      <w:r w:rsidR="00E93232" w:rsidRPr="00E93232">
        <w:rPr>
          <w:rFonts w:ascii="Arial" w:hAnsi="Arial" w:cs="Arial"/>
          <w:i/>
          <w:iCs/>
          <w:sz w:val="26"/>
          <w:szCs w:val="26"/>
        </w:rPr>
        <w:lastRenderedPageBreak/>
        <w:t>setenta e seis centavos) em favor de LUMINAR SAÚDE ASSOCIAÇÃO DE ASSISTÊNCIA À SAÚDE.</w:t>
      </w:r>
    </w:p>
    <w:p w14:paraId="374A244A" w14:textId="77777777" w:rsidR="00E93232" w:rsidRPr="00E93232" w:rsidRDefault="00E93232" w:rsidP="00E93232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E93232">
        <w:rPr>
          <w:rFonts w:ascii="Arial" w:hAnsi="Arial" w:cs="Arial"/>
          <w:i/>
          <w:iCs/>
          <w:sz w:val="26"/>
          <w:szCs w:val="26"/>
        </w:rPr>
        <w:t>O valor deverá ser acrescido de correção monetária desde o vencimento de cada parcela, conforme datas individualizadas no demonstrativo de ID 230783709, além de juros moratórios contratuais de 1% (um por cento) ao mês, também desde o vencimento de cada obrigação. Incide, ainda, a multa contratual de 2% (dois por cento) sobre o débito atualizado, conforme art. 45, § 2º, do regulamento do plano (ID 230783708).</w:t>
      </w:r>
    </w:p>
    <w:p w14:paraId="7E346DB1" w14:textId="77777777" w:rsidR="00E93232" w:rsidRPr="00E93232" w:rsidRDefault="00E93232" w:rsidP="00E93232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E93232">
        <w:rPr>
          <w:rFonts w:ascii="Arial" w:hAnsi="Arial" w:cs="Arial"/>
          <w:i/>
          <w:iCs/>
          <w:sz w:val="26"/>
          <w:szCs w:val="26"/>
        </w:rPr>
        <w:t>Ausente previsão contratual de índice de correção monetária e taxa de juros, incidem os parâmetros legais. Até 29/08/2024, aplica-se a taxa SELIC de forma integral, que já abrange, em um único índice, a correção monetária e os juros moratórios, nos termos da tese firmada pelo Superior Tribunal de Justiça no Tema Repetitivo 1.368. A partir de 30/08/2024, vigora o regime instituído pela Lei nº 14.905/2024, com correção monetária pelo IPCA/IBGE e juros moratórios correspondentes à diferença entre a taxa SELIC e o IPCA/IBGE do período, com piso zero caso o resultado seja negativo.</w:t>
      </w:r>
    </w:p>
    <w:p w14:paraId="744A71E2" w14:textId="77777777" w:rsidR="00E93232" w:rsidRPr="00E93232" w:rsidRDefault="00E93232" w:rsidP="00E93232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E93232">
        <w:rPr>
          <w:rFonts w:ascii="Arial" w:hAnsi="Arial" w:cs="Arial"/>
          <w:i/>
          <w:iCs/>
          <w:sz w:val="26"/>
          <w:szCs w:val="26"/>
        </w:rPr>
        <w:t>Resolvo o mérito do processo, com fundamento no art. 487, inciso I, do Código de Processo Civil.</w:t>
      </w:r>
    </w:p>
    <w:p w14:paraId="163354A9" w14:textId="0334FE30" w:rsidR="0006080C" w:rsidRPr="00063145" w:rsidRDefault="00E93232" w:rsidP="00E93232">
      <w:pPr>
        <w:spacing w:after="0" w:line="360" w:lineRule="auto"/>
        <w:ind w:left="2268" w:firstLine="1134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</w:rPr>
        <w:t>Condeno a requerida ao pagamento das custas processuais e dos honorários advocatícios, que fixo em 10% (dez por cento) sobre o valor atualizado da condenação, nos termos do art. 85, § 2º, do Código de Processo Civil.</w:t>
      </w:r>
      <w:r>
        <w:rPr>
          <w:rFonts w:ascii="Arial" w:hAnsi="Arial" w:cs="Arial"/>
          <w:i/>
          <w:sz w:val="26"/>
          <w:szCs w:val="26"/>
        </w:rPr>
        <w:t>”</w:t>
      </w:r>
      <w:r>
        <w:rPr>
          <w:rFonts w:ascii="Arial" w:hAnsi="Arial" w:cs="Arial"/>
          <w:i/>
          <w:color w:val="808080"/>
          <w:sz w:val="26"/>
          <w:szCs w:val="26"/>
        </w:rPr>
        <w:t xml:space="preserve"> (ID 88637481)</w:t>
      </w:r>
    </w:p>
    <w:p w14:paraId="41F018EC" w14:textId="77777777" w:rsidR="0061262D" w:rsidRDefault="0061262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149D0D14" w14:textId="21250A09" w:rsidR="00E93232" w:rsidRDefault="00D834FA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 ré opôs </w:t>
      </w:r>
      <w:r w:rsidRPr="004F1CCA">
        <w:rPr>
          <w:rFonts w:ascii="Arial" w:hAnsi="Arial" w:cs="Arial"/>
          <w:sz w:val="28"/>
          <w:szCs w:val="28"/>
        </w:rPr>
        <w:t xml:space="preserve">embargos de declaração (ID </w:t>
      </w:r>
      <w:r w:rsidR="006B37FB">
        <w:rPr>
          <w:rFonts w:ascii="Arial" w:hAnsi="Arial" w:cs="Arial"/>
          <w:sz w:val="28"/>
          <w:szCs w:val="28"/>
        </w:rPr>
        <w:t>88637482</w:t>
      </w:r>
      <w:r w:rsidRPr="004F1CCA">
        <w:rPr>
          <w:rFonts w:ascii="Arial" w:hAnsi="Arial" w:cs="Arial"/>
          <w:sz w:val="28"/>
          <w:szCs w:val="28"/>
        </w:rPr>
        <w:t>), os quais foram rejeitados</w:t>
      </w:r>
      <w:r>
        <w:rPr>
          <w:rFonts w:ascii="Arial" w:hAnsi="Arial" w:cs="Arial"/>
          <w:sz w:val="28"/>
          <w:szCs w:val="28"/>
        </w:rPr>
        <w:t xml:space="preserve"> </w:t>
      </w:r>
      <w:r w:rsidRPr="004F1CCA">
        <w:rPr>
          <w:rFonts w:ascii="Arial" w:hAnsi="Arial" w:cs="Arial"/>
          <w:sz w:val="28"/>
          <w:szCs w:val="28"/>
        </w:rPr>
        <w:t>(ID</w:t>
      </w:r>
      <w:r>
        <w:rPr>
          <w:rFonts w:ascii="Arial" w:hAnsi="Arial" w:cs="Arial"/>
          <w:sz w:val="28"/>
          <w:szCs w:val="28"/>
        </w:rPr>
        <w:t xml:space="preserve"> </w:t>
      </w:r>
      <w:r w:rsidR="006B37FB">
        <w:rPr>
          <w:rFonts w:ascii="Arial" w:hAnsi="Arial" w:cs="Arial"/>
          <w:sz w:val="28"/>
          <w:szCs w:val="28"/>
        </w:rPr>
        <w:t>88637488</w:t>
      </w:r>
      <w:r w:rsidRPr="004F1CCA">
        <w:rPr>
          <w:rFonts w:ascii="Arial" w:hAnsi="Arial" w:cs="Arial"/>
          <w:sz w:val="28"/>
          <w:szCs w:val="28"/>
        </w:rPr>
        <w:t>).</w:t>
      </w:r>
    </w:p>
    <w:p w14:paraId="1C7B63CE" w14:textId="77777777" w:rsidR="00E93232" w:rsidRDefault="00E93232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56A258C" w14:textId="0A638F9C" w:rsidR="00882188" w:rsidRPr="00E86190" w:rsidRDefault="00882188" w:rsidP="003F48BC">
      <w:pPr>
        <w:spacing w:after="0" w:line="360" w:lineRule="auto"/>
        <w:ind w:firstLine="2268"/>
        <w:jc w:val="both"/>
        <w:rPr>
          <w:rFonts w:ascii="Arial" w:hAnsi="Arial" w:cs="Arial"/>
          <w:color w:val="7030A0"/>
          <w:sz w:val="28"/>
          <w:szCs w:val="28"/>
        </w:rPr>
      </w:pPr>
      <w:commentRangeStart w:id="14"/>
      <w:r>
        <w:rPr>
          <w:rFonts w:ascii="Arial" w:hAnsi="Arial" w:cs="Arial"/>
          <w:sz w:val="28"/>
          <w:szCs w:val="28"/>
        </w:rPr>
        <w:t>Apelo da ré, Rose Mary Cerqueira Ramos (ID 88637491), em que alega, em síntese, que</w:t>
      </w:r>
      <w:r>
        <w:rPr>
          <w:rFonts w:ascii="Arial" w:hAnsi="Arial" w:cs="Arial"/>
          <w:color w:val="808080"/>
          <w:sz w:val="28"/>
          <w:szCs w:val="28"/>
        </w:rPr>
        <w:t>: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color w:val="808080"/>
          <w:sz w:val="28"/>
          <w:szCs w:val="28"/>
        </w:rPr>
        <w:t>1)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>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>carta de portabilidade atestou a existência de apenas um débito, o que gerou legítima expectativa de quitação e torna contraditória a cobrança posterior (</w:t>
      </w:r>
      <w:r>
        <w:rPr>
          <w:rFonts w:ascii="Arial" w:hAnsi="Arial" w:cs="Arial"/>
          <w:i/>
          <w:color w:val="808080"/>
          <w:sz w:val="28"/>
          <w:szCs w:val="28"/>
        </w:rPr>
        <w:t>venire contra factum proprium</w:t>
      </w:r>
      <w:r>
        <w:rPr>
          <w:rFonts w:ascii="Arial" w:hAnsi="Arial" w:cs="Arial"/>
          <w:color w:val="808080"/>
          <w:sz w:val="28"/>
          <w:szCs w:val="28"/>
        </w:rPr>
        <w:t xml:space="preserve">), em violação da boa-fé objetiva; </w:t>
      </w:r>
      <w:r>
        <w:rPr>
          <w:rFonts w:ascii="Arial" w:hAnsi="Arial" w:cs="Arial"/>
          <w:b/>
          <w:color w:val="808080"/>
          <w:sz w:val="28"/>
          <w:szCs w:val="28"/>
        </w:rPr>
        <w:t>2)</w:t>
      </w:r>
      <w:r>
        <w:rPr>
          <w:rFonts w:ascii="Arial" w:hAnsi="Arial" w:cs="Arial"/>
          <w:color w:val="808080"/>
          <w:sz w:val="28"/>
          <w:szCs w:val="28"/>
        </w:rPr>
        <w:t xml:space="preserve"> operou-se a </w:t>
      </w:r>
      <w:r>
        <w:rPr>
          <w:rFonts w:ascii="Arial" w:hAnsi="Arial" w:cs="Arial"/>
          <w:i/>
          <w:color w:val="808080"/>
          <w:sz w:val="28"/>
          <w:szCs w:val="28"/>
        </w:rPr>
        <w:t>supressio</w:t>
      </w:r>
      <w:r>
        <w:rPr>
          <w:rFonts w:ascii="Arial" w:hAnsi="Arial" w:cs="Arial"/>
          <w:color w:val="808080"/>
          <w:sz w:val="28"/>
          <w:szCs w:val="28"/>
        </w:rPr>
        <w:t xml:space="preserve">, pois a autora deixou de exercer o direito de cobrança na emissão da carta e por anos depois da portabilidade; </w:t>
      </w:r>
      <w:r>
        <w:rPr>
          <w:rFonts w:ascii="Arial" w:hAnsi="Arial" w:cs="Arial"/>
          <w:b/>
          <w:color w:val="808080"/>
          <w:sz w:val="28"/>
          <w:szCs w:val="28"/>
        </w:rPr>
        <w:t>3)</w:t>
      </w:r>
      <w:r>
        <w:rPr>
          <w:rFonts w:ascii="Arial" w:hAnsi="Arial" w:cs="Arial"/>
          <w:color w:val="808080"/>
          <w:sz w:val="28"/>
          <w:szCs w:val="28"/>
        </w:rPr>
        <w:t xml:space="preserve"> aplica-se o Código de Defesa do Consumidor, tendo a autora violado o dever de informação; e </w:t>
      </w:r>
      <w:r>
        <w:rPr>
          <w:rFonts w:ascii="Arial" w:hAnsi="Arial" w:cs="Arial"/>
          <w:b/>
          <w:color w:val="808080"/>
          <w:sz w:val="28"/>
          <w:szCs w:val="28"/>
        </w:rPr>
        <w:t>4)</w:t>
      </w:r>
      <w:r>
        <w:rPr>
          <w:rFonts w:ascii="Arial" w:hAnsi="Arial" w:cs="Arial"/>
          <w:color w:val="808080"/>
          <w:sz w:val="28"/>
          <w:szCs w:val="28"/>
        </w:rPr>
        <w:t xml:space="preserve"> a</w:t>
      </w:r>
      <w:r>
        <w:rPr>
          <w:rFonts w:ascii="Arial" w:hAnsi="Arial" w:cs="Arial"/>
          <w:sz w:val="28"/>
          <w:szCs w:val="28"/>
        </w:rPr>
        <w:t xml:space="preserve"> autora, </w:t>
      </w:r>
      <w:r>
        <w:rPr>
          <w:rFonts w:ascii="Arial" w:hAnsi="Arial" w:cs="Arial"/>
          <w:color w:val="808080"/>
          <w:sz w:val="28"/>
          <w:szCs w:val="28"/>
        </w:rPr>
        <w:t>instada</w:t>
      </w:r>
      <w:r>
        <w:rPr>
          <w:rFonts w:ascii="Arial" w:hAnsi="Arial" w:cs="Arial"/>
          <w:sz w:val="28"/>
          <w:szCs w:val="28"/>
        </w:rPr>
        <w:t xml:space="preserve">, não </w:t>
      </w:r>
      <w:r>
        <w:rPr>
          <w:rFonts w:ascii="Arial" w:hAnsi="Arial" w:cs="Arial"/>
          <w:color w:val="808080"/>
          <w:sz w:val="28"/>
          <w:szCs w:val="28"/>
        </w:rPr>
        <w:t>juntou</w:t>
      </w:r>
      <w:r>
        <w:rPr>
          <w:rFonts w:ascii="Arial" w:hAnsi="Arial" w:cs="Arial"/>
          <w:sz w:val="28"/>
          <w:szCs w:val="28"/>
        </w:rPr>
        <w:t xml:space="preserve"> os boletos bancários das parcelas cobradas.</w:t>
      </w:r>
      <w:commentRangeEnd w:id="14"/>
      <w:r w:rsidRPr="00E86190">
        <w:rPr>
          <w:rStyle w:val="Refdecomentrio"/>
          <w:rFonts w:ascii="Arial" w:hAnsi="Arial" w:cs="Arial"/>
          <w:color w:val="7030A0"/>
          <w:sz w:val="28"/>
          <w:szCs w:val="28"/>
        </w:rPr>
        <w:commentReference w:id="14"/>
      </w:r>
    </w:p>
    <w:p w14:paraId="042F6C97" w14:textId="77777777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A6592BB" w14:textId="03207F26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882188">
        <w:rPr>
          <w:rFonts w:ascii="Arial" w:hAnsi="Arial" w:cs="Arial"/>
          <w:sz w:val="28"/>
          <w:szCs w:val="28"/>
        </w:rPr>
        <w:t>Requer</w:t>
      </w:r>
      <w:r w:rsidR="00946FF7">
        <w:rPr>
          <w:rFonts w:ascii="Arial" w:hAnsi="Arial" w:cs="Arial"/>
          <w:sz w:val="28"/>
          <w:szCs w:val="28"/>
        </w:rPr>
        <w:t xml:space="preserve"> </w:t>
      </w:r>
      <w:r w:rsidR="006D07B9">
        <w:rPr>
          <w:rFonts w:ascii="Arial" w:hAnsi="Arial" w:cs="Arial"/>
          <w:sz w:val="28"/>
          <w:szCs w:val="28"/>
        </w:rPr>
        <w:t>a reforma da r. sentença para</w:t>
      </w:r>
      <w:r w:rsidR="00FC6B80">
        <w:rPr>
          <w:rFonts w:ascii="Arial" w:hAnsi="Arial" w:cs="Arial"/>
          <w:sz w:val="28"/>
          <w:szCs w:val="28"/>
        </w:rPr>
        <w:t xml:space="preserve"> que o pedido deduzido </w:t>
      </w:r>
      <w:r w:rsidR="00830B18">
        <w:rPr>
          <w:rFonts w:ascii="Arial" w:hAnsi="Arial" w:cs="Arial"/>
          <w:sz w:val="28"/>
          <w:szCs w:val="28"/>
        </w:rPr>
        <w:t>na ação de cobrança</w:t>
      </w:r>
      <w:r w:rsidR="00FC6B80">
        <w:rPr>
          <w:rFonts w:ascii="Arial" w:hAnsi="Arial" w:cs="Arial"/>
          <w:sz w:val="28"/>
          <w:szCs w:val="28"/>
        </w:rPr>
        <w:t xml:space="preserve"> seja julgado improcedente</w:t>
      </w:r>
      <w:r w:rsidR="00637DEB">
        <w:rPr>
          <w:rFonts w:ascii="Arial" w:hAnsi="Arial" w:cs="Arial"/>
          <w:sz w:val="28"/>
          <w:szCs w:val="28"/>
        </w:rPr>
        <w:t>, com a consequente inversão do ônus da sucumbência</w:t>
      </w:r>
      <w:r w:rsidR="00FC6B80">
        <w:rPr>
          <w:rFonts w:ascii="Arial" w:hAnsi="Arial" w:cs="Arial"/>
          <w:sz w:val="28"/>
          <w:szCs w:val="28"/>
        </w:rPr>
        <w:t>.</w:t>
      </w:r>
    </w:p>
    <w:p w14:paraId="15BADA6A" w14:textId="77777777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1B8C42E7" w14:textId="2317B698" w:rsidR="00882188" w:rsidRDefault="00882188" w:rsidP="00287C4C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5"/>
      <w:r>
        <w:rPr>
          <w:rFonts w:ascii="Arial" w:hAnsi="Arial" w:cs="Arial"/>
          <w:sz w:val="28"/>
          <w:szCs w:val="28"/>
        </w:rPr>
        <w:t>Contrarrazões</w:t>
      </w:r>
      <w:r>
        <w:rPr>
          <w:rFonts w:ascii="Arial" w:hAnsi="Arial" w:cs="Arial"/>
          <w:color w:val="808080"/>
          <w:sz w:val="28"/>
          <w:szCs w:val="28"/>
        </w:rPr>
        <w:t xml:space="preserve"> (ID 88637494)</w:t>
      </w:r>
      <w:r>
        <w:rPr>
          <w:rFonts w:ascii="Arial" w:hAnsi="Arial" w:cs="Arial"/>
          <w:sz w:val="28"/>
          <w:szCs w:val="28"/>
        </w:rPr>
        <w:t xml:space="preserve">, em que a apelada alega que: </w:t>
      </w:r>
      <w:r>
        <w:rPr>
          <w:rFonts w:ascii="Arial" w:hAnsi="Arial" w:cs="Arial"/>
          <w:b/>
          <w:bCs/>
          <w:sz w:val="28"/>
          <w:szCs w:val="28"/>
        </w:rPr>
        <w:t xml:space="preserve">1) </w:t>
      </w:r>
      <w:r>
        <w:rPr>
          <w:rFonts w:ascii="Arial" w:hAnsi="Arial" w:cs="Arial"/>
          <w:sz w:val="28"/>
          <w:szCs w:val="28"/>
        </w:rPr>
        <w:t xml:space="preserve">o Código de Defesa do Consumidor não é aplicável aos planos de saúde na modalidade autogestão; </w:t>
      </w:r>
      <w:r>
        <w:rPr>
          <w:rFonts w:ascii="Arial" w:hAnsi="Arial" w:cs="Arial"/>
          <w:b/>
          <w:bCs/>
          <w:sz w:val="28"/>
          <w:szCs w:val="28"/>
        </w:rPr>
        <w:t xml:space="preserve">2) </w:t>
      </w:r>
      <w:r>
        <w:rPr>
          <w:rFonts w:ascii="Arial" w:hAnsi="Arial" w:cs="Arial"/>
          <w:sz w:val="28"/>
          <w:szCs w:val="28"/>
        </w:rPr>
        <w:t xml:space="preserve">a distribuição do ônus da prova deve se dar de forma ordinária, não cabendo inversão; </w:t>
      </w:r>
      <w:r>
        <w:rPr>
          <w:rFonts w:ascii="Arial" w:hAnsi="Arial" w:cs="Arial"/>
          <w:b/>
          <w:bCs/>
          <w:sz w:val="28"/>
          <w:szCs w:val="28"/>
        </w:rPr>
        <w:t xml:space="preserve">3) </w:t>
      </w:r>
      <w:r>
        <w:rPr>
          <w:rFonts w:ascii="Arial" w:hAnsi="Arial" w:cs="Arial"/>
          <w:sz w:val="28"/>
          <w:szCs w:val="28"/>
        </w:rPr>
        <w:t>demonstrou o fato constitutivo do direito “</w:t>
      </w:r>
      <w:r>
        <w:rPr>
          <w:rFonts w:ascii="Arial" w:hAnsi="Arial" w:cs="Arial"/>
          <w:i/>
          <w:iCs/>
          <w:sz w:val="28"/>
          <w:szCs w:val="28"/>
        </w:rPr>
        <w:t>acostando os instrumentos contratuais vigentes, o regulamento vinculante do plano, o demonstrativo detalhado da evolução da dívida e extratos analíticos de faturamento mês a mês com indicação precisa das coparticipações decorrentes de serviços assistenciais usufruídos</w:t>
      </w:r>
      <w:r>
        <w:rPr>
          <w:rFonts w:ascii="Arial" w:hAnsi="Arial" w:cs="Arial"/>
          <w:sz w:val="28"/>
          <w:szCs w:val="28"/>
        </w:rPr>
        <w:t xml:space="preserve">”; </w:t>
      </w:r>
      <w:r>
        <w:rPr>
          <w:rFonts w:ascii="Arial" w:hAnsi="Arial" w:cs="Arial"/>
          <w:b/>
          <w:bCs/>
          <w:sz w:val="28"/>
          <w:szCs w:val="28"/>
        </w:rPr>
        <w:t>4)</w:t>
      </w:r>
      <w:r>
        <w:rPr>
          <w:rFonts w:ascii="Arial" w:hAnsi="Arial" w:cs="Arial"/>
          <w:sz w:val="28"/>
          <w:szCs w:val="28"/>
        </w:rPr>
        <w:t xml:space="preserve"> a devedora não comprovou o adimplemento; </w:t>
      </w:r>
      <w:r>
        <w:rPr>
          <w:rFonts w:ascii="Arial" w:hAnsi="Arial" w:cs="Arial"/>
          <w:b/>
          <w:bCs/>
          <w:sz w:val="28"/>
          <w:szCs w:val="28"/>
        </w:rPr>
        <w:t>5)</w:t>
      </w:r>
      <w:r>
        <w:rPr>
          <w:rFonts w:ascii="Arial" w:hAnsi="Arial" w:cs="Arial"/>
          <w:sz w:val="28"/>
          <w:szCs w:val="28"/>
        </w:rPr>
        <w:t xml:space="preserve"> a carta de </w:t>
      </w:r>
      <w:r>
        <w:rPr>
          <w:rFonts w:ascii="Arial" w:hAnsi="Arial" w:cs="Arial"/>
          <w:sz w:val="28"/>
          <w:szCs w:val="28"/>
        </w:rPr>
        <w:lastRenderedPageBreak/>
        <w:t xml:space="preserve">portabilidade não deu quitação expressa, sendo clara quanto à situação de inadimplente da ré; e </w:t>
      </w:r>
      <w:r>
        <w:rPr>
          <w:rFonts w:ascii="Arial" w:hAnsi="Arial" w:cs="Arial"/>
          <w:b/>
          <w:bCs/>
          <w:sz w:val="28"/>
          <w:szCs w:val="28"/>
        </w:rPr>
        <w:t>6)</w:t>
      </w:r>
      <w:r>
        <w:rPr>
          <w:rFonts w:ascii="Arial" w:hAnsi="Arial" w:cs="Arial"/>
          <w:sz w:val="28"/>
          <w:szCs w:val="28"/>
        </w:rPr>
        <w:t xml:space="preserve"> não estão presentes circunstâncias que caracterizem </w:t>
      </w:r>
      <w:r>
        <w:rPr>
          <w:rFonts w:ascii="Arial" w:hAnsi="Arial" w:cs="Arial"/>
          <w:i/>
          <w:iCs/>
          <w:sz w:val="28"/>
          <w:szCs w:val="28"/>
        </w:rPr>
        <w:t>supressio</w:t>
      </w:r>
      <w:r>
        <w:rPr>
          <w:rFonts w:ascii="Arial" w:hAnsi="Arial" w:cs="Arial"/>
          <w:sz w:val="28"/>
          <w:szCs w:val="28"/>
        </w:rPr>
        <w:t xml:space="preserve"> do seu direito de cobrar, tampouco </w:t>
      </w:r>
      <w:r>
        <w:rPr>
          <w:rFonts w:ascii="Arial" w:hAnsi="Arial" w:cs="Arial"/>
          <w:i/>
          <w:iCs/>
          <w:sz w:val="28"/>
          <w:szCs w:val="28"/>
        </w:rPr>
        <w:t>venire contra factum proprium</w:t>
      </w:r>
      <w:r>
        <w:rPr>
          <w:rFonts w:ascii="Arial" w:hAnsi="Arial" w:cs="Arial"/>
          <w:sz w:val="28"/>
          <w:szCs w:val="28"/>
        </w:rPr>
        <w:t>.</w:t>
      </w:r>
      <w:commentRangeEnd w:id="15"/>
      <w:r>
        <w:rPr>
          <w:rStyle w:val="Refdecomentrio"/>
          <w:rFonts w:ascii="Arial" w:hAnsi="Arial" w:cs="Arial"/>
          <w:sz w:val="28"/>
          <w:szCs w:val="28"/>
        </w:rPr>
        <w:commentReference w:id="15"/>
      </w:r>
    </w:p>
    <w:p w14:paraId="6EEF5CB3" w14:textId="77777777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1F0E0E82" w14:textId="6FC4357D" w:rsidR="00F63CDB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882188">
        <w:rPr>
          <w:rFonts w:ascii="Arial" w:hAnsi="Arial" w:cs="Arial"/>
          <w:sz w:val="28"/>
          <w:szCs w:val="28"/>
        </w:rPr>
        <w:t>É o relatório.</w:t>
      </w:r>
    </w:p>
    <w:p w14:paraId="2D9FEE41" w14:textId="77777777" w:rsidR="00882188" w:rsidRDefault="00882188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42AEDC34" w14:textId="55B9F799" w:rsidR="00355C73" w:rsidRDefault="00355C7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14:paraId="1869B69C" w14:textId="7A25C947" w:rsidR="00882188" w:rsidRPr="00355C73" w:rsidRDefault="00355C73" w:rsidP="00355C73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lastRenderedPageBreak/>
        <w:t>VOTO</w:t>
      </w:r>
    </w:p>
    <w:p w14:paraId="5518CFBB" w14:textId="77777777" w:rsidR="00882188" w:rsidRDefault="00882188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9B1C8E2" w14:textId="1BE1B14E" w:rsidR="00355C73" w:rsidRPr="00355C73" w:rsidRDefault="00355C73" w:rsidP="00355C73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O Senhor Desembargador SÉRGIO ROCHA – Relator.</w:t>
      </w:r>
    </w:p>
    <w:p w14:paraId="2F38563C" w14:textId="77777777" w:rsidR="00355C73" w:rsidRDefault="00355C7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61AE6B8E" w14:textId="2A496277" w:rsidR="00355C73" w:rsidRDefault="00A72414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6"/>
      <w:r>
        <w:rPr>
          <w:rFonts w:ascii="Arial" w:hAnsi="Arial" w:cs="Arial"/>
          <w:sz w:val="28"/>
          <w:szCs w:val="28"/>
        </w:rPr>
        <w:t>Ação ajuizada em 28/</w:t>
      </w:r>
      <w:r>
        <w:rPr>
          <w:rFonts w:ascii="Arial" w:hAnsi="Arial" w:cs="Arial"/>
          <w:color w:val="808080"/>
          <w:sz w:val="28"/>
          <w:szCs w:val="28"/>
        </w:rPr>
        <w:t>03</w:t>
      </w:r>
      <w:r>
        <w:rPr>
          <w:rFonts w:ascii="Arial" w:hAnsi="Arial" w:cs="Arial"/>
          <w:sz w:val="28"/>
          <w:szCs w:val="28"/>
        </w:rPr>
        <w:t>/</w:t>
      </w:r>
      <w:r>
        <w:rPr>
          <w:rFonts w:ascii="Arial" w:hAnsi="Arial" w:cs="Arial"/>
          <w:color w:val="808080"/>
          <w:sz w:val="28"/>
          <w:szCs w:val="28"/>
        </w:rPr>
        <w:t>2025</w:t>
      </w:r>
      <w:r>
        <w:rPr>
          <w:rFonts w:ascii="Arial" w:hAnsi="Arial" w:cs="Arial"/>
          <w:sz w:val="28"/>
          <w:szCs w:val="28"/>
        </w:rPr>
        <w:t xml:space="preserve">. Sentença proferida em </w:t>
      </w:r>
      <w:r>
        <w:rPr>
          <w:rFonts w:ascii="Arial" w:hAnsi="Arial" w:cs="Arial"/>
          <w:color w:val="808080"/>
          <w:sz w:val="28"/>
          <w:szCs w:val="28"/>
        </w:rPr>
        <w:t>03</w:t>
      </w:r>
      <w:r>
        <w:rPr>
          <w:rFonts w:ascii="Arial" w:hAnsi="Arial" w:cs="Arial"/>
          <w:sz w:val="28"/>
          <w:szCs w:val="28"/>
        </w:rPr>
        <w:t>/</w:t>
      </w:r>
      <w:r>
        <w:rPr>
          <w:rFonts w:ascii="Arial" w:hAnsi="Arial" w:cs="Arial"/>
          <w:color w:val="808080"/>
          <w:sz w:val="28"/>
          <w:szCs w:val="28"/>
        </w:rPr>
        <w:t>06</w:t>
      </w:r>
      <w:r>
        <w:rPr>
          <w:rFonts w:ascii="Arial" w:hAnsi="Arial" w:cs="Arial"/>
          <w:sz w:val="28"/>
          <w:szCs w:val="28"/>
        </w:rPr>
        <w:t>/</w:t>
      </w:r>
      <w:r>
        <w:rPr>
          <w:rFonts w:ascii="Arial" w:hAnsi="Arial" w:cs="Arial"/>
          <w:color w:val="808080"/>
          <w:sz w:val="28"/>
          <w:szCs w:val="28"/>
        </w:rPr>
        <w:t>2026.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>Embargos</w:t>
      </w:r>
      <w:r>
        <w:rPr>
          <w:rFonts w:ascii="Arial" w:hAnsi="Arial" w:cs="Arial"/>
          <w:sz w:val="28"/>
          <w:szCs w:val="28"/>
        </w:rPr>
        <w:t xml:space="preserve"> de declaração </w:t>
      </w:r>
      <w:r>
        <w:rPr>
          <w:rFonts w:ascii="Arial" w:hAnsi="Arial" w:cs="Arial"/>
          <w:color w:val="808080"/>
          <w:sz w:val="28"/>
          <w:szCs w:val="28"/>
        </w:rPr>
        <w:t xml:space="preserve">rejeitados </w:t>
      </w:r>
      <w:r>
        <w:rPr>
          <w:rFonts w:ascii="Arial" w:hAnsi="Arial" w:cs="Arial"/>
          <w:sz w:val="28"/>
          <w:szCs w:val="28"/>
        </w:rPr>
        <w:t xml:space="preserve">em </w:t>
      </w:r>
      <w:r>
        <w:rPr>
          <w:rFonts w:ascii="Arial" w:hAnsi="Arial" w:cs="Arial"/>
          <w:color w:val="808080"/>
          <w:sz w:val="28"/>
          <w:szCs w:val="28"/>
        </w:rPr>
        <w:t>08</w:t>
      </w:r>
      <w:r>
        <w:rPr>
          <w:rFonts w:ascii="Arial" w:hAnsi="Arial" w:cs="Arial"/>
          <w:sz w:val="28"/>
          <w:szCs w:val="28"/>
        </w:rPr>
        <w:t>/</w:t>
      </w:r>
      <w:r>
        <w:rPr>
          <w:rFonts w:ascii="Arial" w:hAnsi="Arial" w:cs="Arial"/>
          <w:color w:val="808080"/>
          <w:sz w:val="28"/>
          <w:szCs w:val="28"/>
        </w:rPr>
        <w:t>07</w:t>
      </w:r>
      <w:r>
        <w:rPr>
          <w:rFonts w:ascii="Arial" w:hAnsi="Arial" w:cs="Arial"/>
          <w:sz w:val="28"/>
          <w:szCs w:val="28"/>
        </w:rPr>
        <w:t>/</w:t>
      </w:r>
      <w:r>
        <w:rPr>
          <w:rFonts w:ascii="Arial" w:hAnsi="Arial" w:cs="Arial"/>
          <w:color w:val="808080"/>
          <w:sz w:val="28"/>
          <w:szCs w:val="28"/>
        </w:rPr>
        <w:t>2026</w:t>
      </w:r>
      <w:r>
        <w:rPr>
          <w:rFonts w:ascii="Arial" w:hAnsi="Arial" w:cs="Arial"/>
          <w:sz w:val="28"/>
          <w:szCs w:val="28"/>
        </w:rPr>
        <w:t>. Apelo interposto em 30/</w:t>
      </w:r>
      <w:r>
        <w:rPr>
          <w:rFonts w:ascii="Arial" w:hAnsi="Arial" w:cs="Arial"/>
          <w:color w:val="808080"/>
          <w:sz w:val="28"/>
          <w:szCs w:val="28"/>
        </w:rPr>
        <w:t>07</w:t>
      </w:r>
      <w:r>
        <w:rPr>
          <w:rFonts w:ascii="Arial" w:hAnsi="Arial" w:cs="Arial"/>
          <w:sz w:val="28"/>
          <w:szCs w:val="28"/>
        </w:rPr>
        <w:t>/</w:t>
      </w:r>
      <w:r>
        <w:rPr>
          <w:rFonts w:ascii="Arial" w:hAnsi="Arial" w:cs="Arial"/>
          <w:color w:val="808080"/>
          <w:sz w:val="28"/>
          <w:szCs w:val="28"/>
        </w:rPr>
        <w:t>2026</w:t>
      </w:r>
      <w:r>
        <w:rPr>
          <w:rFonts w:ascii="Arial" w:hAnsi="Arial" w:cs="Arial"/>
          <w:sz w:val="28"/>
          <w:szCs w:val="28"/>
        </w:rPr>
        <w:t>. Valor da causa: R$ 23.548,08.</w:t>
      </w:r>
      <w:commentRangeEnd w:id="16"/>
      <w:r>
        <w:rPr>
          <w:rStyle w:val="Refdecomentrio"/>
          <w:rFonts w:ascii="Arial" w:hAnsi="Arial" w:cs="Arial"/>
          <w:sz w:val="28"/>
          <w:szCs w:val="28"/>
        </w:rPr>
        <w:commentReference w:id="16"/>
      </w:r>
    </w:p>
    <w:p w14:paraId="58BDE931" w14:textId="77777777" w:rsidR="00355C73" w:rsidRDefault="00355C7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C5A86CD" w14:textId="16EA1F45" w:rsidR="00355C73" w:rsidRPr="007E1C8C" w:rsidRDefault="00A72414" w:rsidP="00A72414">
      <w:pPr>
        <w:spacing w:after="0" w:line="360" w:lineRule="auto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>APELO D</w:t>
      </w:r>
      <w:r w:rsidR="00170999">
        <w:rPr>
          <w:rFonts w:ascii="Arial" w:hAnsi="Arial" w:cs="Arial"/>
          <w:b/>
          <w:bCs/>
          <w:color w:val="000000" w:themeColor="text1"/>
          <w:sz w:val="28"/>
          <w:szCs w:val="28"/>
        </w:rPr>
        <w:t>A</w:t>
      </w: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</w:t>
      </w:r>
      <w:r w:rsidR="00B95CB8">
        <w:rPr>
          <w:rFonts w:ascii="Arial" w:hAnsi="Arial" w:cs="Arial"/>
          <w:b/>
          <w:bCs/>
          <w:color w:val="000000" w:themeColor="text1"/>
          <w:sz w:val="28"/>
          <w:szCs w:val="28"/>
        </w:rPr>
        <w:t>RÉ</w:t>
      </w: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, </w:t>
      </w:r>
      <w:r w:rsidR="00170999">
        <w:rPr>
          <w:rFonts w:ascii="Arial" w:hAnsi="Arial" w:cs="Arial"/>
          <w:b/>
          <w:bCs/>
          <w:color w:val="000000" w:themeColor="text1"/>
          <w:sz w:val="28"/>
          <w:szCs w:val="28"/>
        </w:rPr>
        <w:t>ROSE MARY CERQUEIRA RAMOS</w:t>
      </w:r>
    </w:p>
    <w:p w14:paraId="187A5EFC" w14:textId="77777777" w:rsidR="00A72414" w:rsidRPr="007E1C8C" w:rsidRDefault="00A72414" w:rsidP="00DB130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2E63BFE0" w14:textId="2AE4BE4A" w:rsidR="00A72414" w:rsidRPr="007E1C8C" w:rsidRDefault="00A958AF" w:rsidP="00DB130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7E1C8C">
        <w:rPr>
          <w:rFonts w:ascii="Arial" w:hAnsi="Arial" w:cs="Arial"/>
          <w:color w:val="000000" w:themeColor="text1"/>
          <w:sz w:val="28"/>
          <w:szCs w:val="28"/>
        </w:rPr>
        <w:t>Presentes os pressupostos de admissibilidade, conheço do apelo interposto</w:t>
      </w:r>
      <w:r w:rsidR="005A1443">
        <w:rPr>
          <w:rFonts w:ascii="Arial" w:hAnsi="Arial" w:cs="Arial"/>
          <w:color w:val="000000" w:themeColor="text1"/>
          <w:sz w:val="28"/>
          <w:szCs w:val="28"/>
        </w:rPr>
        <w:t>.</w:t>
      </w:r>
    </w:p>
    <w:p w14:paraId="7E4D53BA" w14:textId="77777777" w:rsidR="00C22469" w:rsidRDefault="00C22469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0321D16" w14:textId="47E7E050" w:rsidR="00EB3378" w:rsidRDefault="00291367" w:rsidP="00EB3378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DA MANUTENÇÃO DA CONDENAÇÃO DIANTE </w:t>
      </w:r>
      <w:commentRangeStart w:id="17"/>
      <w:r>
        <w:rPr>
          <w:rFonts w:ascii="Arial" w:hAnsi="Arial" w:cs="Arial"/>
          <w:sz w:val="28"/>
          <w:szCs w:val="28"/>
          <w:highlight w:val="yellow"/>
        </w:rPr>
        <w:t xml:space="preserve">DA AUSÊNCIA DE PROVA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>DE</w:t>
      </w:r>
      <w:r>
        <w:rPr>
          <w:rFonts w:ascii="Arial" w:hAnsi="Arial" w:cs="Arial"/>
          <w:sz w:val="28"/>
          <w:szCs w:val="28"/>
          <w:highlight w:val="yellow"/>
        </w:rPr>
        <w:t xml:space="preserve"> PAGAMENTO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>OU</w:t>
      </w:r>
      <w:r>
        <w:rPr>
          <w:rFonts w:ascii="Arial" w:hAnsi="Arial" w:cs="Arial"/>
          <w:sz w:val="28"/>
          <w:szCs w:val="28"/>
          <w:highlight w:val="yellow"/>
        </w:rPr>
        <w:t xml:space="preserve">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>DE</w:t>
      </w:r>
      <w:r>
        <w:rPr>
          <w:rFonts w:ascii="Arial" w:hAnsi="Arial" w:cs="Arial"/>
          <w:sz w:val="28"/>
          <w:szCs w:val="28"/>
          <w:highlight w:val="yellow"/>
        </w:rPr>
        <w:t xml:space="preserve"> </w:t>
      </w:r>
      <w:commentRangeEnd w:id="17"/>
      <w:r>
        <w:rPr>
          <w:rStyle w:val="Refdecomentrio"/>
          <w:rFonts w:ascii="Arial" w:hAnsi="Arial" w:cs="Arial"/>
          <w:color w:val="808080"/>
          <w:sz w:val="28"/>
          <w:szCs w:val="28"/>
          <w:highlight w:val="yellow"/>
        </w:rPr>
        <w:commentReference w:id="17"/>
      </w:r>
      <w:r>
        <w:rPr>
          <w:rFonts w:ascii="Arial" w:hAnsi="Arial" w:cs="Arial"/>
          <w:color w:val="808080"/>
          <w:sz w:val="28"/>
          <w:szCs w:val="28"/>
          <w:highlight w:val="yellow"/>
        </w:rPr>
        <w:t>QUITAÇÃO</w:t>
      </w:r>
    </w:p>
    <w:p w14:paraId="00CF8CE5" w14:textId="77777777" w:rsidR="00355C73" w:rsidRDefault="00355C7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4557A403" w14:textId="77E3A33B" w:rsidR="0033735F" w:rsidRPr="007E1C8C" w:rsidRDefault="0004253A" w:rsidP="006925EC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30"/>
      <w:r>
        <w:rPr>
          <w:rFonts w:ascii="Arial" w:hAnsi="Arial" w:cs="Arial"/>
          <w:color w:val="000000" w:themeColor="text1"/>
          <w:sz w:val="28"/>
          <w:szCs w:val="28"/>
        </w:rPr>
        <w:t xml:space="preserve">A ré/apelante alega que</w:t>
      </w:r>
      <w:r>
        <w:rPr>
          <w:rFonts w:ascii="Arial" w:hAnsi="Arial" w:cs="Arial"/>
          <w:color w:val="808080"/>
          <w:sz w:val="28"/>
          <w:szCs w:val="28"/>
        </w:rPr>
        <w:t xml:space="preserve">: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1)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carta de portabilidade </w:t>
      </w:r>
      <w:r>
        <w:rPr>
          <w:rFonts w:ascii="Arial" w:hAnsi="Arial" w:cs="Arial"/>
          <w:color w:val="808080"/>
          <w:sz w:val="28"/>
          <w:szCs w:val="28"/>
        </w:rPr>
        <w:t xml:space="preserve">indicava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um</w:t>
      </w:r>
      <w:r>
        <w:rPr>
          <w:rFonts w:ascii="Arial" w:hAnsi="Arial" w:cs="Arial"/>
          <w:color w:val="808080"/>
          <w:sz w:val="28"/>
          <w:szCs w:val="28"/>
        </w:rPr>
        <w:t xml:space="preserve"> só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débito,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o</w:t>
      </w:r>
      <w:r>
        <w:rPr>
          <w:rFonts w:ascii="Arial" w:hAnsi="Arial" w:cs="Arial"/>
          <w:sz w:val="28"/>
          <w:szCs w:val="28"/>
        </w:rPr>
        <w:t xml:space="preserve"> que </w:t>
      </w:r>
      <w:r>
        <w:rPr>
          <w:rFonts w:ascii="Arial" w:hAnsi="Arial" w:cs="Arial"/>
          <w:color w:val="808080"/>
          <w:sz w:val="28"/>
          <w:szCs w:val="28"/>
        </w:rPr>
        <w:t xml:space="preserve">gerou</w:t>
      </w:r>
      <w:r>
        <w:rPr>
          <w:rFonts w:ascii="Arial" w:hAnsi="Arial" w:cs="Arial"/>
          <w:sz w:val="28"/>
          <w:szCs w:val="28"/>
        </w:rPr>
        <w:t xml:space="preserve"> expectativa de quitação </w:t>
      </w:r>
      <w:r>
        <w:rPr>
          <w:rFonts w:ascii="Arial" w:hAnsi="Arial" w:cs="Arial"/>
          <w:color w:val="808080"/>
          <w:sz w:val="28"/>
          <w:szCs w:val="28"/>
        </w:rPr>
        <w:t xml:space="preserve">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torna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contraditória</w:t>
      </w:r>
      <w:r>
        <w:rPr>
          <w:rFonts w:ascii="Arial" w:hAnsi="Arial" w:cs="Arial"/>
          <w:sz w:val="28"/>
          <w:szCs w:val="28"/>
        </w:rPr>
        <w:t xml:space="preserve"> a </w:t>
      </w:r>
      <w:r>
        <w:rPr>
          <w:rFonts w:ascii="Arial" w:hAnsi="Arial" w:cs="Arial"/>
          <w:color w:val="808080"/>
          <w:sz w:val="28"/>
          <w:szCs w:val="28"/>
        </w:rPr>
        <w:t xml:space="preserve">cobrança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(</w:t>
      </w:r>
      <w:r>
        <w:rPr>
          <w:rFonts w:ascii="Arial" w:hAnsi="Arial" w:cs="Arial"/>
          <w:i/>
          <w:iCs/>
          <w:sz w:val="28"/>
          <w:szCs w:val="28"/>
        </w:rPr>
        <w:t xml:space="preserve">venire contra factum proprium</w:t>
      </w:r>
      <w:r>
        <w:rPr>
          <w:rFonts w:ascii="Arial" w:hAnsi="Arial" w:cs="Arial"/>
          <w:i/>
          <w:iCs/>
          <w:color w:val="808080"/>
          <w:sz w:val="28"/>
          <w:szCs w:val="28"/>
        </w:rPr>
        <w:t xml:space="preserve">)</w:t>
      </w:r>
      <w:r>
        <w:rPr>
          <w:rFonts w:ascii="Arial" w:hAnsi="Arial" w:cs="Arial"/>
          <w:color w:val="808080"/>
          <w:sz w:val="28"/>
          <w:szCs w:val="28"/>
        </w:rPr>
        <w:t xml:space="preserve">;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2)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operou-se</w:t>
      </w:r>
      <w:r>
        <w:rPr>
          <w:rFonts w:ascii="Arial" w:hAnsi="Arial" w:cs="Arial"/>
          <w:sz w:val="28"/>
          <w:szCs w:val="28"/>
        </w:rPr>
        <w:t xml:space="preserve"> a </w:t>
      </w:r>
      <w:r>
        <w:rPr>
          <w:rFonts w:ascii="Arial" w:hAnsi="Arial" w:cs="Arial"/>
          <w:i/>
          <w:color w:val="808080"/>
          <w:sz w:val="28"/>
          <w:szCs w:val="28"/>
        </w:rPr>
        <w:t xml:space="preserve">supressio</w:t>
      </w:r>
      <w:r>
        <w:rPr>
          <w:rFonts w:ascii="Arial" w:hAnsi="Arial" w:cs="Arial"/>
          <w:color w:val="808080"/>
          <w:sz w:val="28"/>
          <w:szCs w:val="28"/>
        </w:rPr>
        <w:t xml:space="preserve">;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3)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aplica-se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CDC,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com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violação</w:t>
      </w:r>
      <w:r>
        <w:rPr>
          <w:rFonts w:ascii="Arial" w:hAnsi="Arial" w:cs="Arial"/>
          <w:sz w:val="28"/>
          <w:szCs w:val="28"/>
        </w:rPr>
        <w:t xml:space="preserve"> do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dever de informação; e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4)</w:t>
      </w:r>
      <w:r>
        <w:rPr>
          <w:rFonts w:ascii="Arial" w:hAnsi="Arial" w:cs="Arial"/>
          <w:color w:val="808080"/>
          <w:sz w:val="28"/>
          <w:szCs w:val="28"/>
        </w:rPr>
        <w:t xml:space="preserve"> a autora</w:t>
      </w:r>
      <w:r>
        <w:rPr>
          <w:rFonts w:ascii="Arial" w:hAnsi="Arial" w:cs="Arial"/>
          <w:color w:val="808080"/>
          <w:sz w:val="28"/>
          <w:szCs w:val="28"/>
        </w:rPr>
        <w:t xml:space="preserve"> não juntou os boletos bancários das parcelas cobradas (ID 88637491)</w:t>
      </w:r>
      <w:r>
        <w:rPr>
          <w:rFonts w:ascii="Arial" w:hAnsi="Arial" w:cs="Arial"/>
          <w:sz w:val="28"/>
          <w:szCs w:val="28"/>
        </w:rPr>
        <w:t xml:space="preserve">.</w:t>
      </w:r>
      <w:commentRangeEnd w:id="30"/>
      <w:r>
        <w:rPr>
          <w:rStyle w:val="CommentReference"/>
        </w:rPr>
        <w:commentReference w:id="30"/>
      </w:r>
    </w:p>
    <w:p w14:paraId="4E3BF3A9" w14:textId="77777777" w:rsidR="0033735F" w:rsidRDefault="0033735F" w:rsidP="0033735F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1751BF6D" w14:textId="6DCB582C" w:rsidR="00506A7D" w:rsidRDefault="00506A7D" w:rsidP="00506A7D">
      <w:pPr>
        <w:spacing w:after="0" w:line="360" w:lineRule="auto"/>
        <w:ind w:firstLine="2268"/>
        <w:jc w:val="both"/>
        <w:rPr>
          <w:rFonts w:ascii="Arial" w:hAnsi="Arial" w:cs="Arial"/>
          <w:color w:val="7030A0"/>
          <w:sz w:val="28"/>
          <w:szCs w:val="28"/>
        </w:rPr>
      </w:pPr>
      <w:r>
        <w:rPr>
          <w:rFonts w:ascii="Arial" w:hAnsi="Arial" w:cs="Arial"/>
          <w:sz w:val="28"/>
          <w:szCs w:val="28"/>
          <w:highlight w:val="yellow"/>
        </w:rPr>
        <w:t>Sem razão</w:t>
      </w:r>
      <w:r w:rsidRPr="007F4412">
        <w:rPr>
          <w:rFonts w:ascii="Arial" w:hAnsi="Arial" w:cs="Arial"/>
          <w:color w:val="7030A0"/>
          <w:sz w:val="28"/>
          <w:szCs w:val="28"/>
          <w:highlight w:val="yellow"/>
        </w:rPr>
        <w:t xml:space="preserve"> </w:t>
      </w:r>
      <w:r w:rsidR="005E7C7A">
        <w:rPr>
          <w:rFonts w:ascii="Arial" w:hAnsi="Arial" w:cs="Arial"/>
          <w:sz w:val="28"/>
          <w:szCs w:val="28"/>
          <w:highlight w:val="yellow"/>
        </w:rPr>
        <w:t>a</w:t>
      </w:r>
      <w:r w:rsidRPr="009B7564">
        <w:rPr>
          <w:rFonts w:ascii="Arial" w:hAnsi="Arial" w:cs="Arial"/>
          <w:sz w:val="28"/>
          <w:szCs w:val="28"/>
          <w:highlight w:val="yellow"/>
        </w:rPr>
        <w:t xml:space="preserve"> apelante</w:t>
      </w:r>
      <w:r w:rsidRPr="007F4412">
        <w:rPr>
          <w:rFonts w:ascii="Arial" w:hAnsi="Arial" w:cs="Arial"/>
          <w:color w:val="7030A0"/>
          <w:sz w:val="28"/>
          <w:szCs w:val="28"/>
          <w:highlight w:val="yellow"/>
        </w:rPr>
        <w:t>.</w:t>
      </w:r>
    </w:p>
    <w:p w14:paraId="2CC55D5E" w14:textId="77777777" w:rsidR="00052F25" w:rsidRDefault="00052F25" w:rsidP="00506A7D">
      <w:pPr>
        <w:spacing w:after="0" w:line="360" w:lineRule="auto"/>
        <w:ind w:firstLine="2268"/>
        <w:jc w:val="both"/>
        <w:rPr>
          <w:rFonts w:ascii="Arial" w:hAnsi="Arial" w:cs="Arial"/>
          <w:color w:val="7030A0"/>
          <w:sz w:val="28"/>
          <w:szCs w:val="28"/>
        </w:rPr>
      </w:pPr>
    </w:p>
    <w:p w14:paraId="60155574" w14:textId="77777777" w:rsidR="009630FD" w:rsidRPr="009630FD" w:rsidRDefault="009630FD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8"/>
      <w:r w:rsidRPr="009630FD">
        <w:rPr>
          <w:rFonts w:ascii="Arial" w:hAnsi="Arial" w:cs="Arial"/>
          <w:sz w:val="28"/>
          <w:szCs w:val="28"/>
        </w:rPr>
        <w:t>Dispõe</w:t>
      </w:r>
      <w:commentRangeEnd w:id="18"/>
      <w:r w:rsidRPr="009630FD">
        <w:rPr>
          <w:rStyle w:val="Refdecomentrio"/>
          <w:rFonts w:ascii="Arial" w:hAnsi="Arial" w:cs="Arial"/>
          <w:sz w:val="28"/>
          <w:szCs w:val="28"/>
        </w:rPr>
        <w:commentReference w:id="18"/>
      </w:r>
      <w:r w:rsidRPr="009630FD">
        <w:rPr>
          <w:rFonts w:ascii="Arial" w:hAnsi="Arial" w:cs="Arial"/>
          <w:sz w:val="28"/>
          <w:szCs w:val="28"/>
        </w:rPr>
        <w:t xml:space="preserve"> a Súmula 608/STJ:</w:t>
      </w:r>
    </w:p>
    <w:p w14:paraId="5890FE97" w14:textId="08B2A1F3" w:rsidR="009630FD" w:rsidRPr="009630FD" w:rsidRDefault="009630FD" w:rsidP="008E25DD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4D83BA7A" w14:textId="77777777" w:rsidR="009630FD" w:rsidRPr="00043EAF" w:rsidRDefault="009630FD" w:rsidP="00043EAF">
      <w:pPr>
        <w:spacing w:after="0" w:line="360" w:lineRule="auto"/>
        <w:ind w:left="2268"/>
        <w:jc w:val="both"/>
        <w:rPr>
          <w:rFonts w:ascii="Arial" w:hAnsi="Arial" w:cs="Arial"/>
          <w:sz w:val="26"/>
          <w:szCs w:val="26"/>
        </w:rPr>
      </w:pPr>
      <w:r w:rsidRPr="00043EAF">
        <w:rPr>
          <w:rFonts w:ascii="Arial" w:hAnsi="Arial" w:cs="Arial"/>
          <w:sz w:val="26"/>
          <w:szCs w:val="26"/>
        </w:rPr>
        <w:t>“</w:t>
      </w:r>
      <w:r w:rsidRPr="00043EAF">
        <w:rPr>
          <w:rFonts w:ascii="Arial" w:hAnsi="Arial" w:cs="Arial"/>
          <w:i/>
          <w:iCs/>
          <w:sz w:val="26"/>
          <w:szCs w:val="26"/>
        </w:rPr>
        <w:t>Aplica-se o Código de Defesa do Consumidor aos contratos de plano de saúde, salvo os administrados por entidades de autogestão.</w:t>
      </w:r>
      <w:r w:rsidRPr="00043EAF">
        <w:rPr>
          <w:rFonts w:ascii="Arial" w:hAnsi="Arial" w:cs="Arial"/>
          <w:sz w:val="26"/>
          <w:szCs w:val="26"/>
        </w:rPr>
        <w:t>”</w:t>
      </w:r>
    </w:p>
    <w:p w14:paraId="61430E3F" w14:textId="5E15F1F6" w:rsidR="009630FD" w:rsidRPr="009630FD" w:rsidRDefault="009630FD" w:rsidP="008E25DD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 w:rsidRPr="009630FD">
        <w:rPr>
          <w:rFonts w:ascii="Arial" w:hAnsi="Arial" w:cs="Arial"/>
          <w:sz w:val="28"/>
          <w:szCs w:val="28"/>
        </w:rPr>
        <w:t xml:space="preserve"> </w:t>
      </w:r>
    </w:p>
    <w:p w14:paraId="2F320055" w14:textId="64866A77" w:rsidR="00052F25" w:rsidRDefault="009630FD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9"/>
      <w:r>
        <w:rPr>
          <w:rFonts w:ascii="Arial" w:hAnsi="Arial" w:cs="Arial"/>
          <w:sz w:val="28"/>
          <w:szCs w:val="28"/>
        </w:rPr>
        <w:t xml:space="preserve">Portanto, não incide o CDC </w:t>
      </w:r>
      <w:r>
        <w:rPr>
          <w:rFonts w:ascii="Arial" w:hAnsi="Arial" w:cs="Arial"/>
          <w:color w:val="808080"/>
          <w:sz w:val="28"/>
          <w:szCs w:val="28"/>
        </w:rPr>
        <w:t xml:space="preserve">no</w:t>
      </w:r>
      <w:r>
        <w:rPr>
          <w:rFonts w:ascii="Arial" w:hAnsi="Arial" w:cs="Arial"/>
          <w:sz w:val="28"/>
          <w:szCs w:val="28"/>
        </w:rPr>
        <w:t xml:space="preserve"> contrato em análise, cujo plano de saúde é </w:t>
      </w:r>
      <w:r>
        <w:rPr>
          <w:rFonts w:ascii="Arial" w:hAnsi="Arial" w:cs="Arial"/>
          <w:sz w:val="28"/>
          <w:szCs w:val="28"/>
        </w:rPr>
        <w:t xml:space="preserve">de autogestão</w:t>
      </w:r>
      <w:r>
        <w:rPr>
          <w:rFonts w:ascii="Arial" w:hAnsi="Arial" w:cs="Arial"/>
          <w:color w:val="808080"/>
          <w:sz w:val="28"/>
          <w:szCs w:val="28"/>
        </w:rPr>
        <w:t xml:space="preserve"> (ID 88637033)</w:t>
      </w:r>
      <w:r>
        <w:rPr>
          <w:rFonts w:ascii="Arial" w:hAnsi="Arial" w:cs="Arial"/>
          <w:sz w:val="28"/>
          <w:szCs w:val="28"/>
        </w:rPr>
        <w:t xml:space="preserve">.</w:t>
      </w:r>
      <w:commentRangeEnd w:id="19"/>
      <w:r>
        <w:rPr>
          <w:rStyle w:val="Refdecomentrio"/>
          <w:rFonts w:ascii="Arial" w:hAnsi="Arial" w:cs="Arial"/>
          <w:sz w:val="28"/>
          <w:szCs w:val="28"/>
        </w:rPr>
        <w:commentReference w:id="19"/>
      </w:r>
    </w:p>
    <w:p w14:paraId="3F3BCE01" w14:textId="77777777" w:rsidR="009630FD" w:rsidRDefault="009630FD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596896A0" w14:textId="7B9F14DA" w:rsidR="009630FD" w:rsidRDefault="007272DD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20"/>
      <w:r>
        <w:rPr>
          <w:rFonts w:ascii="Arial" w:hAnsi="Arial" w:cs="Arial"/>
          <w:sz w:val="28"/>
          <w:szCs w:val="28"/>
        </w:rPr>
        <w:t xml:space="preserve">Por isso, a distribuição do ônus da prova </w:t>
      </w:r>
      <w:r>
        <w:rPr>
          <w:rFonts w:ascii="Arial" w:hAnsi="Arial" w:cs="Arial"/>
          <w:color w:val="808080"/>
          <w:sz w:val="28"/>
          <w:szCs w:val="28"/>
        </w:rPr>
        <w:t xml:space="preserve">segue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regra</w:t>
      </w:r>
      <w:r>
        <w:rPr>
          <w:rFonts w:ascii="Arial" w:hAnsi="Arial" w:cs="Arial"/>
          <w:sz w:val="28"/>
          <w:szCs w:val="28"/>
        </w:rPr>
        <w:t xml:space="preserve"> ordinária</w:t>
      </w:r>
      <w:r>
        <w:rPr>
          <w:rFonts w:ascii="Arial" w:hAnsi="Arial" w:cs="Arial"/>
          <w:color w:val="808080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 xml:space="preserve"> à autora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sz w:val="28"/>
          <w:szCs w:val="28"/>
        </w:rPr>
        <w:t xml:space="preserve"> o fato constitutivo </w:t>
      </w:r>
      <w:r>
        <w:rPr>
          <w:rFonts w:ascii="Arial" w:hAnsi="Arial" w:cs="Arial"/>
          <w:color w:val="808080"/>
          <w:sz w:val="28"/>
          <w:szCs w:val="28"/>
        </w:rPr>
        <w:t xml:space="preserve">do</w:t>
      </w:r>
      <w:r>
        <w:rPr>
          <w:rFonts w:ascii="Arial" w:hAnsi="Arial" w:cs="Arial"/>
          <w:sz w:val="28"/>
          <w:szCs w:val="28"/>
        </w:rPr>
        <w:t xml:space="preserve"> direito</w:t>
      </w:r>
      <w:r>
        <w:rPr>
          <w:rFonts w:ascii="Arial" w:hAnsi="Arial" w:cs="Arial"/>
          <w:color w:val="808080"/>
          <w:sz w:val="28"/>
          <w:szCs w:val="28"/>
        </w:rPr>
        <w:t xml:space="preserve">;</w:t>
      </w:r>
      <w:r>
        <w:rPr>
          <w:rFonts w:ascii="Arial" w:hAnsi="Arial" w:cs="Arial"/>
          <w:sz w:val="28"/>
          <w:szCs w:val="28"/>
        </w:rPr>
        <w:t xml:space="preserve"> à ré, </w:t>
      </w:r>
      <w:r>
        <w:rPr>
          <w:rFonts w:ascii="Arial" w:hAnsi="Arial" w:cs="Arial"/>
          <w:color w:val="808080"/>
          <w:sz w:val="28"/>
          <w:szCs w:val="28"/>
        </w:rPr>
        <w:t xml:space="preserve">o</w:t>
      </w:r>
      <w:r>
        <w:rPr>
          <w:rFonts w:ascii="Arial" w:hAnsi="Arial" w:cs="Arial"/>
          <w:sz w:val="28"/>
          <w:szCs w:val="28"/>
        </w:rPr>
        <w:t xml:space="preserve"> fato extintivo</w:t>
      </w:r>
      <w:r>
        <w:rPr>
          <w:rFonts w:ascii="Arial" w:hAnsi="Arial" w:cs="Arial"/>
          <w:sz w:val="28"/>
          <w:szCs w:val="28"/>
        </w:rPr>
        <w:t xml:space="preserve">, como o pagamento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(CPC</w:t>
      </w:r>
      <w:r>
        <w:rPr>
          <w:rFonts w:ascii="Arial" w:hAnsi="Arial" w:cs="Arial"/>
          <w:sz w:val="28"/>
          <w:szCs w:val="28"/>
        </w:rPr>
        <w:t xml:space="preserve"> 373</w:t>
      </w:r>
      <w:r>
        <w:rPr>
          <w:rFonts w:ascii="Arial" w:hAnsi="Arial" w:cs="Arial"/>
          <w:sz w:val="28"/>
          <w:szCs w:val="28"/>
        </w:rPr>
        <w:t xml:space="preserve"> I e II</w:t>
      </w:r>
      <w:r>
        <w:rPr>
          <w:rFonts w:ascii="Arial" w:hAnsi="Arial" w:cs="Arial"/>
          <w:color w:val="808080"/>
          <w:sz w:val="28"/>
          <w:szCs w:val="28"/>
        </w:rPr>
        <w:t xml:space="preserve">).</w:t>
      </w:r>
      <w:commentRangeEnd w:id="20"/>
      <w:r>
        <w:rPr>
          <w:rStyle w:val="Refdecomentrio"/>
          <w:rFonts w:ascii="Arial" w:hAnsi="Arial" w:cs="Arial"/>
          <w:color w:val="808080"/>
          <w:sz w:val="28"/>
          <w:szCs w:val="28"/>
        </w:rPr>
        <w:commentReference w:id="20"/>
      </w:r>
    </w:p>
    <w:p w14:paraId="50F8B744" w14:textId="77777777" w:rsidR="003B1726" w:rsidRDefault="003B1726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FE2964D" w14:textId="5AC09A1F" w:rsidR="00D11340" w:rsidRDefault="00D11340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 </w:t>
      </w:r>
      <w:r>
        <w:rPr>
          <w:rFonts w:ascii="Arial" w:hAnsi="Arial" w:cs="Arial"/>
          <w:color w:val="808080"/>
          <w:sz w:val="28"/>
          <w:szCs w:val="28"/>
        </w:rPr>
        <w:t xml:space="preserve">falta</w:t>
      </w:r>
      <w:r>
        <w:rPr>
          <w:rFonts w:ascii="Arial" w:hAnsi="Arial" w:cs="Arial"/>
          <w:sz w:val="28"/>
          <w:szCs w:val="28"/>
        </w:rPr>
        <w:t xml:space="preserve"> dos boletos </w:t>
      </w:r>
      <w:r>
        <w:rPr>
          <w:rFonts w:ascii="Arial" w:hAnsi="Arial" w:cs="Arial"/>
          <w:sz w:val="28"/>
          <w:szCs w:val="28"/>
        </w:rPr>
        <w:t xml:space="preserve">não </w:t>
      </w:r>
      <w:r>
        <w:rPr>
          <w:rFonts w:ascii="Arial" w:hAnsi="Arial" w:cs="Arial"/>
          <w:color w:val="808080"/>
          <w:sz w:val="28"/>
          <w:szCs w:val="28"/>
        </w:rPr>
        <w:t xml:space="preserve">afasta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 cobrança</w:t>
      </w:r>
      <w:r>
        <w:rPr>
          <w:rFonts w:ascii="Arial" w:hAnsi="Arial" w:cs="Arial"/>
          <w:sz w:val="28"/>
          <w:szCs w:val="28"/>
        </w:rPr>
        <w:t xml:space="preserve">, pois, como bem observado na r. sentença, a autora apresentou outros documentos suficientes para demonstrar as obrigações inadimplidas</w:t>
      </w:r>
      <w:r>
        <w:rPr>
          <w:rFonts w:ascii="Arial" w:hAnsi="Arial" w:cs="Arial"/>
          <w:sz w:val="28"/>
          <w:szCs w:val="28"/>
        </w:rPr>
        <w:t xml:space="preserve"> (</w:t>
      </w:r>
      <w:r>
        <w:rPr>
          <w:rFonts w:ascii="Arial" w:hAnsi="Arial" w:cs="Arial"/>
          <w:color w:val="808080"/>
          <w:sz w:val="28"/>
          <w:szCs w:val="28"/>
        </w:rPr>
        <w:t xml:space="preserve">ID</w:t>
      </w:r>
      <w:r>
        <w:rPr>
          <w:rFonts w:ascii="Arial" w:hAnsi="Arial" w:cs="Arial"/>
          <w:sz w:val="28"/>
          <w:szCs w:val="28"/>
        </w:rPr>
        <w:t xml:space="preserve"> 88637035 a 88637040).</w:t>
      </w:r>
    </w:p>
    <w:p w14:paraId="4F72927B" w14:textId="77777777" w:rsidR="001F7DBA" w:rsidRDefault="001F7DBA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BD7D1AC" w14:textId="77777777" w:rsidR="0096474A" w:rsidRDefault="001F7DBA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apelante não apresentou nenhum </w:t>
      </w:r>
      <w:r>
        <w:rPr>
          <w:rFonts w:ascii="Arial" w:hAnsi="Arial" w:cs="Arial"/>
          <w:color w:val="808080"/>
          <w:sz w:val="28"/>
          <w:szCs w:val="28"/>
        </w:rPr>
        <w:t xml:space="preserve">comprovante</w:t>
      </w:r>
      <w:r>
        <w:rPr>
          <w:rFonts w:ascii="Arial" w:hAnsi="Arial" w:cs="Arial"/>
          <w:sz w:val="28"/>
          <w:szCs w:val="28"/>
        </w:rPr>
        <w:t xml:space="preserve"> de </w:t>
      </w:r>
      <w:r>
        <w:rPr>
          <w:rFonts w:ascii="Arial" w:hAnsi="Arial" w:cs="Arial"/>
          <w:color w:val="808080"/>
          <w:sz w:val="28"/>
          <w:szCs w:val="28"/>
        </w:rPr>
        <w:t xml:space="preserve">pagamento</w:t>
      </w:r>
      <w:r>
        <w:rPr>
          <w:rFonts w:ascii="Arial" w:hAnsi="Arial" w:cs="Arial"/>
          <w:sz w:val="28"/>
          <w:szCs w:val="28"/>
        </w:rPr>
        <w:t xml:space="preserve"> das parcelas </w:t>
      </w:r>
      <w:r>
        <w:rPr>
          <w:rFonts w:ascii="Arial" w:hAnsi="Arial" w:cs="Arial"/>
          <w:sz w:val="28"/>
          <w:szCs w:val="28"/>
        </w:rPr>
        <w:t xml:space="preserve">cobradas, limitando-se a </w:t>
      </w:r>
      <w:r>
        <w:rPr>
          <w:rFonts w:ascii="Arial" w:hAnsi="Arial" w:cs="Arial"/>
          <w:color w:val="808080"/>
          <w:sz w:val="28"/>
          <w:szCs w:val="28"/>
        </w:rPr>
        <w:t xml:space="preserve">invocar</w:t>
      </w:r>
      <w:r>
        <w:rPr>
          <w:rFonts w:ascii="Arial" w:hAnsi="Arial" w:cs="Arial"/>
          <w:sz w:val="28"/>
          <w:szCs w:val="28"/>
        </w:rPr>
        <w:t xml:space="preserve"> suposta quitação</w:t>
      </w:r>
      <w:r>
        <w:rPr>
          <w:rFonts w:ascii="Arial" w:hAnsi="Arial" w:cs="Arial"/>
          <w:sz w:val="28"/>
          <w:szCs w:val="28"/>
        </w:rPr>
        <w:t xml:space="preserve"> por ocasião da </w:t>
      </w:r>
      <w:r>
        <w:rPr>
          <w:rFonts w:ascii="Arial" w:hAnsi="Arial" w:cs="Arial"/>
          <w:sz w:val="28"/>
          <w:szCs w:val="28"/>
        </w:rPr>
        <w:t xml:space="preserve">portabilidade.</w:t>
      </w:r>
    </w:p>
    <w:p w14:paraId="754DF310" w14:textId="77777777" w:rsidR="0096474A" w:rsidRDefault="0096474A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13F9EEC4" w14:textId="77777777" w:rsidR="003B1726" w:rsidRDefault="00000000">
      <w:pPr>
        <w:spacing w:after="0" w:line="360" w:lineRule="auto"/>
        <w:ind w:firstLine="2268"/>
        <w:jc w:val="both"/>
      </w:pPr>
      <w:r>
        <w:rPr>
          <w:rFonts w:ascii="Arial" w:hAnsi="Arial" w:cs="Arial"/>
          <w:sz w:val="28"/>
          <w:szCs w:val="28"/>
        </w:rPr>
        <w:t xml:space="preserve">Ocorre que a carta de </w:t>
      </w:r>
      <w:r>
        <w:rPr>
          <w:rFonts w:ascii="Arial" w:hAnsi="Arial" w:cs="Arial"/>
          <w:color w:val="808080"/>
          <w:sz w:val="28"/>
          <w:szCs w:val="28"/>
        </w:rPr>
        <w:t xml:space="preserve">portabilidade</w:t>
      </w:r>
      <w:r>
        <w:rPr>
          <w:rFonts w:ascii="Arial" w:hAnsi="Arial" w:cs="Arial"/>
          <w:sz w:val="28"/>
          <w:szCs w:val="28"/>
        </w:rPr>
        <w:t xml:space="preserve"> emitida pela apelada não contém quitação expressa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nem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sugere</w:t>
      </w:r>
      <w:r>
        <w:rPr>
          <w:rFonts w:ascii="Arial" w:hAnsi="Arial" w:cs="Arial"/>
          <w:sz w:val="28"/>
          <w:szCs w:val="28"/>
        </w:rPr>
        <w:t xml:space="preserve"> a inexistência de outras obrigações inadimplidas além da prestação que se venceria em setembro de 2021</w:t>
      </w:r>
      <w:r>
        <w:rPr>
          <w:rFonts w:ascii="Arial" w:hAnsi="Arial" w:cs="Arial"/>
          <w:color w:val="808080"/>
          <w:sz w:val="28"/>
          <w:szCs w:val="28"/>
        </w:rPr>
        <w:t xml:space="preserve"> (ID 88637463)</w:t>
      </w:r>
      <w:r>
        <w:rPr>
          <w:rFonts w:ascii="Arial" w:hAnsi="Arial" w:cs="Arial"/>
          <w:sz w:val="28"/>
          <w:szCs w:val="28"/>
        </w:rPr>
        <w:t xml:space="preserve">.</w:t>
      </w:r>
    </w:p>
    <w:p w14:paraId="7649872D" w14:textId="77777777" w:rsidR="003B1726" w:rsidRDefault="003B1726">
      <w:pPr>
        <w:spacing w:after="0" w:line="360" w:lineRule="auto"/>
        <w:ind w:firstLine="2268"/>
        <w:jc w:val="both"/>
      </w:pPr>
    </w:p>
    <w:p w14:paraId="3BED0648" w14:textId="432275B0" w:rsidR="002745A1" w:rsidRDefault="000112A8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21"/>
      <w:r>
        <w:rPr>
          <w:rFonts w:ascii="Arial" w:hAnsi="Arial" w:cs="Arial"/>
          <w:sz w:val="28"/>
          <w:szCs w:val="28"/>
          <w:highlight w:val="yellow"/>
        </w:rPr>
        <w:t xml:space="preserve">Ao revés,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a</w:t>
      </w:r>
      <w:r>
        <w:rPr>
          <w:rFonts w:ascii="Arial" w:hAnsi="Arial" w:cs="Arial"/>
          <w:sz w:val="28"/>
          <w:szCs w:val="28"/>
          <w:highlight w:val="yellow"/>
        </w:rPr>
        <w:t xml:space="preserve"> carta é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inequívoca</w:t>
      </w:r>
      <w:r>
        <w:rPr>
          <w:rFonts w:ascii="Arial" w:hAnsi="Arial" w:cs="Arial"/>
          <w:sz w:val="28"/>
          <w:szCs w:val="28"/>
          <w:highlight w:val="yellow"/>
        </w:rPr>
        <w:t xml:space="preserve"> ao afirmar que a </w:t>
      </w:r>
      <w:r>
        <w:rPr>
          <w:rFonts w:ascii="Arial" w:hAnsi="Arial" w:cs="Arial"/>
          <w:i/>
          <w:iCs/>
          <w:sz w:val="28"/>
          <w:szCs w:val="28"/>
          <w:highlight w:val="yellow"/>
        </w:rPr>
        <w:t xml:space="preserve">situação financeira </w:t>
      </w:r>
      <w:r>
        <w:rPr>
          <w:rFonts w:ascii="Arial" w:hAnsi="Arial" w:cs="Arial"/>
          <w:i/>
          <w:iCs/>
          <w:sz w:val="28"/>
          <w:szCs w:val="28"/>
          <w:highlight w:val="yellow"/>
        </w:rPr>
        <w:t xml:space="preserve">do contrato</w:t>
      </w:r>
      <w:r>
        <w:rPr>
          <w:rFonts w:ascii="Arial" w:hAnsi="Arial" w:cs="Arial"/>
          <w:sz w:val="28"/>
          <w:szCs w:val="28"/>
          <w:highlight w:val="yellow"/>
        </w:rPr>
        <w:t xml:space="preserve"> era “</w:t>
      </w:r>
      <w:r>
        <w:rPr>
          <w:rFonts w:ascii="Arial" w:hAnsi="Arial" w:cs="Arial"/>
          <w:i/>
          <w:iCs/>
          <w:sz w:val="28"/>
          <w:szCs w:val="28"/>
          <w:highlight w:val="yellow"/>
        </w:rPr>
        <w:t xml:space="preserve">INADIMPLENTE</w:t>
      </w:r>
      <w:r>
        <w:rPr>
          <w:rFonts w:ascii="Arial" w:hAnsi="Arial" w:cs="Arial"/>
          <w:sz w:val="28"/>
          <w:szCs w:val="28"/>
          <w:highlight w:val="yellow"/>
        </w:rPr>
        <w:t xml:space="preserve">”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 (ID 88637463):</w:t>
      </w:r>
      <w:commentRangeEnd w:id="21"/>
      <w:r>
        <w:rPr>
          <w:rStyle w:val="Refdecomentrio"/>
          <w:rFonts w:ascii="Arial" w:hAnsi="Arial" w:cs="Arial"/>
          <w:color w:val="808080"/>
          <w:sz w:val="28"/>
          <w:szCs w:val="28"/>
          <w:highlight w:val="yellow"/>
        </w:rPr>
        <w:commentReference w:id="21"/>
      </w:r>
    </w:p>
    <w:p w14:paraId="41CB0DD4" w14:textId="77777777" w:rsidR="003B1726" w:rsidRDefault="003B1726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5DE52C3" w14:textId="77777777" w:rsidR="003B1726" w:rsidRDefault="00000000">
      <w:pPr>
        <w:spacing w:after="0" w:line="360" w:lineRule="auto"/>
        <w:ind w:left="2268" w:firstLine="1134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i/>
          <w:color w:val="808080"/>
          <w:sz w:val="26"/>
          <w:szCs w:val="28"/>
        </w:rPr>
        <w:t xml:space="preserve">“Situação financeira atual do contrato: </w:t>
      </w:r>
      <w:r>
        <w:rPr>
          <w:rFonts w:ascii="Arial" w:hAnsi="Arial" w:cs="Arial"/>
          <w:i/>
          <w:color w:val="808080"/>
          <w:sz w:val="26"/>
          <w:szCs w:val="28"/>
          <w:u w:val="single"/>
        </w:rPr>
        <w:t>INADIMPLENTE</w:t>
      </w:r>
    </w:p>
    <w:p w14:paraId="5D19C706" w14:textId="77777777" w:rsidR="003B1726" w:rsidRDefault="00000000">
      <w:pPr>
        <w:spacing w:after="0" w:line="360" w:lineRule="auto"/>
        <w:ind w:left="2268" w:firstLine="1134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i/>
          <w:color w:val="808080"/>
          <w:sz w:val="26"/>
        </w:rPr>
        <w:t>Dados da última mensalidade: Data de Vencimento 10/09/2021 – Valor da Mensalidade (R$) 1386.22</w:t>
      </w:r>
    </w:p>
    <w:p w14:paraId="40F51642" w14:textId="77777777" w:rsidR="003B1726" w:rsidRDefault="00000000">
      <w:pPr>
        <w:spacing w:after="0" w:line="360" w:lineRule="auto"/>
        <w:ind w:left="2268" w:firstLine="1134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i/>
          <w:color w:val="808080"/>
          <w:sz w:val="26"/>
          <w:u w:val="single"/>
        </w:rPr>
        <w:t>Até que haja a efetivação do cancelamento as mensalidades devem ser quitadas regularmente.</w:t>
      </w:r>
      <w:r>
        <w:rPr>
          <w:rFonts w:ascii="Arial" w:hAnsi="Arial" w:cs="Arial"/>
          <w:i/>
          <w:color w:val="808080"/>
          <w:sz w:val="26"/>
        </w:rPr>
        <w:t>” – Grifei</w:t>
      </w:r>
    </w:p>
    <w:p w14:paraId="1563BD18" w14:textId="77777777" w:rsidR="003B1726" w:rsidRDefault="003B1726">
      <w:pPr>
        <w:spacing w:after="0" w:line="360" w:lineRule="auto"/>
        <w:ind w:left="2268" w:firstLine="1134"/>
        <w:jc w:val="both"/>
        <w:rPr>
          <w:rFonts w:ascii="Arial" w:hAnsi="Arial" w:cs="Arial"/>
          <w:sz w:val="28"/>
          <w:szCs w:val="28"/>
        </w:rPr>
      </w:pPr>
    </w:p>
    <w:p w14:paraId="2E59F067" w14:textId="77777777" w:rsidR="003B1726" w:rsidRDefault="00000000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</w:rPr>
        <w:t>Quanto à quitação tácita, dispõe o art. 320 do CC:</w:t>
      </w:r>
    </w:p>
    <w:p w14:paraId="4B68591D" w14:textId="77777777" w:rsidR="003B1726" w:rsidRDefault="003B1726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D2F8220" w14:textId="77777777" w:rsidR="003B1726" w:rsidRDefault="00000000">
      <w:pPr>
        <w:spacing w:after="0" w:line="360" w:lineRule="auto"/>
        <w:ind w:left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i/>
          <w:color w:val="808080"/>
          <w:sz w:val="26"/>
        </w:rPr>
        <w:t xml:space="preserve">“Art. 320. A quitação, que sempre poderá ser dada por instrumento particular, designará o valor e a espécie da dívida quitada</w:t>
      </w:r>
      <w:r>
        <w:rPr>
          <w:rFonts w:ascii="Arial" w:hAnsi="Arial" w:cs="Arial"/>
          <w:i/>
          <w:color w:val="808080"/>
          <w:sz w:val="26"/>
        </w:rPr>
        <w:t xml:space="preserve"> </w:t>
      </w:r>
      <w:r>
        <w:rPr>
          <w:rFonts w:ascii="Arial" w:hAnsi="Arial" w:cs="Arial"/>
          <w:i/>
          <w:color w:val="808080"/>
          <w:sz w:val="26"/>
        </w:rPr>
        <w:t xml:space="preserve">(</w:t>
      </w:r>
      <w:r>
        <w:rPr>
          <w:rFonts w:ascii="Arial" w:hAnsi="Arial" w:cs="Arial"/>
          <w:i/>
          <w:color w:val="808080"/>
          <w:sz w:val="26"/>
        </w:rPr>
        <w:t xml:space="preserve">.</w:t>
      </w:r>
      <w:r>
        <w:rPr>
          <w:rFonts w:ascii="Arial" w:hAnsi="Arial" w:cs="Arial"/>
          <w:i/>
          <w:color w:val="808080"/>
          <w:sz w:val="26"/>
        </w:rPr>
        <w:t xml:space="preserve">..)</w:t>
      </w:r>
    </w:p>
    <w:p w14:paraId="22A0089A" w14:textId="77777777" w:rsidR="003B1726" w:rsidRDefault="00000000">
      <w:pPr>
        <w:spacing w:after="0" w:line="360" w:lineRule="auto"/>
        <w:ind w:left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i/>
          <w:color w:val="808080"/>
          <w:sz w:val="26"/>
        </w:rPr>
        <w:t>(...)</w:t>
      </w:r>
    </w:p>
    <w:p w14:paraId="7076C2E6" w14:textId="77777777" w:rsidR="003B1726" w:rsidRDefault="00000000">
      <w:pPr>
        <w:spacing w:after="0" w:line="360" w:lineRule="auto"/>
        <w:ind w:left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i/>
          <w:color w:val="808080"/>
          <w:sz w:val="26"/>
        </w:rPr>
        <w:lastRenderedPageBreak/>
        <w:t xml:space="preserve">Parágrafo único. Ainda sem os requisitos estabelecidos neste artigo valerá a quitação, </w:t>
      </w:r>
      <w:r>
        <w:rPr>
          <w:rFonts w:ascii="Arial" w:hAnsi="Arial" w:cs="Arial"/>
          <w:i/>
          <w:color w:val="808080"/>
          <w:sz w:val="26"/>
          <w:u w:val="single"/>
        </w:rPr>
        <w:t>se de seus termos ou das circunstâncias resultar haver sido paga a dívida</w:t>
      </w:r>
      <w:r>
        <w:rPr>
          <w:rFonts w:ascii="Arial" w:hAnsi="Arial" w:cs="Arial"/>
          <w:i/>
          <w:color w:val="808080"/>
          <w:sz w:val="26"/>
        </w:rPr>
        <w:t>.” – Grifei</w:t>
      </w:r>
    </w:p>
    <w:p w14:paraId="7660F963" w14:textId="77777777" w:rsidR="002745A1" w:rsidRDefault="002745A1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499C42A6" w14:textId="64BAE96D" w:rsidR="001A2AD2" w:rsidRDefault="00712DAD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Assim,</w:t>
      </w:r>
      <w:r>
        <w:rPr>
          <w:rFonts w:ascii="Arial" w:hAnsi="Arial" w:cs="Arial"/>
          <w:sz w:val="28"/>
          <w:szCs w:val="28"/>
          <w:highlight w:val="yellow"/>
        </w:rPr>
        <w:t xml:space="preserve">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a informação sobre a última mensalidade não sugere a inexistência de outras prestações em aberto</w:t>
      </w:r>
      <w:r>
        <w:rPr>
          <w:rFonts w:ascii="Arial" w:hAnsi="Arial" w:cs="Arial"/>
          <w:sz w:val="28"/>
          <w:szCs w:val="28"/>
          <w:highlight w:val="yellow"/>
        </w:rPr>
        <w:t xml:space="preserve">,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 e</w:t>
      </w:r>
      <w:r>
        <w:rPr>
          <w:rFonts w:ascii="Arial" w:hAnsi="Arial" w:cs="Arial"/>
          <w:sz w:val="28"/>
          <w:szCs w:val="28"/>
          <w:highlight w:val="yellow"/>
        </w:rPr>
        <w:t xml:space="preserve"> os termos e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 as</w:t>
      </w:r>
      <w:r>
        <w:rPr>
          <w:rFonts w:ascii="Arial" w:hAnsi="Arial" w:cs="Arial"/>
          <w:sz w:val="28"/>
          <w:szCs w:val="28"/>
          <w:highlight w:val="yellow"/>
        </w:rPr>
        <w:t xml:space="preserve"> circunstâncias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da</w:t>
      </w:r>
      <w:r>
        <w:rPr>
          <w:rFonts w:ascii="Arial" w:hAnsi="Arial" w:cs="Arial"/>
          <w:sz w:val="28"/>
          <w:szCs w:val="28"/>
          <w:highlight w:val="yellow"/>
        </w:rPr>
        <w:t xml:space="preserve">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carta</w:t>
      </w:r>
      <w:r>
        <w:rPr>
          <w:rFonts w:ascii="Arial" w:hAnsi="Arial" w:cs="Arial"/>
          <w:sz w:val="28"/>
          <w:szCs w:val="28"/>
          <w:highlight w:val="yellow"/>
        </w:rPr>
        <w:t xml:space="preserve"> não permitem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concluir</w:t>
      </w:r>
      <w:r>
        <w:rPr>
          <w:rFonts w:ascii="Arial" w:hAnsi="Arial" w:cs="Arial"/>
          <w:sz w:val="28"/>
          <w:szCs w:val="28"/>
          <w:highlight w:val="yellow"/>
        </w:rPr>
        <w:t xml:space="preserve"> que a dívida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foi</w:t>
      </w:r>
      <w:r>
        <w:rPr>
          <w:rFonts w:ascii="Arial" w:hAnsi="Arial" w:cs="Arial"/>
          <w:sz w:val="28"/>
          <w:szCs w:val="28"/>
          <w:highlight w:val="yellow"/>
        </w:rPr>
        <w:t xml:space="preserve"> paga, de modo a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considerá-la</w:t>
      </w:r>
      <w:r>
        <w:rPr>
          <w:rFonts w:ascii="Arial" w:hAnsi="Arial" w:cs="Arial"/>
          <w:sz w:val="28"/>
          <w:szCs w:val="28"/>
          <w:highlight w:val="yellow"/>
        </w:rPr>
        <w:t xml:space="preserve"> tacitamente quitada (CC 320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parágrafo único</w:t>
      </w:r>
      <w:r>
        <w:rPr>
          <w:rFonts w:ascii="Arial" w:hAnsi="Arial" w:cs="Arial"/>
          <w:sz w:val="28"/>
          <w:szCs w:val="28"/>
          <w:highlight w:val="yellow"/>
        </w:rPr>
        <w:t xml:space="preserve">).</w:t>
      </w:r>
    </w:p>
    <w:p w14:paraId="69D9C7D6" w14:textId="77777777" w:rsidR="00FB0354" w:rsidRDefault="00FB0354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41163D2C" w14:textId="01D0DDB2" w:rsidR="003B1726" w:rsidRDefault="00000000">
      <w:pPr>
        <w:spacing w:after="0" w:line="360" w:lineRule="auto"/>
        <w:ind w:firstLine="2268"/>
        <w:jc w:val="both"/>
      </w:pPr>
      <w:commentRangeStart w:id="22"/>
      <w:r>
        <w:rPr>
          <w:rFonts w:ascii="Arial" w:hAnsi="Arial" w:cs="Arial"/>
          <w:sz w:val="28"/>
          <w:szCs w:val="28"/>
        </w:rPr>
        <w:t xml:space="preserve">Sob outra vertente, </w:t>
      </w:r>
      <w:r>
        <w:rPr>
          <w:rFonts w:ascii="Arial" w:hAnsi="Arial" w:cs="Arial"/>
          <w:sz w:val="28"/>
          <w:szCs w:val="28"/>
        </w:rPr>
        <w:t xml:space="preserve">a quitação</w:t>
      </w:r>
      <w:r>
        <w:rPr>
          <w:rFonts w:ascii="Arial" w:hAnsi="Arial" w:cs="Arial"/>
          <w:sz w:val="28"/>
          <w:szCs w:val="28"/>
        </w:rPr>
        <w:t xml:space="preserve"> como condição para a portabilidade</w:t>
      </w:r>
      <w:r>
        <w:rPr>
          <w:rFonts w:ascii="Arial" w:hAnsi="Arial" w:cs="Arial"/>
          <w:sz w:val="28"/>
          <w:szCs w:val="28"/>
        </w:rPr>
        <w:t xml:space="preserve">, conforme o </w:t>
      </w:r>
      <w:r>
        <w:rPr>
          <w:rFonts w:ascii="Arial" w:hAnsi="Arial" w:cs="Arial"/>
          <w:sz w:val="28"/>
          <w:szCs w:val="28"/>
        </w:rPr>
        <w:t xml:space="preserve">art. 3º, II</w:t>
      </w:r>
      <w:r>
        <w:rPr>
          <w:rFonts w:ascii="Arial" w:hAnsi="Arial" w:cs="Arial"/>
          <w:sz w:val="28"/>
          <w:szCs w:val="28"/>
        </w:rPr>
        <w:t xml:space="preserve">, da Resolução Normativa nº 438 da Agência Nacional de Saúde Suplementar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que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dispõe</w:t>
      </w:r>
      <w:r>
        <w:rPr>
          <w:rFonts w:ascii="Arial" w:hAnsi="Arial" w:cs="Arial"/>
          <w:sz w:val="28"/>
          <w:szCs w:val="28"/>
        </w:rPr>
        <w:t xml:space="preserve"> sobre a</w:t>
      </w:r>
      <w:r>
        <w:rPr>
          <w:rFonts w:ascii="Arial" w:hAnsi="Arial" w:cs="Arial"/>
          <w:sz w:val="28"/>
          <w:szCs w:val="28"/>
        </w:rPr>
        <w:t xml:space="preserve"> portabilidade de carências</w:t>
      </w:r>
      <w:r>
        <w:rPr>
          <w:rFonts w:ascii="Arial" w:hAnsi="Arial" w:cs="Arial"/>
          <w:sz w:val="28"/>
          <w:szCs w:val="28"/>
        </w:rPr>
        <w:t xml:space="preserve">, não faz presumir a inexistência de </w:t>
      </w:r>
      <w:r>
        <w:rPr>
          <w:rFonts w:ascii="Arial" w:hAnsi="Arial" w:cs="Arial"/>
          <w:color w:val="808080"/>
          <w:sz w:val="28"/>
          <w:szCs w:val="28"/>
        </w:rPr>
        <w:t xml:space="preserve">débitos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anteriores</w:t>
      </w:r>
      <w:r>
        <w:rPr>
          <w:rFonts w:ascii="Arial" w:hAnsi="Arial" w:cs="Arial"/>
          <w:sz w:val="28"/>
          <w:szCs w:val="28"/>
        </w:rPr>
        <w:t xml:space="preserve">.</w:t>
      </w:r>
      <w:commentRangeEnd w:id="22"/>
      <w:r w:rsidR="00915CEC">
        <w:rPr>
          <w:rStyle w:val="Refdecomentrio"/>
          <w:rFonts w:ascii="Arial" w:hAnsi="Arial" w:cs="Arial"/>
          <w:sz w:val="28"/>
          <w:szCs w:val="28"/>
        </w:rPr>
        <w:commentReference w:id="22"/>
      </w:r>
    </w:p>
    <w:p w14:paraId="0D358998" w14:textId="77777777" w:rsidR="003B1726" w:rsidRDefault="003B1726">
      <w:pPr>
        <w:spacing w:after="0" w:line="360" w:lineRule="auto"/>
        <w:ind w:firstLine="2268"/>
        <w:jc w:val="both"/>
      </w:pPr>
    </w:p>
    <w:p w14:paraId="59EC4011" w14:textId="77777777" w:rsidR="003B1726" w:rsidRDefault="00000000">
      <w:pPr>
        <w:spacing w:after="0" w:line="360" w:lineRule="auto"/>
        <w:ind w:firstLine="2268"/>
        <w:jc w:val="both"/>
      </w:pPr>
      <w:commentRangeStart w:id="23"/>
      <w:r>
        <w:rPr>
          <w:rFonts w:ascii="Arial" w:hAnsi="Arial" w:cs="Arial"/>
          <w:sz w:val="28"/>
          <w:szCs w:val="28"/>
        </w:rPr>
        <w:t xml:space="preserve">Com efeito, o </w:t>
      </w:r>
      <w:r>
        <w:rPr>
          <w:rFonts w:ascii="Arial" w:hAnsi="Arial" w:cs="Arial"/>
          <w:sz w:val="28"/>
          <w:szCs w:val="28"/>
        </w:rPr>
        <w:t xml:space="preserve">parágrafo único do art. 17 </w:t>
      </w:r>
      <w:r>
        <w:rPr>
          <w:rFonts w:ascii="Arial" w:hAnsi="Arial" w:cs="Arial"/>
          <w:sz w:val="28"/>
          <w:szCs w:val="28"/>
        </w:rPr>
        <w:t xml:space="preserve">apenas </w:t>
      </w:r>
      <w:r>
        <w:rPr>
          <w:rFonts w:ascii="Arial" w:hAnsi="Arial" w:cs="Arial"/>
          <w:color w:val="808080"/>
          <w:sz w:val="28"/>
          <w:szCs w:val="28"/>
        </w:rPr>
        <w:t xml:space="preserve">faculta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à</w:t>
      </w:r>
      <w:r>
        <w:rPr>
          <w:rFonts w:ascii="Arial" w:hAnsi="Arial" w:cs="Arial"/>
          <w:sz w:val="28"/>
          <w:szCs w:val="28"/>
        </w:rPr>
        <w:t xml:space="preserve"> operadora do plano de destino </w:t>
      </w:r>
      <w:r>
        <w:rPr>
          <w:rFonts w:ascii="Arial" w:hAnsi="Arial" w:cs="Arial"/>
          <w:sz w:val="28"/>
          <w:szCs w:val="28"/>
        </w:rPr>
        <w:t xml:space="preserve">recusar a solicitação</w:t>
      </w:r>
      <w:r>
        <w:rPr>
          <w:rFonts w:ascii="Arial" w:hAnsi="Arial" w:cs="Arial"/>
          <w:color w:val="808080"/>
          <w:sz w:val="28"/>
          <w:szCs w:val="28"/>
        </w:rPr>
        <w:t xml:space="preserve">, sem proibir a migração, cabendo-lhe avaliar, no exercício da sua liberdade empresarial, se aceita o beneficiário inadimplente no plano</w:t>
      </w:r>
      <w:r>
        <w:rPr>
          <w:rFonts w:ascii="Arial" w:hAnsi="Arial" w:cs="Arial"/>
          <w:sz w:val="28"/>
          <w:szCs w:val="28"/>
        </w:rPr>
        <w:t xml:space="preserve"> de </w:t>
      </w:r>
      <w:r>
        <w:rPr>
          <w:rFonts w:ascii="Arial" w:hAnsi="Arial" w:cs="Arial"/>
          <w:color w:val="808080"/>
          <w:sz w:val="28"/>
          <w:szCs w:val="28"/>
        </w:rPr>
        <w:t xml:space="preserve">origem</w:t>
      </w:r>
      <w:r>
        <w:rPr>
          <w:rFonts w:ascii="Arial" w:hAnsi="Arial" w:cs="Arial"/>
          <w:sz w:val="28"/>
          <w:szCs w:val="28"/>
        </w:rPr>
        <w:t xml:space="preserve">.</w:t>
      </w:r>
      <w:commentRangeEnd w:id="23"/>
      <w:r w:rsidR="00915CEC">
        <w:rPr>
          <w:rStyle w:val="Refdecomentrio"/>
          <w:rFonts w:ascii="Arial" w:hAnsi="Arial" w:cs="Arial"/>
          <w:sz w:val="28"/>
          <w:szCs w:val="28"/>
        </w:rPr>
        <w:commentReference w:id="23"/>
      </w:r>
    </w:p>
    <w:p w14:paraId="5762C0B0" w14:textId="77777777" w:rsidR="003B1726" w:rsidRDefault="003B1726">
      <w:pPr>
        <w:spacing w:after="0" w:line="360" w:lineRule="auto"/>
        <w:ind w:firstLine="2268"/>
        <w:jc w:val="both"/>
      </w:pPr>
    </w:p>
    <w:p w14:paraId="718C3D0B" w14:textId="20CD6D33" w:rsidR="006A58AD" w:rsidRDefault="006A58AD" w:rsidP="007868D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24"/>
      <w:commentRangeEnd w:id="24"/>
      <w:r>
        <w:rPr>
          <w:rFonts w:ascii="Arial" w:hAnsi="Arial" w:cs="Arial"/>
          <w:color w:val="808080"/>
          <w:sz w:val="28"/>
          <w:szCs w:val="28"/>
        </w:rPr>
        <w:t>Nesse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>sentido</w:t>
      </w:r>
      <w:r>
        <w:rPr>
          <w:rFonts w:ascii="Arial" w:hAnsi="Arial" w:cs="Arial"/>
          <w:sz w:val="28"/>
          <w:szCs w:val="28"/>
        </w:rPr>
        <w:t>:</w:t>
      </w:r>
    </w:p>
    <w:p w14:paraId="360210FE" w14:textId="77777777" w:rsidR="006A58AD" w:rsidRDefault="006A58AD" w:rsidP="007868D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A70678B" w14:textId="77777777" w:rsidR="00346965" w:rsidRPr="0092365E" w:rsidRDefault="00346965" w:rsidP="00346965">
      <w:pPr>
        <w:spacing w:after="0" w:line="360" w:lineRule="auto"/>
        <w:ind w:left="2268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“(...) </w:t>
      </w:r>
      <w:r>
        <w:rPr>
          <w:rFonts w:ascii="Arial" w:hAnsi="Arial" w:cs="Arial"/>
          <w:i/>
          <w:iCs/>
          <w:sz w:val="26"/>
          <w:szCs w:val="26"/>
        </w:rPr>
        <w:t xml:space="preserve">6. No caso, a portabilidade para a MedSenior, realizada em 18/3/2023, indica apenas a redução das carências e não a sua dispensa. Além disso, não há qualquer documento emitido pela operadora de origem que reconheça a mudança de plano de saúde e ateste a sua adimplência. Por fim, </w:t>
      </w:r>
      <w:r>
        <w:rPr>
          <w:rFonts w:ascii="Arial" w:hAnsi="Arial" w:cs="Arial"/>
          <w:i/>
          <w:iCs/>
          <w:sz w:val="26"/>
          <w:szCs w:val="26"/>
          <w:u w:val="single"/>
        </w:rPr>
        <w:t xml:space="preserve">não há a comprovação, por </w:t>
      </w:r>
      <w:r>
        <w:rPr>
          <w:rFonts w:ascii="Arial" w:hAnsi="Arial" w:cs="Arial"/>
          <w:i/>
          <w:iCs/>
          <w:sz w:val="26"/>
          <w:szCs w:val="26"/>
          <w:u w:val="single"/>
        </w:rPr>
        <w:t xml:space="preserve">parte do consumidor, de que teria efetivamente quitado as mensalidades de janeiro/2023 e fevereiro/2023</w:t>
      </w:r>
      <w:r>
        <w:rPr>
          <w:rFonts w:ascii="Arial" w:hAnsi="Arial" w:cs="Arial"/>
          <w:i/>
          <w:iCs/>
          <w:sz w:val="26"/>
          <w:szCs w:val="26"/>
        </w:rPr>
        <w:t xml:space="preserve">.</w:t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 (...)” (Acórdão 2005667, 0758754-34.2024.8.07.0016, Relator(a): RITA DE CÁSSIA DE CERQUEIRA LIMA ROCHA, PRIMEIRA TURMA RECURSAL, data de julgamento: 30/05/2025, publicado no DJe: 13/06/2025.) – Grifei</w:t>
      </w:r>
    </w:p>
    <w:p w14:paraId="4B335905" w14:textId="77777777" w:rsidR="0078019D" w:rsidRDefault="0078019D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25"/>
      <w:commentRangeEnd w:id="25"/>
    </w:p>
    <w:p w14:paraId="5518BD92" w14:textId="3E660CF8" w:rsidR="001A22A7" w:rsidRPr="00E04A1D" w:rsidRDefault="001A22A7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26"/>
      <w:r>
        <w:rPr>
          <w:rFonts w:ascii="Arial" w:hAnsi="Arial" w:cs="Arial"/>
          <w:color w:val="808080"/>
          <w:sz w:val="28"/>
          <w:szCs w:val="28"/>
        </w:rPr>
        <w:t xml:space="preserve">Tampouco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se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caracterizam</w:t>
      </w:r>
      <w:r>
        <w:rPr>
          <w:rFonts w:ascii="Arial" w:hAnsi="Arial" w:cs="Arial"/>
          <w:sz w:val="28"/>
          <w:szCs w:val="28"/>
        </w:rPr>
        <w:t xml:space="preserve"> a </w:t>
      </w:r>
      <w:r>
        <w:rPr>
          <w:rFonts w:ascii="Arial" w:hAnsi="Arial" w:cs="Arial"/>
          <w:color w:val="808080"/>
          <w:sz w:val="28"/>
          <w:szCs w:val="28"/>
        </w:rPr>
        <w:t xml:space="preserve">supressio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ou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conduta contraditória</w:t>
      </w:r>
      <w:r>
        <w:rPr>
          <w:rFonts w:ascii="Arial" w:hAnsi="Arial" w:cs="Arial"/>
          <w:i/>
          <w:iCs/>
          <w:sz w:val="28"/>
          <w:szCs w:val="28"/>
        </w:rPr>
        <w:t xml:space="preserve"> (venire contra factum proprium</w:t>
      </w:r>
      <w:r>
        <w:rPr>
          <w:rFonts w:ascii="Arial" w:hAnsi="Arial" w:cs="Arial"/>
          <w:sz w:val="28"/>
          <w:szCs w:val="28"/>
        </w:rPr>
        <w:t xml:space="preserve">)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pois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houve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notificação,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em 23/05/2023, cobrando as faturas em aberto (ID 88637464 e 88637465)</w:t>
      </w:r>
      <w:r>
        <w:rPr>
          <w:rFonts w:ascii="Arial" w:hAnsi="Arial" w:cs="Arial"/>
          <w:sz w:val="28"/>
          <w:szCs w:val="28"/>
        </w:rPr>
        <w:t xml:space="preserve">.</w:t>
      </w:r>
      <w:commentRangeEnd w:id="26"/>
      <w:r w:rsidRPr="00E04A1D">
        <w:rPr>
          <w:rStyle w:val="Refdecomentrio"/>
          <w:rFonts w:ascii="Arial" w:hAnsi="Arial" w:cs="Arial"/>
          <w:sz w:val="28"/>
          <w:szCs w:val="28"/>
        </w:rPr>
        <w:commentReference w:id="26"/>
      </w:r>
    </w:p>
    <w:p w14:paraId="32B8B20F" w14:textId="77777777" w:rsidR="003B1726" w:rsidRDefault="003B1726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72E3EE9" w14:textId="1B52A501" w:rsidR="001A22A7" w:rsidRDefault="00C22A70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Por isso</w:t>
      </w:r>
      <w:r>
        <w:rPr>
          <w:rFonts w:ascii="Arial" w:hAnsi="Arial" w:cs="Arial"/>
          <w:sz w:val="28"/>
          <w:szCs w:val="28"/>
          <w:highlight w:val="yellow"/>
        </w:rPr>
        <w:t xml:space="preserve">,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ausentes</w:t>
      </w:r>
      <w:r>
        <w:rPr>
          <w:rFonts w:ascii="Arial" w:hAnsi="Arial" w:cs="Arial"/>
          <w:sz w:val="28"/>
          <w:szCs w:val="28"/>
          <w:highlight w:val="yellow"/>
        </w:rPr>
        <w:t xml:space="preserve">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prova</w:t>
      </w:r>
      <w:r>
        <w:rPr>
          <w:rFonts w:ascii="Arial" w:hAnsi="Arial" w:cs="Arial"/>
          <w:sz w:val="28"/>
          <w:szCs w:val="28"/>
          <w:highlight w:val="yellow"/>
        </w:rPr>
        <w:t xml:space="preserve"> de </w:t>
      </w:r>
      <w:r>
        <w:rPr>
          <w:rFonts w:ascii="Arial" w:hAnsi="Arial" w:cs="Arial"/>
          <w:sz w:val="28"/>
          <w:szCs w:val="28"/>
          <w:highlight w:val="yellow"/>
        </w:rPr>
        <w:t xml:space="preserve">pagamento</w:t>
      </w:r>
      <w:r>
        <w:rPr>
          <w:rFonts w:ascii="Arial" w:hAnsi="Arial" w:cs="Arial"/>
          <w:sz w:val="28"/>
          <w:szCs w:val="28"/>
          <w:highlight w:val="yellow"/>
        </w:rPr>
        <w:t xml:space="preserve"> e</w:t>
      </w:r>
      <w:r>
        <w:rPr>
          <w:rFonts w:ascii="Arial" w:hAnsi="Arial" w:cs="Arial"/>
          <w:sz w:val="28"/>
          <w:szCs w:val="28"/>
          <w:highlight w:val="yellow"/>
        </w:rPr>
        <w:t xml:space="preserve"> quitação tácita</w:t>
      </w:r>
      <w:r>
        <w:rPr>
          <w:rFonts w:ascii="Arial" w:hAnsi="Arial" w:cs="Arial"/>
          <w:sz w:val="28"/>
          <w:szCs w:val="28"/>
          <w:highlight w:val="yellow"/>
        </w:rPr>
        <w:t xml:space="preserve">, a condenação</w:t>
      </w:r>
      <w:r>
        <w:rPr>
          <w:rFonts w:ascii="Arial" w:hAnsi="Arial" w:cs="Arial"/>
          <w:sz w:val="28"/>
          <w:szCs w:val="28"/>
          <w:highlight w:val="yellow"/>
        </w:rPr>
        <w:t xml:space="preserve"> deve ser mantida.</w:t>
      </w:r>
    </w:p>
    <w:p w14:paraId="1393FCF8" w14:textId="77777777" w:rsidR="001A22A7" w:rsidRDefault="001A22A7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2A2F87F" w14:textId="48B4A1ED" w:rsidR="00B73FAD" w:rsidRPr="00D516B2" w:rsidRDefault="00B73FAD" w:rsidP="00B73FAD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D516B2">
        <w:rPr>
          <w:rFonts w:ascii="Arial" w:hAnsi="Arial" w:cs="Arial"/>
          <w:b/>
          <w:bCs/>
          <w:sz w:val="28"/>
          <w:szCs w:val="28"/>
        </w:rPr>
        <w:t>DIS</w:t>
      </w:r>
      <w:r w:rsidR="00D516B2" w:rsidRPr="00D516B2">
        <w:rPr>
          <w:rFonts w:ascii="Arial" w:hAnsi="Arial" w:cs="Arial"/>
          <w:b/>
          <w:bCs/>
          <w:sz w:val="28"/>
          <w:szCs w:val="28"/>
        </w:rPr>
        <w:t>POSITIVO</w:t>
      </w:r>
    </w:p>
    <w:p w14:paraId="0E59050E" w14:textId="77777777" w:rsidR="00B73FAD" w:rsidRDefault="00B73FA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6119EA8" w14:textId="410A7E94" w:rsidR="008A4445" w:rsidRDefault="00D516B2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Ante o exposto,</w:t>
      </w:r>
      <w:r>
        <w:t xml:space="preserve"> </w:t>
      </w:r>
      <w:r>
        <w:rPr>
          <w:rFonts w:ascii="Arial" w:hAnsi="Arial" w:cs="Arial"/>
          <w:b/>
          <w:bCs/>
          <w:sz w:val="28"/>
          <w:szCs w:val="28"/>
        </w:rPr>
        <w:t>nego provimento</w:t>
      </w:r>
      <w:r>
        <w:rPr>
          <w:rFonts w:ascii="Arial" w:hAnsi="Arial" w:cs="Arial"/>
          <w:sz w:val="28"/>
          <w:szCs w:val="28"/>
        </w:rPr>
        <w:t xml:space="preserve"> ao apelo</w:t>
      </w:r>
      <w:r>
        <w:rPr>
          <w:rFonts w:ascii="Arial" w:hAnsi="Arial" w:cs="Arial"/>
          <w:color w:val="808080"/>
          <w:sz w:val="28"/>
          <w:szCs w:val="28"/>
        </w:rPr>
        <w:t xml:space="preserve"> interposto pela ré, Rose Mary Cerqueira Ramos</w:t>
      </w:r>
      <w:r>
        <w:rPr>
          <w:rFonts w:ascii="Arial" w:hAnsi="Arial" w:cs="Arial"/>
          <w:sz w:val="28"/>
          <w:szCs w:val="28"/>
        </w:rPr>
        <w:t>.</w:t>
      </w:r>
    </w:p>
    <w:p w14:paraId="38E9A44F" w14:textId="77777777" w:rsidR="008A4445" w:rsidRDefault="008A4445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4BB4AF11" w14:textId="4D83F222" w:rsidR="00635527" w:rsidRDefault="00480A3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Condeno</w:t>
      </w:r>
      <w:r>
        <w:rPr>
          <w:rFonts w:ascii="Arial" w:hAnsi="Arial" w:cs="Arial"/>
          <w:sz w:val="28"/>
          <w:szCs w:val="28"/>
        </w:rPr>
        <w:t xml:space="preserve"> a ré/apelante ao pagamento de honorários recursais que fixo em 2% do </w:t>
      </w:r>
      <w:commentRangeStart w:id="27"/>
      <w:r>
        <w:rPr>
          <w:rFonts w:ascii="Arial" w:hAnsi="Arial" w:cs="Arial"/>
          <w:sz w:val="28"/>
          <w:szCs w:val="28"/>
        </w:rPr>
        <w:t>valor atualizado da condenação</w:t>
      </w:r>
      <w:commentRangeEnd w:id="27"/>
      <w:r>
        <w:rPr>
          <w:rStyle w:val="Refdecomentrio"/>
          <w:rFonts w:ascii="Arial" w:hAnsi="Arial" w:cs="Arial"/>
          <w:sz w:val="28"/>
          <w:szCs w:val="28"/>
        </w:rPr>
        <w:commentReference w:id="27"/>
      </w:r>
      <w:r>
        <w:rPr>
          <w:rFonts w:ascii="Arial" w:hAnsi="Arial" w:cs="Arial"/>
          <w:sz w:val="28"/>
          <w:szCs w:val="28"/>
        </w:rPr>
        <w:t xml:space="preserve"> (CPC 85 § 11), acrescido da quantia fixada na </w:t>
      </w:r>
      <w:commentRangeStart w:id="28"/>
      <w:r>
        <w:rPr>
          <w:rFonts w:ascii="Arial" w:hAnsi="Arial" w:cs="Arial"/>
          <w:sz w:val="28"/>
          <w:szCs w:val="28"/>
        </w:rPr>
        <w:t>r. sentença</w:t>
      </w:r>
      <w:commentRangeEnd w:id="28"/>
      <w:r>
        <w:rPr>
          <w:rStyle w:val="Refdecomentrio"/>
          <w:rFonts w:ascii="Arial" w:hAnsi="Arial" w:cs="Arial"/>
          <w:sz w:val="28"/>
          <w:szCs w:val="28"/>
        </w:rPr>
        <w:commentReference w:id="28"/>
      </w:r>
      <w:r>
        <w:rPr>
          <w:rFonts w:ascii="Arial" w:hAnsi="Arial" w:cs="Arial"/>
          <w:sz w:val="28"/>
          <w:szCs w:val="28"/>
        </w:rPr>
        <w:t>.</w:t>
      </w:r>
    </w:p>
    <w:p w14:paraId="5FF5AEF8" w14:textId="77777777" w:rsidR="00B73FAD" w:rsidRDefault="00B73FA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DA21613" w14:textId="569A3EA7" w:rsidR="007E1C8C" w:rsidRDefault="007E1C8C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É como voto.</w:t>
      </w:r>
    </w:p>
    <w:p w14:paraId="0A323893" w14:textId="76625F89" w:rsidR="007E1C8C" w:rsidRDefault="007E1C8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14:paraId="4D1C0125" w14:textId="6D1C6F36" w:rsidR="64E63EB0" w:rsidRDefault="64E63EB0" w:rsidP="64E63EB0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</w:p>
    <w:p w14:paraId="529D3CDE" w14:textId="3D1A7C3A" w:rsidR="007E1C8C" w:rsidRDefault="007E1C8C" w:rsidP="007E1C8C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0C5D2EF7" w14:textId="73190EDF" w:rsidR="00693B0D" w:rsidRDefault="00693B0D" w:rsidP="00693B0D">
      <w:pPr>
        <w:ind w:right="-96"/>
        <w:jc w:val="both"/>
        <w:rPr>
          <w:b/>
          <w:color w:val="008000"/>
        </w:rPr>
      </w:pPr>
      <w:r>
        <w:rPr>
          <w:b/>
          <w:color w:val="008000"/>
        </w:rPr>
        <w:t xml:space="preserve">SENTENÇA </w:t>
      </w:r>
    </w:p>
    <w:p w14:paraId="6C5F592D" w14:textId="77777777" w:rsidR="00E74EC1" w:rsidRDefault="00E74EC1" w:rsidP="00693B0D">
      <w:pPr>
        <w:ind w:right="-96"/>
        <w:jc w:val="both"/>
        <w:rPr>
          <w:b/>
          <w:color w:val="008000"/>
        </w:rPr>
      </w:pPr>
    </w:p>
    <w:p w14:paraId="14D761BD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Trata-se de ação sob o rito ordinário ajuizada por Luminar Saúde Associação de Assistência à Saúde contra Rose Mary Cerqueira Ramos, em que pede a condenação da ré ao pagamento de R$ 23.548,08, valor correspondente a mensalidades e coparticipações inadimplidas relativas ao plano de saúde denominado EVIDA Família, acrescido de atualização monetária, juros de mora e multa contratual.</w:t>
      </w:r>
    </w:p>
    <w:p w14:paraId="507291EB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Para tanto, afirmou que a parte autora, operadora de planos privados de assistência à saúde registrada na ANS sob o nº 41.837-4 e classificada na modalidade autogestão, celebrou com a parte ré, em 15 de janeiro de 2016, contrato de adesão ao plano EVIDA Família, voltado a familiares de beneficiários titulares. A adesão teria ocorrido de forma voluntária, após esclarecimentos sobre as coberturas, carências e obrigações contratuais.</w:t>
      </w:r>
    </w:p>
    <w:p w14:paraId="0CF7E4F2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Alegou que, desde a adesão, a autora cumpriu integralmente suas obrigações contratuais, disponibilizando à ré acesso à rede credenciada de atendimento, composta por hospitais, clínicas, laboratórios e profissionais de saúde, conforme previsto no contrato e no rol da ANS.</w:t>
      </w:r>
    </w:p>
    <w:p w14:paraId="10CA32E1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Sustentou que, apesar da regular prestação dos serviços, a ré deixou de adimplir 14 parcelas, totalizando inicialmente R$ 12.285,76. Mesmo diante do inadimplemento, a autora manteve a prestação dos serviços de saúde, em observância às normas da ANS e ao princípio da boa-fé contratual.</w:t>
      </w:r>
    </w:p>
    <w:p w14:paraId="24289D84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Relatou que o contrato firmado entre as partes prevê, em caso de mora, a incidência de juros de 1% ao mês e multa de 2% sobre o valor do débito atualizado. Aplicando-se tais encargos, o montante devido pela ré alcança R$ 23.548,08, conforme demonstrativo de débito anexado à inicial.</w:t>
      </w:r>
    </w:p>
    <w:p w14:paraId="4B7C7BAF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Afirmou que, diante da persistência do inadimplemento, não restou alternativa senão o ajuizamento da presente ação de cobrança, com o objetivo de preservar o equilíbrio econômico-financeiro do contrato e garantir a continuidade dos serviços prestados aos demais beneficiários.</w:t>
      </w:r>
    </w:p>
    <w:p w14:paraId="35F12B14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ré apresentou contestação no ID 243368797, em que suscita preliminar de inépcia da inicial, alegando ausência de documentos essenciais à ação.</w:t>
      </w:r>
    </w:p>
    <w:p w14:paraId="42BE6800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No mérito, a parte ré defendeu que não reconhece integralmente os valores cobrados, sustentando que houve falhas na prestação dos serviços e divergências quanto à composição das mensalidades e coparticipações. Alegou que parte dos valores já teria sido quitada e que os cálculos apresentados pela parte autora não refletem a realidade dos pagamentos efetuados. Apontou que, em 01/10/2021, já havia migrado para outro plano de saúde, da operadora MedSênior, por meio de portabilidade, conforme documentação juntada aos autos, o que, segundo sua versão, implicaria a extinção da obrigação de pagamento das parcelas posteriores à migração.</w:t>
      </w:r>
    </w:p>
    <w:p w14:paraId="6A9A65CC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 xml:space="preserve">Afirmou que, à época da portabilidade, não havia inadimplemento, conforme declaração emitida pela própria parte autora, e que a cobrança de valores posteriores à migração configura </w:t>
      </w:r>
      <w:r w:rsidRPr="00254B87">
        <w:rPr>
          <w:b/>
          <w:color w:val="008000"/>
        </w:rPr>
        <w:lastRenderedPageBreak/>
        <w:t>demanda por dívida já paga, o que atrairia a aplicação do art. 940 do Código Civil. Requereu, ao final, a improcedência da ação, com a condenação da parte autora ao pagamento em dobro dos valores indevidamente cobrados, além da produção de todos os meios de prova admitidos em direito.</w:t>
      </w:r>
    </w:p>
    <w:p w14:paraId="7BDC0BCF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Formulou, ainda, pedido reconvencional no bojo da contestação.</w:t>
      </w:r>
    </w:p>
    <w:p w14:paraId="6BF252C8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parte autora apresentou réplica (ID 246346719), sustentando que a ré não trouxe prova inequívoca do adimplemento das parcelas cobradas, limitando-se a alegações genéricas e documentos que não infirmam os demonstrativos de débito anexados à inicial. Reiterou que a ré permaneceu vinculada ao plano EVIDA Família durante todo o período de inadimplemento, usufruindo dos serviços de saúde oferecidos pela rede credenciada.</w:t>
      </w:r>
    </w:p>
    <w:p w14:paraId="2C6F9166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No ID 248065095, foi proferido despacho determinando a intimação das partes para se manifestarem sobre a existência de provas a serem produzidas, tendo a autora informado, no ID 248445539, a inexistência de provas adicionais.</w:t>
      </w:r>
    </w:p>
    <w:p w14:paraId="0DE9261B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No ID 252270793, foi proferido novo despacho intimando a ré para se manifestar acerca dos documentos juntados com a réplica. No ID 253427423, a ré apresentou manifestação de resposta, ocasião em que postula o desentranhamento dos documentos.</w:t>
      </w:r>
    </w:p>
    <w:p w14:paraId="53F75771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parte ré manifestou desistência em relação ao pedido reconvencional, pedido este que foi homologado no ID 257776291.</w:t>
      </w:r>
    </w:p>
    <w:p w14:paraId="51641BE8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Esse é o relatório necessário. Vieram os autos conclusos.</w:t>
      </w:r>
    </w:p>
    <w:p w14:paraId="012EF1E1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DO MÉRITO</w:t>
      </w:r>
    </w:p>
    <w:p w14:paraId="414EE22A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O processo comporta julgamento antecipado, nos termos do art. 355, inciso I, do Código de Processo Civil, pois a controvérsia é essencialmente documental e os elementos constantes dos autos são suficientes para a solução da lide.</w:t>
      </w:r>
    </w:p>
    <w:p w14:paraId="6C13F84A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Não existem questões preliminares pendentes de apreciação, assim como não verifico a existência de vício que macule o andamento do feito. Desta forma, compreendo estarem presentes os pressupostos processuais de existência e validade da relação processual e as condições da ação, motivo pelo qual procedo ao julgamento do mérito.</w:t>
      </w:r>
    </w:p>
    <w:p w14:paraId="23E9DFD1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De início, afasta-se a incidência do Código de Defesa do Consumidor. Isso porque a autora atua como operadora de plano de saúde na modalidade de autogestão, circunstância expressamente indicada no regulamento do plano EVIDA Família (ID 230783708). Nessa hipótese, a relação jurídica estabelecida entre as partes não se submete ao regime consumerista, devendo a controvérsia ser examinada à luz das normas contratuais aplicáveis e das regras gerais do Código Civil e do Código de Processo Civil, inclusive quanto à distribuição ordinária do ônus da prova.</w:t>
      </w:r>
    </w:p>
    <w:p w14:paraId="41AAB71D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Dito isso, a controvérsia destes autos consiste em verificar se a requerida deve ser condenada ao pagamento das mensalidades e coparticipações indicadas pela autora, relativas ao plano de saúde EVIDA Família.</w:t>
      </w:r>
    </w:p>
    <w:p w14:paraId="1F3E69CC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 xml:space="preserve">A existência da relação jurídica está suficientemente comprovada pelo contrato de adesão juntado no ID 230783707 e pelo regulamento do plano acostado no ID 230783708. O regulamento estabelece que os beneficiários vinculados ao plano devem contribuir para o custeio mensal e arcar com coparticipações quando houver utilização dos serviços cobertos. </w:t>
      </w:r>
      <w:r w:rsidRPr="00254B87">
        <w:rPr>
          <w:b/>
          <w:color w:val="008000"/>
        </w:rPr>
        <w:lastRenderedPageBreak/>
        <w:t>Também prevê que, em caso de impontualidade, incidem juros de mora de 1% ao mês, calculados pro rata die, e multa de 2% sobre o valor do débito atualizado, conforme art. 45, § 2º, do regulamento do plano.</w:t>
      </w:r>
    </w:p>
    <w:p w14:paraId="5DA3B45B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No mesmo sentido, o art. 57, inciso X, do regulamento impõe ao beneficiário a obrigação de pagamento das mensalidades e coparticipações que lhe forem cabíveis. O art. 55, por sua vez, estabelece que a exclusão do beneficiário não o exime da obrigação de quitar eventuais débitos, incluídos os valores de contribuição mensal e de coparticipação.</w:t>
      </w:r>
    </w:p>
    <w:p w14:paraId="0F778B2B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autora juntou demonstrativo de cálculo no ID 230783709, no qual indicou o valor histórico de R$ 12.285,76 (doze mil duzentos e oitenta e cinco reais e setenta e seis centavos), atualizado até 26/03/2025 para R$ 23.548,08 (vinte e três mil quinhentos e quarenta e oito reais e oito centavos). O demonstrativo especifica as datas de vencimento, os valores principais, a correção monetária, os juros e a multa aplicados.</w:t>
      </w:r>
    </w:p>
    <w:p w14:paraId="67737CEB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Além disso, os extratos de cobrança dos IDs 230783710, 230783711, 230783712, 230783713, 230783714 e 230783715 individualizam as competências cobradas, os valores lançados e também as coparticipações decorrentes da utilização dos serviços. Há, portanto, identificação suficiente da origem dos débitos, das competências e dos valores que compõem a pretensão de cobrança declinada na peça de ingresso.</w:t>
      </w:r>
    </w:p>
    <w:p w14:paraId="237F3649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requerida sustenta que a ausência de boletos bancários impediria o reconhecimento da dívida. Contudo, essa alegação não procede. A presente ação é de cobrança, e não execução fundada em título extrajudicial. Assim, não se exige que a autora apresente necessariamente boletos bancários como único meio de prova do inadimplemento, desde que os documentos juntados permitam identificar a relação jurídica, a obrigação assumida, as competências cobradas e a composição do débito.</w:t>
      </w:r>
    </w:p>
    <w:p w14:paraId="098F5BBE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No caso, a autora apresentou contrato, regulamento, demonstrativo de cálculo e extratos individualizados. Esses documentos, analisados em conjunto, são suficientes para demonstrar o fato constitutivo do direito alegado, nos termos do art. 373, inciso I, do Código de Processo Civil.</w:t>
      </w:r>
    </w:p>
    <w:p w14:paraId="5293EC96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Por outro lado, a requerida não apresentou comprovantes de pagamento das parcelas cobradas, nem documento que demonstre quitação, remissão, novação, cancelamento anterior apto a afastar as competências indicadas ou qualquer outro fato impeditivo, modificativo ou extintivo do direito da autora. O ônus dessa prova lhe competia, conforme art. 373, inciso II, do Código de Processo Civil.</w:t>
      </w:r>
    </w:p>
    <w:p w14:paraId="53DBA928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documentação relativa à portabilidade, juntada nos IDs 243368798 e 243368799, também não comprova a quitação dos débitos cobrados. A portabilidade de carências para outro plano de saúde, por si só, não equivale à declaração de inexistência de débitos pretéritos, tampouco afasta obrigações já constituídas durante a vigência da relação contratual anterior.</w:t>
      </w:r>
    </w:p>
    <w:p w14:paraId="561544A2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tese defensiva, portanto, não se mostra suficiente para desconstituir os lançamentos apresentados pela autora. Ainda que a requerida tenha migrado para outro plano, permanecia necessário demonstrar que as competências cobradas foram efetivamente quitadas ou que não eram exigíveis, o que não ocorreu.</w:t>
      </w:r>
    </w:p>
    <w:p w14:paraId="0136115F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Também não há prova de cobrança de dívida já paga. Desse modo, não subsiste fundamento para qualquer consequência jurídica fundada em cobrança indevida, especialmente porque a requerida desistiu da reconvenção, nos moldes do ID 255546602.</w:t>
      </w:r>
    </w:p>
    <w:p w14:paraId="017E5BB0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lastRenderedPageBreak/>
        <w:t>Assim, comprovada a existência da relação contratual, demonstrada a origem dos débitos e ausente prova de pagamento ou inexigibilidade, a procedência do pedido de cobrança é medida que se impõe.</w:t>
      </w:r>
    </w:p>
    <w:p w14:paraId="21D98359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DO DISPOSITIVO</w:t>
      </w:r>
    </w:p>
    <w:p w14:paraId="3A52F5E5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Diante do exposto, JULGO PROCEDENTE o pedido para condenar ROSE MARY CERQUEIRA RAMOS ao pagamento do valor nominal de R$ 12.285,76 (doze mil duzentos e oitenta e cinco reais e setenta e seis centavos) em favor de LUMINAR SAÚDE ASSOCIAÇÃO DE ASSISTÊNCIA À SAÚDE.</w:t>
      </w:r>
    </w:p>
    <w:p w14:paraId="4E42FB59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O valor deverá ser acrescido de correção monetária desde o vencimento de cada parcela, conforme datas individualizadas no demonstrativo de ID 230783709, além de juros moratórios contratuais de 1% (um por cento) ao mês, também desde o vencimento de cada obrigação. Incide, ainda, a multa contratual de 2% (dois por cento) sobre o débito atualizado, conforme art. 45, § 2º, do regulamento do plano (ID 230783708).</w:t>
      </w:r>
    </w:p>
    <w:p w14:paraId="02E77DCA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Ausente previsão contratual de índice de correção monetária e taxa de juros, incidem os parâmetros legais. Até 29/08/2024, aplica-se a taxa SELIC de forma integral, que já abrange, em um único índice, a correção monetária e os juros moratórios, nos termos da tese firmada pelo Superior Tribunal de Justiça no Tema Repetitivo 1.368. A partir de 30/08/2024, vigora o regime instituído pela Lei nº 14.905/2024, com correção monetária pelo IPCA/IBGE e juros moratórios correspondentes à diferença entre a taxa SELIC e o IPCA/IBGE do período, com piso zero caso o resultado seja negativo.</w:t>
      </w:r>
    </w:p>
    <w:p w14:paraId="4A8D5EA6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Resolvo o mérito do processo, com fundamento no art. 487, inciso I, do Código de Processo Civil.</w:t>
      </w:r>
    </w:p>
    <w:p w14:paraId="1E0BDB78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Condeno a requerida ao pagamento das custas processuais e dos honorários advocatícios, que fixo em 10% (dez por cento) sobre o valor atualizado da condenação, nos termos do art. 85, § 2º, do Código de Processo Civil.</w:t>
      </w:r>
    </w:p>
    <w:p w14:paraId="440CBD98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Após o trânsito em julgado, não havendo outros requerimentos, arquivem-se os autos.</w:t>
      </w:r>
    </w:p>
    <w:p w14:paraId="3D766F0C" w14:textId="190597E9" w:rsidR="00E74EC1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Intime-se.</w:t>
      </w:r>
    </w:p>
    <w:p w14:paraId="530ACD8E" w14:textId="77777777" w:rsidR="00254B87" w:rsidRDefault="00254B87" w:rsidP="00254B87">
      <w:pPr>
        <w:ind w:right="-96"/>
        <w:jc w:val="both"/>
        <w:rPr>
          <w:b/>
          <w:color w:val="008000"/>
        </w:rPr>
      </w:pPr>
    </w:p>
    <w:p w14:paraId="787D42ED" w14:textId="3F94D3A3" w:rsidR="007E1C8C" w:rsidRPr="004873E8" w:rsidRDefault="007E1C8C" w:rsidP="004873E8">
      <w:pPr>
        <w:ind w:right="-96"/>
        <w:jc w:val="both"/>
        <w:rPr>
          <w:color w:val="C45911"/>
        </w:rPr>
      </w:pPr>
    </w:p>
    <w:sectPr w:rsidR="007E1C8C" w:rsidRPr="004873E8"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cos Dwayne Saraiva Costa - GDSXSR" w:date="2025-09-01T13:19:00Z" w:initials="MG">
    <w:p w14:paraId="346E87E3" w14:textId="0D98C4E7" w:rsidR="00B74FB6" w:rsidRDefault="0063376A">
      <w:r>
        <w:annotationRef/>
      </w:r>
      <w:r w:rsidRPr="40B1094E">
        <w:t>Conclusão:</w:t>
      </w:r>
    </w:p>
    <w:p w14:paraId="020D7533" w14:textId="1497ECC6" w:rsidR="00B74FB6" w:rsidRDefault="0063376A">
      <w:r w:rsidRPr="3A8CDDB3">
        <w:t>Entrega:</w:t>
      </w:r>
    </w:p>
    <w:p w14:paraId="448DA02E" w14:textId="7411C318" w:rsidR="00B74FB6" w:rsidRDefault="0063376A">
      <w:r w:rsidRPr="43891A96">
        <w:t xml:space="preserve">Certeza: </w:t>
      </w:r>
    </w:p>
  </w:comment>
  <w:comment w:id="1" w:author="Gabriel Passos Sesana - GDACA" w:date="2026-07-15T17:23:00Z" w:initials="GP">
    <w:p w14:paraId="65AE74B2" w14:textId="77777777" w:rsidR="00284625" w:rsidRDefault="00C54C8C" w:rsidP="00284625">
      <w:pPr>
        <w:pStyle w:val="Textodecomentrio"/>
      </w:pPr>
      <w:r>
        <w:rPr>
          <w:rStyle w:val="Refdecomentrio"/>
        </w:rPr>
        <w:annotationRef/>
      </w:r>
      <w:r w:rsidR="00284625">
        <w:t>Conclusão: 1º/09</w:t>
      </w:r>
    </w:p>
    <w:p w14:paraId="70BFAE2C" w14:textId="77777777" w:rsidR="00284625" w:rsidRDefault="00284625" w:rsidP="00284625">
      <w:pPr>
        <w:pStyle w:val="Textodecomentrio"/>
      </w:pPr>
      <w:r>
        <w:t>Entrega:</w:t>
      </w:r>
    </w:p>
    <w:p w14:paraId="4C116AAE" w14:textId="77777777" w:rsidR="00284625" w:rsidRDefault="00284625" w:rsidP="00284625">
      <w:pPr>
        <w:pStyle w:val="Textodecomentrio"/>
      </w:pPr>
      <w:r>
        <w:t>Certeza:</w:t>
      </w:r>
    </w:p>
  </w:comment>
  <w:comment w:id="2" w:author="Marcia Vilela Alves - GDACA" w:date="2026-09-09T15:25:00Z" w:initials="MV">
    <w:p w14:paraId="4A065D74" w14:textId="77777777" w:rsidR="005435A2" w:rsidRDefault="005435A2" w:rsidP="005435A2">
      <w:pPr>
        <w:pStyle w:val="Textodecomentrio"/>
      </w:pPr>
      <w:r>
        <w:rPr>
          <w:rStyle w:val="Refdecomentrio"/>
        </w:rPr>
        <w:annotationRef/>
      </w:r>
      <w:r>
        <w:t>Corrigido.</w:t>
      </w:r>
    </w:p>
  </w:comment>
  <w:comment w:id="3" w:author="Marcos Dwayne Saraiva Costa - GDSXSR" w:date="2026-10-29T17:33:00Z" w:initials="MD">
    <w:p w14:paraId="47FB91FF" w14:textId="77777777" w:rsidR="003A539B" w:rsidRDefault="003A539B" w:rsidP="003A539B">
      <w:pPr>
        <w:pStyle w:val="Textodecomentrio"/>
      </w:pPr>
      <w:r>
        <w:rPr>
          <w:rStyle w:val="Refdecomentrio"/>
        </w:rPr>
        <w:annotationRef/>
      </w:r>
      <w:r>
        <w:t>Minuta do Gabinete do Des Camanho</w:t>
      </w:r>
    </w:p>
    <w:p w14:paraId="191CC412" w14:textId="77777777" w:rsidR="003A539B" w:rsidRDefault="003A539B" w:rsidP="003A539B">
      <w:pPr>
        <w:pStyle w:val="Textodecomentrio"/>
      </w:pPr>
    </w:p>
    <w:p w14:paraId="24CCF3F6" w14:textId="77777777" w:rsidR="003A539B" w:rsidRDefault="003A539B" w:rsidP="003A539B">
      <w:pPr>
        <w:pStyle w:val="Textodecomentrio"/>
      </w:pPr>
      <w:r>
        <w:t>Revisado</w:t>
      </w:r>
    </w:p>
  </w:comment>
  <w:comment w:id="4" w:author="Assessor GDSXSR" w:date="2026-10-29T19:57:00Z" w:initials="RG">
    <w:p w14:paraId="18E006DB" w14:textId="77777777" w:rsidR="003B1726" w:rsidRDefault="00000000">
      <w:r>
        <w:annotationRef/>
      </w:r>
      <w:r>
        <w:t>ASSESSOR GDSXSR — Comentário geral: alterações mecânicas iguais em todo o voto: título EMENTA à esquerda (C-42); referências na forma compacta e IDs no singular (C-20, C-25); datas em dd/mm/aaaa; transcrições em Arial 13 itálico (C-40); realce de subtítulo, veredito e frases decisivas (C-42, C-43); cortes do relatório da sentença com "(...)" (C-02). Modelos consultados: APC 0726579-14, 0723189-54 e 0710100-41. Sem os autos nesta revisão, fatos e IDs ficam como na minuta; as pendências estão em comentário (C-24, C-52).</w:t>
      </w:r>
    </w:p>
  </w:comment>
  <w:comment w:id="5" w:author="Assessor GDSXSR" w:date="2026-10-29T19:57:00Z" w:initials="RG">
    <w:p w14:paraId="6573B761" w14:textId="77777777" w:rsidR="003B1726" w:rsidRDefault="00000000">
      <w:r>
        <w:annotationRef/>
      </w:r>
      <w:r>
        <w:t>ASSESSOR GDSXSR — Alterei o item 1 para qualificar a ré como pessoa natural, descrever a cobrança sem repetir o valor e fechar com o valor da causa entre parênteses (C-34, C-34A). No item final nomeei o apelante, na fórmula "Negou-se provimento ao apelo da ré" (perfil APC, n. 8).</w:t>
      </w:r>
    </w:p>
  </w:comment>
  <w:comment w:id="6" w:author="Assessor GDSXSR" w:date="2026-10-29T19:57:00Z" w:initials="RG">
    <w:p w14:paraId="2584C19A" w14:textId="77777777" w:rsidR="003B1726" w:rsidRDefault="00000000">
      <w:r>
        <w:annotationRef/>
      </w:r>
      <w:r>
        <w:t>ASSESSOR GDSXSR — Reescrevi o item 3 conforme as razões do apelo (ID 88637491, itens 3.1 a 3.3 e narrativa inicial), que não alega propriamente "inexistência do débito", mas violação da boa-fé, supressio, aplicação do CDC e falta dos boletos (C-3P b).</w:t>
      </w:r>
    </w:p>
  </w:comment>
  <w:comment w:id="7" w:author="Assessor GDSXSR" w:date="2026-10-29T19:57:00Z" w:initials="RG">
    <w:p w14:paraId="234EEA71" w14:textId="77777777" w:rsidR="003B1726" w:rsidRDefault="00000000">
      <w:r>
        <w:annotationRef/>
      </w:r>
      <w:r>
        <w:t>ASSESSOR GDSXSR — Cindi o item 5 em dois (inaplicabilidade do CDC; ônus da prova), um fundamento por item, com a referência ao final em forma compacta (C-3G v43, C-20). Renumerei os itens seguintes (C-33).</w:t>
      </w:r>
    </w:p>
  </w:comment>
  <w:comment w:id="8" w:author="Marcos Dwayne Saraiva Costa - GDSXSR" w:date="2026-10-29T17:28:00Z" w:initials="MD">
    <w:p w14:paraId="454A335D" w14:textId="77777777" w:rsidR="00915CEC" w:rsidRDefault="00915CEC" w:rsidP="00915CEC">
      <w:pPr>
        <w:pStyle w:val="Textodecomentrio"/>
      </w:pPr>
      <w:r>
        <w:rPr>
          <w:rStyle w:val="Refdecomentrio"/>
        </w:rPr>
        <w:annotationRef/>
      </w:r>
      <w:r>
        <w:rPr>
          <w:color w:val="0F172A"/>
          <w:highlight w:val="white"/>
        </w:rPr>
        <w:t>Dispõe sobre a regulamentação da portabilidade de carências para beneficiários de planos privados de assistência à saúde</w:t>
      </w:r>
      <w:r>
        <w:t xml:space="preserve"> </w:t>
      </w:r>
    </w:p>
  </w:comment>
  <w:comment w:id="9" w:author="Marcos Dwayne Saraiva Costa - GDSXSR" w:date="2026-10-29T17:27:00Z" w:initials="MD">
    <w:p w14:paraId="6AB3E2D2" w14:textId="77777777" w:rsidR="00915CEC" w:rsidRDefault="00915CEC" w:rsidP="00915CEC">
      <w:pPr>
        <w:pStyle w:val="Textodecomentrio"/>
      </w:pPr>
      <w:r>
        <w:rPr>
          <w:rStyle w:val="Refdecomentrio"/>
        </w:rPr>
        <w:annotationRef/>
      </w:r>
      <w:r>
        <w:rPr>
          <w:color w:val="0F172A"/>
          <w:highlight w:val="white"/>
        </w:rPr>
        <w:t>Art. 3º Para realizar a portabilidade de carências, devem ser atendidos simultaneamente os seguintes requisitos:</w:t>
      </w:r>
    </w:p>
    <w:p w14:paraId="121182D6" w14:textId="77777777" w:rsidR="00915CEC" w:rsidRDefault="00915CEC" w:rsidP="00915CEC">
      <w:pPr>
        <w:pStyle w:val="Textodecomentrio"/>
      </w:pPr>
      <w:r>
        <w:rPr>
          <w:color w:val="0F172A"/>
          <w:highlight w:val="white"/>
        </w:rPr>
        <w:t>I - o vínculo do beneficiário com o plano de origem deve estar ativo;</w:t>
      </w:r>
    </w:p>
    <w:p w14:paraId="4EE3054E" w14:textId="77777777" w:rsidR="00915CEC" w:rsidRDefault="00915CEC" w:rsidP="00915CEC">
      <w:pPr>
        <w:pStyle w:val="Textodecomentrio"/>
      </w:pPr>
      <w:r>
        <w:rPr>
          <w:color w:val="0F172A"/>
          <w:highlight w:val="white"/>
        </w:rPr>
        <w:t>II - o beneficiário deve estar adimplente junto à operadora do plano de origem;</w:t>
      </w:r>
    </w:p>
  </w:comment>
  <w:comment w:id="10" w:author="Marcos Dwayne Saraiva Costa - GDSXSR" w:date="2026-10-29T17:28:00Z" w:initials="MD">
    <w:p w14:paraId="67BF9C6C" w14:textId="77777777" w:rsidR="00915CEC" w:rsidRDefault="00915CEC" w:rsidP="00915CEC">
      <w:pPr>
        <w:pStyle w:val="Textodecomentrio"/>
      </w:pPr>
      <w:r>
        <w:rPr>
          <w:rStyle w:val="Refdecomentrio"/>
        </w:rPr>
        <w:annotationRef/>
      </w:r>
      <w:r>
        <w:rPr>
          <w:color w:val="0F172A"/>
          <w:highlight w:val="white"/>
        </w:rPr>
        <w:t>Art. 17. A portabilidade de carências deverá ser formalizada diretamente na operadora do plano de destino ou na administradora de benefícios responsável pelo plano de destino, ocasião em que deverá ser disponibilizada a proposta de adesão para assinatura do beneficiário, estando a solicitação de portabilidade sujeita à recusa no prazo de 10 (dez) dias.</w:t>
      </w:r>
    </w:p>
    <w:p w14:paraId="458C65C3" w14:textId="77777777" w:rsidR="00915CEC" w:rsidRDefault="00915CEC" w:rsidP="00915CEC">
      <w:pPr>
        <w:pStyle w:val="Textodecomentrio"/>
      </w:pPr>
      <w:r>
        <w:rPr>
          <w:color w:val="0F172A"/>
          <w:highlight w:val="white"/>
        </w:rPr>
        <w:t>Parágrafo único. Caso o beneficiário não atenda aos requisitos previstos nesta Resolução, a operadora do plano de destino ou a administradora de benefícios responsável pelo plano de destino poderá recusar a solicitação de portabilidade de carências, desde que apresente a devida justificativa.</w:t>
      </w:r>
    </w:p>
  </w:comment>
  <w:comment w:id="11" w:author="Assessor GDSXSR" w:date="2026-10-29T19:57:00Z" w:initials="RG">
    <w:p w14:paraId="213C78FD" w14:textId="77777777" w:rsidR="003B1726" w:rsidRDefault="00000000">
      <w:r>
        <w:annotationRef/>
      </w:r>
      <w:r>
        <w:t>ASSESSOR GDSXSR — Apliquei negrito e realce amarelo ao título do resumo (C-39); o conteúdo do resumo foi mantido como veio.</w:t>
      </w:r>
    </w:p>
  </w:comment>
  <w:comment w:id="12" w:author="Assessor GDSXSR" w:date="2026-10-29T19:57:00Z" w:initials="RG">
    <w:p w14:paraId="27FA3CF5" w14:textId="77777777" w:rsidR="003B1726" w:rsidRDefault="00000000">
      <w:r>
        <w:annotationRef/>
      </w:r>
      <w:r>
        <w:t>ASSESSOR GDSXSR — Cortei com "(...)" trechos da sentença sem relação com o apelo (cumprimento das obrigações pela autora, encerramento da inicial e despachos de instrução), preservando a ordem e o texto restante (C-02, C-3N).</w:t>
      </w:r>
    </w:p>
  </w:comment>
  <w:comment w:id="13" w:author="Assessor GDSXSR" w:date="2026-10-29T19:57:00Z" w:initials="RG">
    <w:p w14:paraId="46013B93" w14:textId="77777777" w:rsidR="003B1726" w:rsidRDefault="00000000">
      <w:r>
        <w:annotationRef/>
      </w:r>
      <w:r>
        <w:t>ASSESSOR GDSXSR — Corrigi o nome do juiz para "Heverson", como na assinatura da sentença (ID 88637481), que também confirma a 12ª Vara Cível de Brasília (C-22). Acrescentei o ID da sentença ao fim do dispositivo transcrito (C-3N).</w:t>
      </w:r>
    </w:p>
  </w:comment>
  <w:comment w:id="14" w:author="Assessor GDSXSR" w:date="2026-10-29T19:57:00Z" w:initials="RG">
    <w:p w14:paraId="38575590" w14:textId="77777777" w:rsidR="003B1726" w:rsidRDefault="00000000">
      <w:r>
        <w:annotationRef/>
      </w:r>
      <w:r>
        <w:t>ASSESSOR GDSXSR — Enumerei as alegações do apelo no relatório (C-30), conforme as razões do apelo (ID 88637491, itens 3.1 a 3.3 e narrativa inicial); a versão anterior trazia só o ônus da prova e os boletos, e o apelo não discute o ônus da prova.</w:t>
      </w:r>
    </w:p>
  </w:comment>
  <w:comment w:id="15" w:author="Assessor GDSXSR" w:date="2026-10-29T19:57:00Z" w:initials="RG">
    <w:p w14:paraId="097A4304" w14:textId="77777777" w:rsidR="003B1726" w:rsidRDefault="00000000">
      <w:r>
        <w:annotationRef/>
      </w:r>
      <w:r>
        <w:t>ASSESSOR GDSXSR — Corrigi o ID das contrarrazões ao apelo: 85547286 não consta dos autos; as contrarrazões de 25/08/2026 são o ID 88637494 (o ID 88637486 são contrarrazões aos embargos). Movi o ID para logo após "Contrarrazões" (perfil APC, n. 2).</w:t>
      </w:r>
    </w:p>
  </w:comment>
  <w:comment w:id="16" w:author="Assessor GDSXSR" w:date="2026-10-29T19:57:00Z" w:initials="RG">
    <w:p w14:paraId="3269B1CB" w14:textId="77777777" w:rsidR="003B1726" w:rsidRDefault="00000000">
      <w:r>
        <w:annotationRef/>
      </w:r>
      <w:r>
        <w:t>ASSESSOR GDSXSR — Datas conferidas nos autos: inicial em 28/03/2025 (ID 88637031); sentença em 03/06/2026 (ID 88637481); embargos de declaração rejeitados em 08/07/2026 (ID 88637488); apelo em 30/07/2026 (ID 88637491). A minuta dizia "complementada por embargos", e o ajuste diz o que os autos mostram (C-3C).</w:t>
      </w:r>
    </w:p>
  </w:comment>
  <w:comment w:id="17" w:author="Assessor GDSXSR" w:date="2026-10-29T19:57:00Z" w:initials="RG">
    <w:p w14:paraId="1BD67B36" w14:textId="77777777" w:rsidR="003B1726" w:rsidRDefault="00000000">
      <w:r>
        <w:annotationRef/>
      </w:r>
      <w:r>
        <w:t>ASSESSOR GDSXSR — Título verbal que diz a decisão sobre o pedido de improcedência, e não o assunto (C-3W b); realce amarelo (C-42). Alegações do apelo enumeradas na abertura do capítulo, com o ID ao final (C-3W c, C-30). Suprimi o parágrafo "Por sua vez, a autora/apelada alega…": as contrarrazões de mérito ficam só no relatório (C-3Z b).</w:t>
      </w:r>
    </w:p>
  </w:comment>
  <w:comment w:id="18" w:author="Gabriel Passos Sesana - GDACA" w:date="2026-09-08T17:30:00Z" w:initials="GP">
    <w:p w14:paraId="47FBA6BE" w14:textId="77777777" w:rsidR="009630FD" w:rsidRDefault="009630FD" w:rsidP="009630FD">
      <w:pPr>
        <w:pStyle w:val="Textodecomentrio"/>
      </w:pPr>
      <w:r>
        <w:rPr>
          <w:rStyle w:val="Refdecomentrio"/>
        </w:rPr>
        <w:annotationRef/>
      </w:r>
      <w:r>
        <w:t>Modelo: ED 0716942-62 (acórdão 1963750)</w:t>
      </w:r>
    </w:p>
  </w:comment>
  <w:comment w:id="19" w:author="Assessor GDSXSR" w:date="2026-10-29T19:57:00Z" w:initials="RG">
    <w:p w14:paraId="0E417E84" w14:textId="77777777" w:rsidR="003B1726" w:rsidRDefault="00000000">
      <w:r>
        <w:annotationRef/>
      </w:r>
      <w:r>
        <w:t>ASSESSOR GDSXSR — Acrescentei o ID de 2º grau do regulamento do plano (88637033), que o classifica como autogestão (C-20); a sentença citava o ID da origem (230783708).</w:t>
      </w:r>
    </w:p>
  </w:comment>
  <w:comment w:id="20" w:author="Assessor GDSXSR" w:date="2026-10-29T19:57:00Z" w:initials="RG">
    <w:p w14:paraId="019F54C4" w14:textId="77777777" w:rsidR="003B1726" w:rsidRDefault="00000000">
      <w:r>
        <w:t>ASSESSOR GDSXSR — Suprimi a transcrição do CPC 373 I e II, norma pacífica que o parágrafo já resume (C-66, ponderação). Texto literal (C-63), conferido no iajus (Planalto): “Art. 373. O ônus da prova incumbe: I - ao autor, quanto ao fato constitutivo de seu direito; II - ao réu, quanto à existência de fato impeditivo, modificativo ou extintivo do direito do autor.”</w:t>
      </w:r>
      <w:r/>
    </w:p>
  </w:comment>
  <w:comment w:id="21" w:author="Assessor GDSXSR" w:date="2026-10-29T19:57:00Z" w:initials="RG">
    <w:p w14:paraId="58838944" w14:textId="77777777" w:rsidR="003B1726" w:rsidRDefault="00000000">
      <w:r>
        <w:annotationRef/>
      </w:r>
      <w:r>
        <w:t>ASSESSOR GDSXSR — Troquei "carta de quitação" por "carta de portabilidade", nome usado no resto do voto, e movi o ID para o fim do período (C-20). Transcrevi o trecho decisivo da carta, conferido nos autos (ID 88637463, p. 1), e o CC 320, caput e parágrafo único, na redação do Planalto (C-66 a, c).</w:t>
      </w:r>
    </w:p>
  </w:comment>
  <w:comment w:id="22" w:author="Marcos Dwayne Saraiva Costa - GDSXSR" w:date="2026-10-29T17:31:00Z" w:initials="MD">
    <w:p w14:paraId="766568AC" w14:textId="77777777" w:rsidR="00915CEC" w:rsidRDefault="00915CEC" w:rsidP="00915CEC">
      <w:pPr>
        <w:pStyle w:val="Textodecomentrio"/>
      </w:pPr>
      <w:r>
        <w:rPr>
          <w:rStyle w:val="Refdecomentrio"/>
        </w:rPr>
        <w:annotationRef/>
      </w:r>
      <w:r>
        <w:t>Dispõe sobre a regulamentação da portabilidade de carências para beneficiários de planos privados de assistência à saúde</w:t>
      </w:r>
    </w:p>
    <w:p w14:paraId="2B6D8758" w14:textId="77777777" w:rsidR="00915CEC" w:rsidRDefault="00915CEC" w:rsidP="00915CEC">
      <w:pPr>
        <w:pStyle w:val="Textodecomentrio"/>
      </w:pPr>
    </w:p>
    <w:p w14:paraId="23EE145C" w14:textId="77777777" w:rsidR="00915CEC" w:rsidRDefault="00915CEC" w:rsidP="00915CEC">
      <w:pPr>
        <w:pStyle w:val="Textodecomentrio"/>
      </w:pPr>
      <w:r>
        <w:rPr>
          <w:color w:val="0F172A"/>
          <w:highlight w:val="white"/>
        </w:rPr>
        <w:t>Art. 3º Para realizar a portabilidade de carências, devem ser atendidos simultaneamente os seguintes requisitos:</w:t>
      </w:r>
    </w:p>
    <w:p w14:paraId="7F8FDBA5" w14:textId="77777777" w:rsidR="00915CEC" w:rsidRDefault="00915CEC" w:rsidP="00915CEC">
      <w:pPr>
        <w:pStyle w:val="Textodecomentrio"/>
      </w:pPr>
      <w:r>
        <w:rPr>
          <w:color w:val="0F172A"/>
          <w:highlight w:val="white"/>
        </w:rPr>
        <w:t>I - o vínculo do beneficiário com o plano de origem deve estar ativo;</w:t>
      </w:r>
    </w:p>
    <w:p w14:paraId="44D59A01" w14:textId="77777777" w:rsidR="00915CEC" w:rsidRDefault="00915CEC" w:rsidP="00915CEC">
      <w:pPr>
        <w:pStyle w:val="Textodecomentrio"/>
      </w:pPr>
      <w:r>
        <w:rPr>
          <w:color w:val="0F172A"/>
          <w:highlight w:val="white"/>
        </w:rPr>
        <w:t>II - o beneficiário deve estar adimplente junto à operadora do plano de origem;</w:t>
      </w:r>
    </w:p>
  </w:comment>
  <w:comment w:id="23" w:author="Marcos Dwayne Saraiva Costa - GDSXSR" w:date="2026-10-29T17:31:00Z" w:initials="MD">
    <w:p w14:paraId="751818A8" w14:textId="77777777" w:rsidR="00915CEC" w:rsidRDefault="00915CEC" w:rsidP="00915CEC">
      <w:pPr>
        <w:pStyle w:val="Textodecomentrio"/>
      </w:pPr>
      <w:r>
        <w:rPr>
          <w:rStyle w:val="Refdecomentrio"/>
        </w:rPr>
        <w:annotationRef/>
      </w:r>
      <w:r>
        <w:rPr>
          <w:color w:val="0F172A"/>
          <w:highlight w:val="white"/>
        </w:rPr>
        <w:t>Art. 17. A portabilidade de carências deverá ser formalizada diretamente na operadora do plano de destino ou na administradora de benefícios responsável pelo plano de destino, ocasião em que deverá ser disponibilizada a proposta de adesão para assinatura do beneficiário, estando a solicitação de portabilidade sujeita à recusa no prazo de 10 (dez) dias.</w:t>
      </w:r>
    </w:p>
    <w:p w14:paraId="4259F598" w14:textId="77777777" w:rsidR="00915CEC" w:rsidRDefault="00915CEC" w:rsidP="00915CEC">
      <w:pPr>
        <w:pStyle w:val="Textodecomentrio"/>
      </w:pPr>
      <w:r>
        <w:rPr>
          <w:color w:val="0F172A"/>
          <w:highlight w:val="white"/>
        </w:rPr>
        <w:t>Parágrafo único. Caso o beneficiário não atenda aos requisitos previstos nesta Resolução, a operadora do plano de destino ou a administradora de benefícios responsável pelo plano de destino poderá recusar a solicitação de portabilidade de carências, desde que apresente a devida justificativa.</w:t>
      </w:r>
    </w:p>
  </w:comment>
  <w:comment w:id="24" w:author="Assessor GDSXSR" w:date="2026-10-29T19:57:00Z" w:initials="RG">
    <w:p w14:paraId="4935DA08" w14:textId="77777777" w:rsidR="003B1726" w:rsidRDefault="00000000">
      <w:r>
        <w:t>ASSESSOR GDSXSR — Enxuguei os três parágrafos da RN ANS 438 em dois (C-02). O texto literal dos arts. 3º, II, e 17, parágrafo único, está nos comentários de Marcos.</w:t>
      </w:r>
      <w:r/>
    </w:p>
  </w:comment>
  <w:comment w:id="25" w:author="Assessor GDSXSR" w:date="2026-10-29T19:57:00Z" w:initials="RG">
    <w:p w14:paraId="31FA5287" w14:textId="77777777" w:rsidR="003B1726" w:rsidRDefault="00000000">
      <w:r>
        <w:t>ASSESSOR GDSXSR — Precedente conferido no iajus pelo número do processo (0758754-34.2024.8.07.0016): a ementa confere. Mantive só o item 6 (portabilidade sem documento que ateste a adimplência) e cortei os itens 1, 5 e 7, com "(...)" (C-02, C-62). Pendência: número do acórdão (2005667) e DJe (13/06/2025) não confirmados (ver comentário da ementa).</w:t>
      </w:r>
      <w:r/>
    </w:p>
  </w:comment>
  <w:comment w:id="26" w:author="Assessor GDSXSR" w:date="2026-10-29T19:57:00Z" w:initials="RG">
    <w:p w14:paraId="6B3CD4EA" w14:textId="77777777" w:rsidR="003B1726" w:rsidRDefault="00000000">
      <w:r>
        <w:annotationRef/>
      </w:r>
      <w:r>
        <w:t>ASSESSOR GDSXSR — Acrescentei parágrafo em bloco sobre os precedentes invocados no apelo (perfil APC). Pendência (C-72, C-52): o AgInt no AREsp 1845231/SP, o TJSP 1002341-89.2021.8.26.0100 e o TJRJ 0045212-32.2020.8.19.0001 não foram localizados no iajus; a descrição se apoia só nas ementas transcritas no apelo (ID 88637491), e a conferência nos portais fica para você. Notificação de 23/05/2023: e-mail de cobrança (ID 88637464) e carta de 11/05/2023 (ID 88637465), conferidos.</w:t>
      </w:r>
    </w:p>
  </w:comment>
  <w:comment w:id="27" w:author="Assessor GDSXSR" w:date="2026-10-29T19:57:00Z" w:initials="RG">
    <w:p w14:paraId="17C106FA" w14:textId="77777777" w:rsidR="003B1726" w:rsidRDefault="00000000">
      <w:r>
        <w:annotationRef/>
      </w:r>
      <w:r>
        <w:t>ASSESSOR GDSXSR — Valor da condenação (C-51): R$ 12.285,76, valor nominal fixado na sentença (ID 88637481), sem atualização; a base é a mesma da sentença. A ré não tem gratuidade (recolheu o preparo, ID 88637490), então não há suspensão da exigibilidade.</w:t>
      </w:r>
    </w:p>
  </w:comment>
  <w:comment w:id="28" w:author="Assessor GDSXSR" w:date="2026-10-29T19:57:00Z" w:initials="RG">
    <w:p w14:paraId="633562EF" w14:textId="77777777" w:rsidR="003B1726" w:rsidRDefault="00000000">
      <w:r>
        <w:annotationRef/>
      </w:r>
      <w:r>
        <w:t>ASSESSOR GDSXSR — Capítulo de custas e honorários da r. sentença, literal (C-51): “Condeno a requerida ao pagamento das custas processuais e dos honorários advocatícios, que fixo em 10% (dez por cento) sobre o valor atualizado da condenação, nos termos do art. 85, § 2º, do Código de Processo Civil.” O percentual de 2% é decisão do Relator e foi mantido.</w:t>
      </w:r>
    </w:p>
  </w:comment>
  <w:comment w:id="29" w:author="Assessor GDSXSR" w:initials="RG" w:date="2026-10-29T20:36:24Z">
    <w:p>
      <w:pPr>
        <w:pStyle w:val="CommentText"/>
      </w:pPr>
      <w:r>
        <w:rPr>
          <w:rStyle w:val="CommentReference"/>
        </w:rPr>
        <w:annotationRef/>
      </w:r>
      <w:r>
        <w:t>ASSESSOR GDSXSR — Enxuguei a ementa em cerca de 20% (do cabeçalho aos itens de razões), sem alterar resultado, premissas nem referências (C-02, C-33). Cabeçalho: de 49 para 36 palavras.</w:t>
      </w:r>
    </w:p>
  </w:comment>
  <w:comment w:id="30" w:author="Assessor GDSXSR" w:initials="RG" w:date="2026-10-29T20:36:24Z">
    <w:p>
      <w:pPr>
        <w:pStyle w:val="CommentText"/>
      </w:pPr>
      <w:r>
        <w:rPr>
          <w:rStyle w:val="CommentReference"/>
        </w:rPr>
        <w:annotationRef/>
      </w:r>
      <w:r>
        <w:t>ASSESSOR GDSXSR — Enxuguei a fundamentação em cerca de 40% sobre a sua versão (de 1.039 para cerca de 600 palavras, do título do capítulo à conclusão), sem alterar resultado, premissas, IDs nem a transcrição da Súmula 608, da carta (ID 88637463) e do CC 320 (C-02, C-03). Cortes: transcrição do CPC 373 (literal no comentário), três parágrafos da RN 438 reduzidos a dois, precedente reduzido ao item 6 e fusão de parágrafos de uma só ideia (C-11).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48DA02E" w15:done="0"/>
  <w15:commentEx w15:paraId="4C116AAE" w15:paraIdParent="448DA02E" w15:done="0"/>
  <w15:commentEx w15:paraId="4A065D74" w15:paraIdParent="448DA02E" w15:done="0"/>
  <w15:commentEx w15:paraId="24CCF3F6" w15:paraIdParent="448DA02E" w15:done="0"/>
  <w15:commentEx w15:paraId="18E006DB" w15:done="0"/>
  <w15:commentEx w15:paraId="6573B761" w15:done="0"/>
  <w15:commentEx w15:paraId="2584C19A" w15:done="0"/>
  <w15:commentEx w15:paraId="234EEA71" w15:done="0"/>
  <w15:commentEx w15:paraId="454A335D" w15:done="0"/>
  <w15:commentEx w15:paraId="4EE3054E" w15:done="0"/>
  <w15:commentEx w15:paraId="458C65C3" w15:done="0"/>
  <w15:commentEx w15:paraId="213C78FD" w15:done="0"/>
  <w15:commentEx w15:paraId="27FA3CF5" w15:done="0"/>
  <w15:commentEx w15:paraId="46013B93" w15:done="0"/>
  <w15:commentEx w15:paraId="38575590" w15:done="0"/>
  <w15:commentEx w15:paraId="097A4304" w15:done="0"/>
  <w15:commentEx w15:paraId="3269B1CB" w15:done="0"/>
  <w15:commentEx w15:paraId="1BD67B36" w15:done="0"/>
  <w15:commentEx w15:paraId="47FBA6BE" w15:done="0"/>
  <w15:commentEx w15:paraId="0E417E84" w15:done="0"/>
  <w15:commentEx w15:paraId="019F54C4" w15:done="0"/>
  <w15:commentEx w15:paraId="58838944" w15:done="0"/>
  <w15:commentEx w15:paraId="44D59A01" w15:done="0"/>
  <w15:commentEx w15:paraId="4259F598" w15:done="0"/>
  <w15:commentEx w15:paraId="4935DA08" w15:done="0"/>
  <w15:commentEx w15:paraId="31FA5287" w15:done="0"/>
  <w15:commentEx w15:paraId="6B3CD4EA" w15:done="0"/>
  <w15:commentEx w15:paraId="17C106FA" w15:done="0"/>
  <w15:commentEx w15:paraId="633562E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CC4A47" w16cex:dateUtc="2025-09-01T16:19:00Z"/>
  <w16cex:commentExtensible w16cex:durableId="219103AB" w16cex:dateUtc="2026-07-15T20:23:00Z"/>
  <w16cex:commentExtensible w16cex:durableId="431758AA" w16cex:dateUtc="2026-09-09T18:25:00Z"/>
  <w16cex:commentExtensible w16cex:durableId="1396DD25" w16cex:dateUtc="2026-10-29T20:33:00Z"/>
  <w16cex:commentExtensible w16cex:durableId="3AF07830" w16cex:dateUtc="2026-10-29T20:28:00Z"/>
  <w16cex:commentExtensible w16cex:durableId="1B6EAF4D" w16cex:dateUtc="2026-10-29T20:27:00Z"/>
  <w16cex:commentExtensible w16cex:durableId="15EFD54A" w16cex:dateUtc="2026-10-29T20:28:00Z"/>
  <w16cex:commentExtensible w16cex:durableId="46013B93">
    <w16cex:extLst>
      <w16:ext w16:uri="{CE6994B0-6A32-4C9F-8C6B-6E91EDA988CE}">
        <cr:reactions xmlns:cr="http://schemas.microsoft.com/office/comments/2020/reactions">
          <cr:reaction reactionType="1">
            <cr:reactionInfo dateUtc="2026-10-29T20:29:14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097A4304">
    <w16cex:extLst>
      <w16:ext w16:uri="{CE6994B0-6A32-4C9F-8C6B-6E91EDA988CE}">
        <cr:reactions xmlns:cr="http://schemas.microsoft.com/office/comments/2020/reactions">
          <cr:reaction reactionType="1">
            <cr:reactionInfo dateUtc="2026-10-29T20:29:29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3269B1CB">
    <w16cex:extLst>
      <w16:ext w16:uri="{CE6994B0-6A32-4C9F-8C6B-6E91EDA988CE}">
        <cr:reactions xmlns:cr="http://schemas.microsoft.com/office/comments/2020/reactions">
          <cr:reaction reactionType="1">
            <cr:reactionInfo dateUtc="2026-10-29T20:29:39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1BD67B36">
    <w16cex:extLst>
      <w16:ext w16:uri="{CE6994B0-6A32-4C9F-8C6B-6E91EDA988CE}">
        <cr:reactions xmlns:cr="http://schemas.microsoft.com/office/comments/2020/reactions">
          <cr:reaction reactionType="1">
            <cr:reactionInfo dateUtc="2026-10-29T20:29:47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03BDC370" w16cex:dateUtc="2026-09-08T20:30:00Z">
    <w16cex:extLst>
      <w16:ext w16:uri="{CE6994B0-6A32-4C9F-8C6B-6E91EDA988CE}">
        <cr:reactions xmlns:cr="http://schemas.microsoft.com/office/comments/2020/reactions">
          <cr:reaction reactionType="1">
            <cr:reactionInfo dateUtc="2026-10-29T20:29:55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7E4F4AA9" w16cex:dateUtc="2026-10-29T20:31:00Z"/>
  <w16cex:commentExtensible w16cex:durableId="44E124C3" w16cex:dateUtc="2026-10-29T20:31:00Z"/>
  <w16cex:commentExtensible w16cex:durableId="31FA5287">
    <w16cex:extLst>
      <w16:ext w16:uri="{CE6994B0-6A32-4C9F-8C6B-6E91EDA988CE}">
        <cr:reactions xmlns:cr="http://schemas.microsoft.com/office/comments/2020/reactions">
          <cr:reaction reactionType="1">
            <cr:reactionInfo dateUtc="2026-10-29T20:31:30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17C106FA">
    <w16cex:extLst>
      <w16:ext w16:uri="{CE6994B0-6A32-4C9F-8C6B-6E91EDA988CE}">
        <cr:reactions xmlns:cr="http://schemas.microsoft.com/office/comments/2020/reactions">
          <cr:reaction reactionType="1">
            <cr:reactionInfo dateUtc="2026-10-29T20:32:33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48DA02E" w16cid:durableId="22CC4A47"/>
  <w16cid:commentId w16cid:paraId="4C116AAE" w16cid:durableId="219103AB"/>
  <w16cid:commentId w16cid:paraId="4A065D74" w16cid:durableId="431758AA"/>
  <w16cid:commentId w16cid:paraId="24CCF3F6" w16cid:durableId="1396DD25"/>
  <w16cid:commentId w16cid:paraId="18E006DB" w16cid:durableId="18E006DB"/>
  <w16cid:commentId w16cid:paraId="6573B761" w16cid:durableId="6573B761"/>
  <w16cid:commentId w16cid:paraId="2584C19A" w16cid:durableId="2584C19A"/>
  <w16cid:commentId w16cid:paraId="234EEA71" w16cid:durableId="234EEA71"/>
  <w16cid:commentId w16cid:paraId="454A335D" w16cid:durableId="3AF07830"/>
  <w16cid:commentId w16cid:paraId="4EE3054E" w16cid:durableId="1B6EAF4D"/>
  <w16cid:commentId w16cid:paraId="458C65C3" w16cid:durableId="15EFD54A"/>
  <w16cid:commentId w16cid:paraId="213C78FD" w16cid:durableId="213C78FD"/>
  <w16cid:commentId w16cid:paraId="27FA3CF5" w16cid:durableId="27FA3CF5"/>
  <w16cid:commentId w16cid:paraId="46013B93" w16cid:durableId="46013B93"/>
  <w16cid:commentId w16cid:paraId="38575590" w16cid:durableId="38575590"/>
  <w16cid:commentId w16cid:paraId="097A4304" w16cid:durableId="097A4304"/>
  <w16cid:commentId w16cid:paraId="3269B1CB" w16cid:durableId="3269B1CB"/>
  <w16cid:commentId w16cid:paraId="1BD67B36" w16cid:durableId="1BD67B36"/>
  <w16cid:commentId w16cid:paraId="47FBA6BE" w16cid:durableId="03BDC370"/>
  <w16cid:commentId w16cid:paraId="0E417E84" w16cid:durableId="0E417E84"/>
  <w16cid:commentId w16cid:paraId="019F54C4" w16cid:durableId="019F54C4"/>
  <w16cid:commentId w16cid:paraId="58838944" w16cid:durableId="58838944"/>
  <w16cid:commentId w16cid:paraId="44D59A01" w16cid:durableId="7E4F4AA9"/>
  <w16cid:commentId w16cid:paraId="4259F598" w16cid:durableId="44E124C3"/>
  <w16cid:commentId w16cid:paraId="4935DA08" w16cid:durableId="4935DA08"/>
  <w16cid:commentId w16cid:paraId="31FA5287" w16cid:durableId="31FA5287"/>
  <w16cid:commentId w16cid:paraId="6B3CD4EA" w16cid:durableId="6B3CD4EA"/>
  <w16cid:commentId w16cid:paraId="17C106FA" w16cid:durableId="17C106FA"/>
  <w16cid:commentId w16cid:paraId="633562EF" w16cid:durableId="633562E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1A518" w14:textId="77777777" w:rsidR="005E78DA" w:rsidRDefault="005E78DA" w:rsidP="003A42DE">
      <w:pPr>
        <w:spacing w:after="0" w:line="240" w:lineRule="auto"/>
      </w:pPr>
      <w:r>
        <w:separator/>
      </w:r>
    </w:p>
  </w:endnote>
  <w:endnote w:type="continuationSeparator" w:id="0">
    <w:p w14:paraId="0C57E8CE" w14:textId="77777777" w:rsidR="005E78DA" w:rsidRDefault="005E78DA" w:rsidP="003A4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394580"/>
      <w:docPartObj>
        <w:docPartGallery w:val="Page Numbers (Bottom of Page)"/>
        <w:docPartUnique/>
      </w:docPartObj>
    </w:sdtPr>
    <w:sdtContent>
      <w:p w14:paraId="4A86AAF9" w14:textId="77777777" w:rsidR="003A42DE" w:rsidRDefault="003A42DE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59F42A" w14:textId="77777777" w:rsidR="003A42DE" w:rsidRDefault="003A42D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BADA5" w14:textId="77777777" w:rsidR="005E78DA" w:rsidRDefault="005E78DA" w:rsidP="003A42DE">
      <w:pPr>
        <w:spacing w:after="0" w:line="240" w:lineRule="auto"/>
      </w:pPr>
      <w:r>
        <w:separator/>
      </w:r>
    </w:p>
  </w:footnote>
  <w:footnote w:type="continuationSeparator" w:id="0">
    <w:p w14:paraId="144851DB" w14:textId="77777777" w:rsidR="005E78DA" w:rsidRDefault="005E78DA" w:rsidP="003A42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B61C7"/>
    <w:multiLevelType w:val="hybridMultilevel"/>
    <w:tmpl w:val="9D3E05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5F7516"/>
    <w:multiLevelType w:val="hybridMultilevel"/>
    <w:tmpl w:val="21B814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E62D1F"/>
    <w:multiLevelType w:val="hybridMultilevel"/>
    <w:tmpl w:val="5E265B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4879A6"/>
    <w:multiLevelType w:val="hybridMultilevel"/>
    <w:tmpl w:val="DE68D2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B04E57"/>
    <w:multiLevelType w:val="hybridMultilevel"/>
    <w:tmpl w:val="63CE71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2040057">
    <w:abstractNumId w:val="1"/>
  </w:num>
  <w:num w:numId="2" w16cid:durableId="1365403601">
    <w:abstractNumId w:val="0"/>
  </w:num>
  <w:num w:numId="3" w16cid:durableId="1699744316">
    <w:abstractNumId w:val="4"/>
  </w:num>
  <w:num w:numId="4" w16cid:durableId="1036810075">
    <w:abstractNumId w:val="2"/>
  </w:num>
  <w:num w:numId="5" w16cid:durableId="1881167072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cos Dwayne Saraiva Costa - GDSXSR">
    <w15:presenceInfo w15:providerId="AD" w15:userId="S::t321760@tjdft.jus.br::71ef89ef-9eb5-4780-8a4d-3f3a792db9c6"/>
  </w15:person>
  <w15:person w15:author="Gabriel Passos Sesana - GDACA">
    <w15:presenceInfo w15:providerId="AD" w15:userId="S::t318556@tjdft.jus.br::98268d75-773c-423e-bbc3-55d5340811be"/>
  </w15:person>
  <w15:person w15:author="Marcia Vilela Alves - GDACA">
    <w15:presenceInfo w15:providerId="AD" w15:userId="S::t308703@tjdft.jus.br::7a63abfe-b68b-4abc-8a9c-163dd7d9a18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398"/>
    <w:rsid w:val="00004C11"/>
    <w:rsid w:val="000112A8"/>
    <w:rsid w:val="00012123"/>
    <w:rsid w:val="0002189B"/>
    <w:rsid w:val="0002738F"/>
    <w:rsid w:val="00033421"/>
    <w:rsid w:val="00033AFD"/>
    <w:rsid w:val="00041EF8"/>
    <w:rsid w:val="0004253A"/>
    <w:rsid w:val="00043EAF"/>
    <w:rsid w:val="000511A1"/>
    <w:rsid w:val="0005271C"/>
    <w:rsid w:val="00052AE3"/>
    <w:rsid w:val="00052F25"/>
    <w:rsid w:val="0006080C"/>
    <w:rsid w:val="000619E0"/>
    <w:rsid w:val="00063145"/>
    <w:rsid w:val="00064301"/>
    <w:rsid w:val="00076D7D"/>
    <w:rsid w:val="0009174A"/>
    <w:rsid w:val="00091ABC"/>
    <w:rsid w:val="000949E5"/>
    <w:rsid w:val="00097239"/>
    <w:rsid w:val="00097BBF"/>
    <w:rsid w:val="000A7009"/>
    <w:rsid w:val="000B0FC6"/>
    <w:rsid w:val="000B7AF7"/>
    <w:rsid w:val="000D0D30"/>
    <w:rsid w:val="000D2E62"/>
    <w:rsid w:val="000D59B2"/>
    <w:rsid w:val="000F1358"/>
    <w:rsid w:val="000F1817"/>
    <w:rsid w:val="000F1CB2"/>
    <w:rsid w:val="000F6570"/>
    <w:rsid w:val="001009CC"/>
    <w:rsid w:val="0011527A"/>
    <w:rsid w:val="00115458"/>
    <w:rsid w:val="00115569"/>
    <w:rsid w:val="00116FEE"/>
    <w:rsid w:val="00122133"/>
    <w:rsid w:val="001234B7"/>
    <w:rsid w:val="00125329"/>
    <w:rsid w:val="001254C0"/>
    <w:rsid w:val="00126492"/>
    <w:rsid w:val="00127B92"/>
    <w:rsid w:val="00131A63"/>
    <w:rsid w:val="00137A7E"/>
    <w:rsid w:val="00137BF8"/>
    <w:rsid w:val="00146FCB"/>
    <w:rsid w:val="0015056C"/>
    <w:rsid w:val="00151611"/>
    <w:rsid w:val="001530F2"/>
    <w:rsid w:val="0015424D"/>
    <w:rsid w:val="00155D15"/>
    <w:rsid w:val="00161CD2"/>
    <w:rsid w:val="00166B65"/>
    <w:rsid w:val="001676A4"/>
    <w:rsid w:val="00167F3A"/>
    <w:rsid w:val="00170999"/>
    <w:rsid w:val="001801E9"/>
    <w:rsid w:val="00183B77"/>
    <w:rsid w:val="001A09B8"/>
    <w:rsid w:val="001A22A7"/>
    <w:rsid w:val="001A2AD2"/>
    <w:rsid w:val="001B4E33"/>
    <w:rsid w:val="001C23B1"/>
    <w:rsid w:val="001C466B"/>
    <w:rsid w:val="001D2162"/>
    <w:rsid w:val="001E0D41"/>
    <w:rsid w:val="001E0DAC"/>
    <w:rsid w:val="001E0FEA"/>
    <w:rsid w:val="001E4974"/>
    <w:rsid w:val="001E7903"/>
    <w:rsid w:val="001F7DBA"/>
    <w:rsid w:val="00200A76"/>
    <w:rsid w:val="00203B1D"/>
    <w:rsid w:val="0020478E"/>
    <w:rsid w:val="00206304"/>
    <w:rsid w:val="002126F1"/>
    <w:rsid w:val="00214D24"/>
    <w:rsid w:val="0021526A"/>
    <w:rsid w:val="00225F15"/>
    <w:rsid w:val="002264F2"/>
    <w:rsid w:val="00232EEB"/>
    <w:rsid w:val="002437F6"/>
    <w:rsid w:val="0024665A"/>
    <w:rsid w:val="00253AA1"/>
    <w:rsid w:val="00254B87"/>
    <w:rsid w:val="00254E51"/>
    <w:rsid w:val="00264107"/>
    <w:rsid w:val="00273083"/>
    <w:rsid w:val="0027313A"/>
    <w:rsid w:val="002745A1"/>
    <w:rsid w:val="00274644"/>
    <w:rsid w:val="00277029"/>
    <w:rsid w:val="0028319F"/>
    <w:rsid w:val="0028363E"/>
    <w:rsid w:val="00284625"/>
    <w:rsid w:val="00284BC6"/>
    <w:rsid w:val="00287C4C"/>
    <w:rsid w:val="00291367"/>
    <w:rsid w:val="002926F9"/>
    <w:rsid w:val="00292E82"/>
    <w:rsid w:val="00296DAE"/>
    <w:rsid w:val="002A023C"/>
    <w:rsid w:val="002A2038"/>
    <w:rsid w:val="002A3D11"/>
    <w:rsid w:val="002A5205"/>
    <w:rsid w:val="002B1184"/>
    <w:rsid w:val="002B210E"/>
    <w:rsid w:val="002B35FE"/>
    <w:rsid w:val="002C0DB7"/>
    <w:rsid w:val="002C2464"/>
    <w:rsid w:val="002C42D2"/>
    <w:rsid w:val="002D127E"/>
    <w:rsid w:val="002D2D56"/>
    <w:rsid w:val="002D3FF3"/>
    <w:rsid w:val="002D5E8C"/>
    <w:rsid w:val="002F13AB"/>
    <w:rsid w:val="002F4C59"/>
    <w:rsid w:val="002F7666"/>
    <w:rsid w:val="00302029"/>
    <w:rsid w:val="00302C28"/>
    <w:rsid w:val="00303FAE"/>
    <w:rsid w:val="00305D27"/>
    <w:rsid w:val="0031063D"/>
    <w:rsid w:val="00312291"/>
    <w:rsid w:val="00316B1F"/>
    <w:rsid w:val="00321068"/>
    <w:rsid w:val="00323779"/>
    <w:rsid w:val="00323D27"/>
    <w:rsid w:val="00327D45"/>
    <w:rsid w:val="003343F9"/>
    <w:rsid w:val="0033495F"/>
    <w:rsid w:val="0033735F"/>
    <w:rsid w:val="0034247B"/>
    <w:rsid w:val="00343C5C"/>
    <w:rsid w:val="0034511C"/>
    <w:rsid w:val="00345813"/>
    <w:rsid w:val="00346965"/>
    <w:rsid w:val="00347818"/>
    <w:rsid w:val="00351653"/>
    <w:rsid w:val="003524E5"/>
    <w:rsid w:val="00352D66"/>
    <w:rsid w:val="00354AA2"/>
    <w:rsid w:val="00355C73"/>
    <w:rsid w:val="003624B4"/>
    <w:rsid w:val="00370C48"/>
    <w:rsid w:val="003717FC"/>
    <w:rsid w:val="003749AB"/>
    <w:rsid w:val="0037617E"/>
    <w:rsid w:val="00383E74"/>
    <w:rsid w:val="003A42DE"/>
    <w:rsid w:val="003A4E55"/>
    <w:rsid w:val="003A539B"/>
    <w:rsid w:val="003B1726"/>
    <w:rsid w:val="003B3398"/>
    <w:rsid w:val="003C6B16"/>
    <w:rsid w:val="003D11BE"/>
    <w:rsid w:val="003D11E1"/>
    <w:rsid w:val="003D3FEE"/>
    <w:rsid w:val="003E436D"/>
    <w:rsid w:val="003F32F6"/>
    <w:rsid w:val="003F4892"/>
    <w:rsid w:val="003F48BC"/>
    <w:rsid w:val="00403F12"/>
    <w:rsid w:val="00413928"/>
    <w:rsid w:val="00423538"/>
    <w:rsid w:val="004341B4"/>
    <w:rsid w:val="00441258"/>
    <w:rsid w:val="00445ED9"/>
    <w:rsid w:val="00447991"/>
    <w:rsid w:val="00451A6D"/>
    <w:rsid w:val="00465A25"/>
    <w:rsid w:val="0047216B"/>
    <w:rsid w:val="00474377"/>
    <w:rsid w:val="004762F1"/>
    <w:rsid w:val="00480A33"/>
    <w:rsid w:val="00485185"/>
    <w:rsid w:val="004873E8"/>
    <w:rsid w:val="00495EB5"/>
    <w:rsid w:val="00496EB5"/>
    <w:rsid w:val="004B2A9C"/>
    <w:rsid w:val="004C0465"/>
    <w:rsid w:val="004C15CC"/>
    <w:rsid w:val="004C591E"/>
    <w:rsid w:val="004C7418"/>
    <w:rsid w:val="004D11F3"/>
    <w:rsid w:val="004E7369"/>
    <w:rsid w:val="004F3097"/>
    <w:rsid w:val="004F4FD4"/>
    <w:rsid w:val="00504971"/>
    <w:rsid w:val="00506A7D"/>
    <w:rsid w:val="00506D76"/>
    <w:rsid w:val="005111CC"/>
    <w:rsid w:val="00511630"/>
    <w:rsid w:val="00517F10"/>
    <w:rsid w:val="00523D82"/>
    <w:rsid w:val="00525FCB"/>
    <w:rsid w:val="00530C7C"/>
    <w:rsid w:val="00531A65"/>
    <w:rsid w:val="005320CC"/>
    <w:rsid w:val="00532E4A"/>
    <w:rsid w:val="005435A2"/>
    <w:rsid w:val="005500F2"/>
    <w:rsid w:val="0055172B"/>
    <w:rsid w:val="005571B1"/>
    <w:rsid w:val="00557342"/>
    <w:rsid w:val="00560427"/>
    <w:rsid w:val="00564DA7"/>
    <w:rsid w:val="00573C5D"/>
    <w:rsid w:val="0057620D"/>
    <w:rsid w:val="00576A45"/>
    <w:rsid w:val="0057726B"/>
    <w:rsid w:val="00586EB6"/>
    <w:rsid w:val="005925FC"/>
    <w:rsid w:val="0059689A"/>
    <w:rsid w:val="00597864"/>
    <w:rsid w:val="005A1443"/>
    <w:rsid w:val="005A1581"/>
    <w:rsid w:val="005A1AD9"/>
    <w:rsid w:val="005B3D8D"/>
    <w:rsid w:val="005B7851"/>
    <w:rsid w:val="005B7C2E"/>
    <w:rsid w:val="005C31C4"/>
    <w:rsid w:val="005C69F8"/>
    <w:rsid w:val="005D305E"/>
    <w:rsid w:val="005D4577"/>
    <w:rsid w:val="005E3F4E"/>
    <w:rsid w:val="005E5A03"/>
    <w:rsid w:val="005E78DA"/>
    <w:rsid w:val="005E7C7A"/>
    <w:rsid w:val="005F58C7"/>
    <w:rsid w:val="00601B09"/>
    <w:rsid w:val="0060333D"/>
    <w:rsid w:val="00611216"/>
    <w:rsid w:val="0061262D"/>
    <w:rsid w:val="00615051"/>
    <w:rsid w:val="00615A72"/>
    <w:rsid w:val="00615F11"/>
    <w:rsid w:val="006205E2"/>
    <w:rsid w:val="006226C6"/>
    <w:rsid w:val="006255CC"/>
    <w:rsid w:val="00632EAA"/>
    <w:rsid w:val="00633703"/>
    <w:rsid w:val="0063376A"/>
    <w:rsid w:val="00634358"/>
    <w:rsid w:val="00634A73"/>
    <w:rsid w:val="006351F4"/>
    <w:rsid w:val="00635215"/>
    <w:rsid w:val="00635527"/>
    <w:rsid w:val="00636971"/>
    <w:rsid w:val="00637DEB"/>
    <w:rsid w:val="00641BB6"/>
    <w:rsid w:val="00644E6C"/>
    <w:rsid w:val="006509E2"/>
    <w:rsid w:val="0065266B"/>
    <w:rsid w:val="00652F61"/>
    <w:rsid w:val="00661CF3"/>
    <w:rsid w:val="006634B1"/>
    <w:rsid w:val="006658A2"/>
    <w:rsid w:val="00674B26"/>
    <w:rsid w:val="00676D2E"/>
    <w:rsid w:val="00685D54"/>
    <w:rsid w:val="00686C60"/>
    <w:rsid w:val="00687DB5"/>
    <w:rsid w:val="006921E1"/>
    <w:rsid w:val="006925EC"/>
    <w:rsid w:val="00693B0D"/>
    <w:rsid w:val="006968EA"/>
    <w:rsid w:val="006A20E6"/>
    <w:rsid w:val="006A58AD"/>
    <w:rsid w:val="006B08B9"/>
    <w:rsid w:val="006B2A89"/>
    <w:rsid w:val="006B344E"/>
    <w:rsid w:val="006B37FB"/>
    <w:rsid w:val="006B555B"/>
    <w:rsid w:val="006B6799"/>
    <w:rsid w:val="006C6E29"/>
    <w:rsid w:val="006D07B9"/>
    <w:rsid w:val="006D0993"/>
    <w:rsid w:val="006D3824"/>
    <w:rsid w:val="006D595E"/>
    <w:rsid w:val="006D71F1"/>
    <w:rsid w:val="006E6449"/>
    <w:rsid w:val="006F4523"/>
    <w:rsid w:val="006F725D"/>
    <w:rsid w:val="006F7717"/>
    <w:rsid w:val="00711FE9"/>
    <w:rsid w:val="0071280C"/>
    <w:rsid w:val="00712DAD"/>
    <w:rsid w:val="00716EF2"/>
    <w:rsid w:val="00726567"/>
    <w:rsid w:val="007272DD"/>
    <w:rsid w:val="00730597"/>
    <w:rsid w:val="00730800"/>
    <w:rsid w:val="00732EE4"/>
    <w:rsid w:val="00744BDF"/>
    <w:rsid w:val="00747176"/>
    <w:rsid w:val="00751971"/>
    <w:rsid w:val="0076369E"/>
    <w:rsid w:val="00765709"/>
    <w:rsid w:val="00770E7F"/>
    <w:rsid w:val="00771BB0"/>
    <w:rsid w:val="00775074"/>
    <w:rsid w:val="0077693D"/>
    <w:rsid w:val="0077719E"/>
    <w:rsid w:val="00777828"/>
    <w:rsid w:val="0078019D"/>
    <w:rsid w:val="00782446"/>
    <w:rsid w:val="007844F9"/>
    <w:rsid w:val="00785806"/>
    <w:rsid w:val="007868D7"/>
    <w:rsid w:val="00790563"/>
    <w:rsid w:val="00791D48"/>
    <w:rsid w:val="0079553F"/>
    <w:rsid w:val="007A3F4D"/>
    <w:rsid w:val="007B265E"/>
    <w:rsid w:val="007C0FEF"/>
    <w:rsid w:val="007C196D"/>
    <w:rsid w:val="007C250E"/>
    <w:rsid w:val="007C264C"/>
    <w:rsid w:val="007C4990"/>
    <w:rsid w:val="007D00F1"/>
    <w:rsid w:val="007D27C7"/>
    <w:rsid w:val="007D3BA7"/>
    <w:rsid w:val="007D4432"/>
    <w:rsid w:val="007E1C8C"/>
    <w:rsid w:val="007E3BF9"/>
    <w:rsid w:val="007F0F43"/>
    <w:rsid w:val="007F4412"/>
    <w:rsid w:val="007F4468"/>
    <w:rsid w:val="007F7839"/>
    <w:rsid w:val="00800051"/>
    <w:rsid w:val="00804386"/>
    <w:rsid w:val="008134CE"/>
    <w:rsid w:val="008151BB"/>
    <w:rsid w:val="008235A6"/>
    <w:rsid w:val="00825BFF"/>
    <w:rsid w:val="00830B18"/>
    <w:rsid w:val="008407E1"/>
    <w:rsid w:val="008509A1"/>
    <w:rsid w:val="0085425F"/>
    <w:rsid w:val="00855D1C"/>
    <w:rsid w:val="008568A8"/>
    <w:rsid w:val="00857DD7"/>
    <w:rsid w:val="00863202"/>
    <w:rsid w:val="0086390F"/>
    <w:rsid w:val="00864389"/>
    <w:rsid w:val="008713D5"/>
    <w:rsid w:val="00874B10"/>
    <w:rsid w:val="008763B7"/>
    <w:rsid w:val="00877CCC"/>
    <w:rsid w:val="00877F2B"/>
    <w:rsid w:val="008809C2"/>
    <w:rsid w:val="00882188"/>
    <w:rsid w:val="00886ABA"/>
    <w:rsid w:val="008966E3"/>
    <w:rsid w:val="008A01E9"/>
    <w:rsid w:val="008A4445"/>
    <w:rsid w:val="008A49BC"/>
    <w:rsid w:val="008A56A3"/>
    <w:rsid w:val="008B20AB"/>
    <w:rsid w:val="008B45C4"/>
    <w:rsid w:val="008B4A41"/>
    <w:rsid w:val="008B62DA"/>
    <w:rsid w:val="008C29EA"/>
    <w:rsid w:val="008C306F"/>
    <w:rsid w:val="008C34E5"/>
    <w:rsid w:val="008C4183"/>
    <w:rsid w:val="008C641E"/>
    <w:rsid w:val="008D0C9F"/>
    <w:rsid w:val="008D4483"/>
    <w:rsid w:val="008D721A"/>
    <w:rsid w:val="008D7960"/>
    <w:rsid w:val="008E25DD"/>
    <w:rsid w:val="008E3A8C"/>
    <w:rsid w:val="008E5F86"/>
    <w:rsid w:val="008F1E98"/>
    <w:rsid w:val="008F43F4"/>
    <w:rsid w:val="008F4440"/>
    <w:rsid w:val="00900491"/>
    <w:rsid w:val="00904541"/>
    <w:rsid w:val="009056F9"/>
    <w:rsid w:val="009113EA"/>
    <w:rsid w:val="00911601"/>
    <w:rsid w:val="00915CEC"/>
    <w:rsid w:val="0092365E"/>
    <w:rsid w:val="0092538F"/>
    <w:rsid w:val="00927DC5"/>
    <w:rsid w:val="009300C5"/>
    <w:rsid w:val="00931BEC"/>
    <w:rsid w:val="00933600"/>
    <w:rsid w:val="00937017"/>
    <w:rsid w:val="009431B2"/>
    <w:rsid w:val="00945DCA"/>
    <w:rsid w:val="00945F73"/>
    <w:rsid w:val="00946FF7"/>
    <w:rsid w:val="009506E0"/>
    <w:rsid w:val="00951CAD"/>
    <w:rsid w:val="00962A91"/>
    <w:rsid w:val="009630FD"/>
    <w:rsid w:val="0096474A"/>
    <w:rsid w:val="00966A46"/>
    <w:rsid w:val="00972EF3"/>
    <w:rsid w:val="0097780C"/>
    <w:rsid w:val="009778A4"/>
    <w:rsid w:val="00981285"/>
    <w:rsid w:val="009904A4"/>
    <w:rsid w:val="0099680F"/>
    <w:rsid w:val="009A136D"/>
    <w:rsid w:val="009A37F4"/>
    <w:rsid w:val="009B02D8"/>
    <w:rsid w:val="009B41DE"/>
    <w:rsid w:val="009B7564"/>
    <w:rsid w:val="009C1026"/>
    <w:rsid w:val="009C116C"/>
    <w:rsid w:val="009C16BF"/>
    <w:rsid w:val="009C4045"/>
    <w:rsid w:val="009C6B23"/>
    <w:rsid w:val="009C7443"/>
    <w:rsid w:val="009D0BA0"/>
    <w:rsid w:val="009D1137"/>
    <w:rsid w:val="009E1D8D"/>
    <w:rsid w:val="009E28C0"/>
    <w:rsid w:val="009E3373"/>
    <w:rsid w:val="009E3BE9"/>
    <w:rsid w:val="009F2BB1"/>
    <w:rsid w:val="009F2F64"/>
    <w:rsid w:val="009F36E1"/>
    <w:rsid w:val="009F684C"/>
    <w:rsid w:val="009F759D"/>
    <w:rsid w:val="00A025C2"/>
    <w:rsid w:val="00A03057"/>
    <w:rsid w:val="00A05467"/>
    <w:rsid w:val="00A15528"/>
    <w:rsid w:val="00A2661C"/>
    <w:rsid w:val="00A31C13"/>
    <w:rsid w:val="00A32384"/>
    <w:rsid w:val="00A330C4"/>
    <w:rsid w:val="00A343DE"/>
    <w:rsid w:val="00A3449E"/>
    <w:rsid w:val="00A3595E"/>
    <w:rsid w:val="00A4195B"/>
    <w:rsid w:val="00A44A87"/>
    <w:rsid w:val="00A453A2"/>
    <w:rsid w:val="00A4720D"/>
    <w:rsid w:val="00A552B9"/>
    <w:rsid w:val="00A627C7"/>
    <w:rsid w:val="00A6481B"/>
    <w:rsid w:val="00A72414"/>
    <w:rsid w:val="00A77289"/>
    <w:rsid w:val="00A773CE"/>
    <w:rsid w:val="00A7778D"/>
    <w:rsid w:val="00A80091"/>
    <w:rsid w:val="00A80852"/>
    <w:rsid w:val="00A80FDB"/>
    <w:rsid w:val="00A8134A"/>
    <w:rsid w:val="00A83864"/>
    <w:rsid w:val="00A85EE2"/>
    <w:rsid w:val="00A87227"/>
    <w:rsid w:val="00A9296F"/>
    <w:rsid w:val="00A958AF"/>
    <w:rsid w:val="00A96CB3"/>
    <w:rsid w:val="00A97525"/>
    <w:rsid w:val="00AA1C23"/>
    <w:rsid w:val="00AA5CDB"/>
    <w:rsid w:val="00AA6D92"/>
    <w:rsid w:val="00AA7E81"/>
    <w:rsid w:val="00AB0BE9"/>
    <w:rsid w:val="00AB1DE4"/>
    <w:rsid w:val="00AB7E65"/>
    <w:rsid w:val="00AC12FA"/>
    <w:rsid w:val="00AC20E1"/>
    <w:rsid w:val="00AD204F"/>
    <w:rsid w:val="00AD3DBB"/>
    <w:rsid w:val="00AE47D7"/>
    <w:rsid w:val="00AE56A6"/>
    <w:rsid w:val="00AF1F15"/>
    <w:rsid w:val="00AF2476"/>
    <w:rsid w:val="00AF587B"/>
    <w:rsid w:val="00B030BB"/>
    <w:rsid w:val="00B04942"/>
    <w:rsid w:val="00B17310"/>
    <w:rsid w:val="00B238CB"/>
    <w:rsid w:val="00B30DAE"/>
    <w:rsid w:val="00B329E6"/>
    <w:rsid w:val="00B330A0"/>
    <w:rsid w:val="00B37DF5"/>
    <w:rsid w:val="00B41866"/>
    <w:rsid w:val="00B42E63"/>
    <w:rsid w:val="00B55BA5"/>
    <w:rsid w:val="00B5663B"/>
    <w:rsid w:val="00B5678F"/>
    <w:rsid w:val="00B606B1"/>
    <w:rsid w:val="00B60851"/>
    <w:rsid w:val="00B6575C"/>
    <w:rsid w:val="00B73FAD"/>
    <w:rsid w:val="00B74FB6"/>
    <w:rsid w:val="00B75D6D"/>
    <w:rsid w:val="00B75DC5"/>
    <w:rsid w:val="00B95CB8"/>
    <w:rsid w:val="00BA3360"/>
    <w:rsid w:val="00BA34F8"/>
    <w:rsid w:val="00BA541C"/>
    <w:rsid w:val="00BA65D0"/>
    <w:rsid w:val="00BA700C"/>
    <w:rsid w:val="00BB2608"/>
    <w:rsid w:val="00BB6749"/>
    <w:rsid w:val="00BB7B55"/>
    <w:rsid w:val="00BC647C"/>
    <w:rsid w:val="00BD56C3"/>
    <w:rsid w:val="00BD757A"/>
    <w:rsid w:val="00BE376C"/>
    <w:rsid w:val="00BE5A12"/>
    <w:rsid w:val="00BE5F9C"/>
    <w:rsid w:val="00BE75D7"/>
    <w:rsid w:val="00BF1494"/>
    <w:rsid w:val="00BF173F"/>
    <w:rsid w:val="00BF4637"/>
    <w:rsid w:val="00BF4903"/>
    <w:rsid w:val="00BF7139"/>
    <w:rsid w:val="00C00DEA"/>
    <w:rsid w:val="00C01659"/>
    <w:rsid w:val="00C02821"/>
    <w:rsid w:val="00C114AD"/>
    <w:rsid w:val="00C11601"/>
    <w:rsid w:val="00C12218"/>
    <w:rsid w:val="00C138A9"/>
    <w:rsid w:val="00C21B40"/>
    <w:rsid w:val="00C22469"/>
    <w:rsid w:val="00C22A70"/>
    <w:rsid w:val="00C249B8"/>
    <w:rsid w:val="00C33B77"/>
    <w:rsid w:val="00C341CF"/>
    <w:rsid w:val="00C35BE5"/>
    <w:rsid w:val="00C374FA"/>
    <w:rsid w:val="00C40A19"/>
    <w:rsid w:val="00C4378B"/>
    <w:rsid w:val="00C44921"/>
    <w:rsid w:val="00C4687B"/>
    <w:rsid w:val="00C54C8C"/>
    <w:rsid w:val="00C57E17"/>
    <w:rsid w:val="00C6664A"/>
    <w:rsid w:val="00C67598"/>
    <w:rsid w:val="00C711EA"/>
    <w:rsid w:val="00C76D71"/>
    <w:rsid w:val="00C77CFD"/>
    <w:rsid w:val="00C94119"/>
    <w:rsid w:val="00C971BE"/>
    <w:rsid w:val="00C979A4"/>
    <w:rsid w:val="00CA324E"/>
    <w:rsid w:val="00CB0848"/>
    <w:rsid w:val="00CB4E4C"/>
    <w:rsid w:val="00CB6D91"/>
    <w:rsid w:val="00CB7FF8"/>
    <w:rsid w:val="00CC3D56"/>
    <w:rsid w:val="00CC44FD"/>
    <w:rsid w:val="00CC7150"/>
    <w:rsid w:val="00CC7378"/>
    <w:rsid w:val="00CD2C92"/>
    <w:rsid w:val="00CE17BC"/>
    <w:rsid w:val="00CE2D6D"/>
    <w:rsid w:val="00CF0581"/>
    <w:rsid w:val="00CF247F"/>
    <w:rsid w:val="00D01E8A"/>
    <w:rsid w:val="00D04BD8"/>
    <w:rsid w:val="00D04D0A"/>
    <w:rsid w:val="00D07310"/>
    <w:rsid w:val="00D101EF"/>
    <w:rsid w:val="00D1067B"/>
    <w:rsid w:val="00D11340"/>
    <w:rsid w:val="00D12D71"/>
    <w:rsid w:val="00D135AB"/>
    <w:rsid w:val="00D14CE7"/>
    <w:rsid w:val="00D14D52"/>
    <w:rsid w:val="00D16EE6"/>
    <w:rsid w:val="00D17E79"/>
    <w:rsid w:val="00D21983"/>
    <w:rsid w:val="00D33EE9"/>
    <w:rsid w:val="00D34492"/>
    <w:rsid w:val="00D4104B"/>
    <w:rsid w:val="00D415F8"/>
    <w:rsid w:val="00D42B4A"/>
    <w:rsid w:val="00D47ED1"/>
    <w:rsid w:val="00D516B2"/>
    <w:rsid w:val="00D51D0D"/>
    <w:rsid w:val="00D52E56"/>
    <w:rsid w:val="00D57E55"/>
    <w:rsid w:val="00D63B3E"/>
    <w:rsid w:val="00D65DB2"/>
    <w:rsid w:val="00D66295"/>
    <w:rsid w:val="00D709D0"/>
    <w:rsid w:val="00D7279C"/>
    <w:rsid w:val="00D80481"/>
    <w:rsid w:val="00D80EBC"/>
    <w:rsid w:val="00D8318A"/>
    <w:rsid w:val="00D8334B"/>
    <w:rsid w:val="00D834FA"/>
    <w:rsid w:val="00D84490"/>
    <w:rsid w:val="00D85E07"/>
    <w:rsid w:val="00D93FCD"/>
    <w:rsid w:val="00DA5484"/>
    <w:rsid w:val="00DB1301"/>
    <w:rsid w:val="00DB342D"/>
    <w:rsid w:val="00DC71DB"/>
    <w:rsid w:val="00DE5D1E"/>
    <w:rsid w:val="00DF0654"/>
    <w:rsid w:val="00DF1B9C"/>
    <w:rsid w:val="00DF2670"/>
    <w:rsid w:val="00DF2730"/>
    <w:rsid w:val="00DF2FD3"/>
    <w:rsid w:val="00DF5AD8"/>
    <w:rsid w:val="00E04A1D"/>
    <w:rsid w:val="00E07B96"/>
    <w:rsid w:val="00E211F5"/>
    <w:rsid w:val="00E26735"/>
    <w:rsid w:val="00E30825"/>
    <w:rsid w:val="00E3769F"/>
    <w:rsid w:val="00E40579"/>
    <w:rsid w:val="00E437CF"/>
    <w:rsid w:val="00E44FF9"/>
    <w:rsid w:val="00E51ABD"/>
    <w:rsid w:val="00E53472"/>
    <w:rsid w:val="00E53CAF"/>
    <w:rsid w:val="00E57AF3"/>
    <w:rsid w:val="00E611E9"/>
    <w:rsid w:val="00E63CC0"/>
    <w:rsid w:val="00E647A0"/>
    <w:rsid w:val="00E64DB7"/>
    <w:rsid w:val="00E742F2"/>
    <w:rsid w:val="00E74EC1"/>
    <w:rsid w:val="00E806F5"/>
    <w:rsid w:val="00E807C6"/>
    <w:rsid w:val="00E86190"/>
    <w:rsid w:val="00E87018"/>
    <w:rsid w:val="00E87B28"/>
    <w:rsid w:val="00E91CD1"/>
    <w:rsid w:val="00E93232"/>
    <w:rsid w:val="00E93F33"/>
    <w:rsid w:val="00E963CE"/>
    <w:rsid w:val="00E96D12"/>
    <w:rsid w:val="00E97CB9"/>
    <w:rsid w:val="00EA2F74"/>
    <w:rsid w:val="00EB0BF4"/>
    <w:rsid w:val="00EB3378"/>
    <w:rsid w:val="00EB3F6A"/>
    <w:rsid w:val="00EB54B5"/>
    <w:rsid w:val="00EC5732"/>
    <w:rsid w:val="00EC7CF3"/>
    <w:rsid w:val="00ED0A9E"/>
    <w:rsid w:val="00ED44BA"/>
    <w:rsid w:val="00ED5E8E"/>
    <w:rsid w:val="00EE027D"/>
    <w:rsid w:val="00EE760E"/>
    <w:rsid w:val="00EF2715"/>
    <w:rsid w:val="00EF361D"/>
    <w:rsid w:val="00F041BA"/>
    <w:rsid w:val="00F07B06"/>
    <w:rsid w:val="00F10D23"/>
    <w:rsid w:val="00F12768"/>
    <w:rsid w:val="00F143F5"/>
    <w:rsid w:val="00F1627D"/>
    <w:rsid w:val="00F20A80"/>
    <w:rsid w:val="00F21A4B"/>
    <w:rsid w:val="00F3251E"/>
    <w:rsid w:val="00F32608"/>
    <w:rsid w:val="00F340D4"/>
    <w:rsid w:val="00F350A1"/>
    <w:rsid w:val="00F3776A"/>
    <w:rsid w:val="00F43DDE"/>
    <w:rsid w:val="00F51BA9"/>
    <w:rsid w:val="00F51F47"/>
    <w:rsid w:val="00F547F1"/>
    <w:rsid w:val="00F626C0"/>
    <w:rsid w:val="00F639CF"/>
    <w:rsid w:val="00F63CDB"/>
    <w:rsid w:val="00F6466E"/>
    <w:rsid w:val="00F66640"/>
    <w:rsid w:val="00F767FE"/>
    <w:rsid w:val="00F77295"/>
    <w:rsid w:val="00F82AC6"/>
    <w:rsid w:val="00F8323C"/>
    <w:rsid w:val="00F84974"/>
    <w:rsid w:val="00F87022"/>
    <w:rsid w:val="00F90DC1"/>
    <w:rsid w:val="00F9351B"/>
    <w:rsid w:val="00FA22AF"/>
    <w:rsid w:val="00FB0354"/>
    <w:rsid w:val="00FB4D3E"/>
    <w:rsid w:val="00FB4E6E"/>
    <w:rsid w:val="00FC0273"/>
    <w:rsid w:val="00FC0C0F"/>
    <w:rsid w:val="00FC2DF0"/>
    <w:rsid w:val="00FC613E"/>
    <w:rsid w:val="00FC6B80"/>
    <w:rsid w:val="00FD5831"/>
    <w:rsid w:val="00FD6FD5"/>
    <w:rsid w:val="00FF5783"/>
    <w:rsid w:val="00FF6C39"/>
    <w:rsid w:val="0100D07F"/>
    <w:rsid w:val="012B7E23"/>
    <w:rsid w:val="01427B94"/>
    <w:rsid w:val="026E497E"/>
    <w:rsid w:val="0406F2B1"/>
    <w:rsid w:val="04EB9BAA"/>
    <w:rsid w:val="053C8DC2"/>
    <w:rsid w:val="05C072E5"/>
    <w:rsid w:val="061EE5CE"/>
    <w:rsid w:val="066636ED"/>
    <w:rsid w:val="0741BAA1"/>
    <w:rsid w:val="07BAB62F"/>
    <w:rsid w:val="08624999"/>
    <w:rsid w:val="08BDBA2B"/>
    <w:rsid w:val="0A795B63"/>
    <w:rsid w:val="0D003B5C"/>
    <w:rsid w:val="0F16BAD4"/>
    <w:rsid w:val="0F49A558"/>
    <w:rsid w:val="0F4CCC86"/>
    <w:rsid w:val="10E575B9"/>
    <w:rsid w:val="10E89CE7"/>
    <w:rsid w:val="1281461A"/>
    <w:rsid w:val="15075F5D"/>
    <w:rsid w:val="1522DC33"/>
    <w:rsid w:val="159010E4"/>
    <w:rsid w:val="161D075D"/>
    <w:rsid w:val="1659AC89"/>
    <w:rsid w:val="1685D88B"/>
    <w:rsid w:val="16AFD0FD"/>
    <w:rsid w:val="1754F7B4"/>
    <w:rsid w:val="18BBA766"/>
    <w:rsid w:val="194071AB"/>
    <w:rsid w:val="1A3663CD"/>
    <w:rsid w:val="1B897297"/>
    <w:rsid w:val="1D73FD00"/>
    <w:rsid w:val="1D8A9227"/>
    <w:rsid w:val="1DCB177C"/>
    <w:rsid w:val="1DE275A0"/>
    <w:rsid w:val="1E3E6500"/>
    <w:rsid w:val="1FAFCC66"/>
    <w:rsid w:val="20EF5200"/>
    <w:rsid w:val="21D3B298"/>
    <w:rsid w:val="21E019B6"/>
    <w:rsid w:val="22173CF7"/>
    <w:rsid w:val="22242253"/>
    <w:rsid w:val="2259356D"/>
    <w:rsid w:val="232923D0"/>
    <w:rsid w:val="23459D0C"/>
    <w:rsid w:val="248F4127"/>
    <w:rsid w:val="249E222A"/>
    <w:rsid w:val="26A9A53C"/>
    <w:rsid w:val="27623DE6"/>
    <w:rsid w:val="282F3618"/>
    <w:rsid w:val="29FC1AE8"/>
    <w:rsid w:val="2AE1B6B7"/>
    <w:rsid w:val="2AE79E71"/>
    <w:rsid w:val="2AF5D78B"/>
    <w:rsid w:val="2BDF0338"/>
    <w:rsid w:val="2DD61D48"/>
    <w:rsid w:val="2E9247A0"/>
    <w:rsid w:val="2F1C19A9"/>
    <w:rsid w:val="303ED86D"/>
    <w:rsid w:val="30508782"/>
    <w:rsid w:val="30587508"/>
    <w:rsid w:val="31EC57E3"/>
    <w:rsid w:val="348DB4EB"/>
    <w:rsid w:val="3601BA69"/>
    <w:rsid w:val="367267F9"/>
    <w:rsid w:val="36CA94C4"/>
    <w:rsid w:val="370C73D9"/>
    <w:rsid w:val="37408DCC"/>
    <w:rsid w:val="3757F389"/>
    <w:rsid w:val="38EEAB87"/>
    <w:rsid w:val="39AE4A8D"/>
    <w:rsid w:val="39FF574E"/>
    <w:rsid w:val="3AD2045E"/>
    <w:rsid w:val="3B713A7A"/>
    <w:rsid w:val="3BB47562"/>
    <w:rsid w:val="3C5D9607"/>
    <w:rsid w:val="3D1A2DB7"/>
    <w:rsid w:val="3F2CDD4C"/>
    <w:rsid w:val="3FBD6A61"/>
    <w:rsid w:val="3FD06354"/>
    <w:rsid w:val="3FFE3DCC"/>
    <w:rsid w:val="413FE707"/>
    <w:rsid w:val="41E1021E"/>
    <w:rsid w:val="420D9061"/>
    <w:rsid w:val="4228454C"/>
    <w:rsid w:val="42870D7F"/>
    <w:rsid w:val="42F63EA0"/>
    <w:rsid w:val="4380C41B"/>
    <w:rsid w:val="43A63994"/>
    <w:rsid w:val="43A67A0B"/>
    <w:rsid w:val="44688134"/>
    <w:rsid w:val="45CC8256"/>
    <w:rsid w:val="45D7D81A"/>
    <w:rsid w:val="45EE95F0"/>
    <w:rsid w:val="4614B705"/>
    <w:rsid w:val="46223337"/>
    <w:rsid w:val="463AD933"/>
    <w:rsid w:val="46A53D34"/>
    <w:rsid w:val="46C7D927"/>
    <w:rsid w:val="46DE1ACD"/>
    <w:rsid w:val="49420DA2"/>
    <w:rsid w:val="4962903A"/>
    <w:rsid w:val="49AAD572"/>
    <w:rsid w:val="4AF457DF"/>
    <w:rsid w:val="4B409B22"/>
    <w:rsid w:val="4D3433F4"/>
    <w:rsid w:val="4D45AE2A"/>
    <w:rsid w:val="4EB5970F"/>
    <w:rsid w:val="4F3CC75C"/>
    <w:rsid w:val="515F5732"/>
    <w:rsid w:val="5212BFAD"/>
    <w:rsid w:val="52E52664"/>
    <w:rsid w:val="53A37578"/>
    <w:rsid w:val="5438D9F1"/>
    <w:rsid w:val="54AAEF1D"/>
    <w:rsid w:val="57608C97"/>
    <w:rsid w:val="5774762B"/>
    <w:rsid w:val="58BC1B45"/>
    <w:rsid w:val="58C60D3E"/>
    <w:rsid w:val="595140BA"/>
    <w:rsid w:val="5B188E3D"/>
    <w:rsid w:val="5D151945"/>
    <w:rsid w:val="5D37D7FE"/>
    <w:rsid w:val="5DC7BB1E"/>
    <w:rsid w:val="5E27D90B"/>
    <w:rsid w:val="5E6879DC"/>
    <w:rsid w:val="5F1409FE"/>
    <w:rsid w:val="606F78C0"/>
    <w:rsid w:val="60D920B7"/>
    <w:rsid w:val="612F02EE"/>
    <w:rsid w:val="61757AFC"/>
    <w:rsid w:val="620B4921"/>
    <w:rsid w:val="62AAAE4B"/>
    <w:rsid w:val="62C261FF"/>
    <w:rsid w:val="63342658"/>
    <w:rsid w:val="63C11CD1"/>
    <w:rsid w:val="63C2EF9E"/>
    <w:rsid w:val="643043B2"/>
    <w:rsid w:val="6465318A"/>
    <w:rsid w:val="64971A8F"/>
    <w:rsid w:val="64BEBE7C"/>
    <w:rsid w:val="64E63EB0"/>
    <w:rsid w:val="6542E9E3"/>
    <w:rsid w:val="65C26DF6"/>
    <w:rsid w:val="65F20F86"/>
    <w:rsid w:val="666768FE"/>
    <w:rsid w:val="666FB38E"/>
    <w:rsid w:val="66A65482"/>
    <w:rsid w:val="66ADA113"/>
    <w:rsid w:val="675A84C2"/>
    <w:rsid w:val="67CD610C"/>
    <w:rsid w:val="6A1CED46"/>
    <w:rsid w:val="6AF4B7AD"/>
    <w:rsid w:val="6BB8BDA7"/>
    <w:rsid w:val="6BC51F58"/>
    <w:rsid w:val="6CAA19FA"/>
    <w:rsid w:val="6D09AFC2"/>
    <w:rsid w:val="6D53E1DA"/>
    <w:rsid w:val="6E776DB3"/>
    <w:rsid w:val="6EE9C512"/>
    <w:rsid w:val="6FB44F01"/>
    <w:rsid w:val="70125987"/>
    <w:rsid w:val="712DA350"/>
    <w:rsid w:val="7170D29C"/>
    <w:rsid w:val="722458E0"/>
    <w:rsid w:val="7306BEE6"/>
    <w:rsid w:val="74B9330C"/>
    <w:rsid w:val="7557E461"/>
    <w:rsid w:val="756F79F5"/>
    <w:rsid w:val="772D2BEE"/>
    <w:rsid w:val="7A7156FE"/>
    <w:rsid w:val="7C0D5C19"/>
    <w:rsid w:val="7DCF9433"/>
    <w:rsid w:val="7E272F86"/>
    <w:rsid w:val="7E65F309"/>
    <w:rsid w:val="7F023EFE"/>
    <w:rsid w:val="7F36A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9227D"/>
  <w15:chartTrackingRefBased/>
  <w15:docId w15:val="{12C2A190-C89D-47AC-B827-7986B6FC7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FF9"/>
  </w:style>
  <w:style w:type="paragraph" w:styleId="Ttulo1">
    <w:name w:val="heading 1"/>
    <w:basedOn w:val="Normal"/>
    <w:next w:val="Normal"/>
    <w:link w:val="Ttulo1Char"/>
    <w:rsid w:val="00012123"/>
    <w:pPr>
      <w:keepNext/>
      <w:spacing w:after="0" w:line="240" w:lineRule="auto"/>
      <w:jc w:val="both"/>
      <w:outlineLvl w:val="0"/>
    </w:pPr>
    <w:rPr>
      <w:rFonts w:ascii="Arial" w:eastAsia="Times New Roman" w:hAnsi="Arial" w:cs="Times New Roman"/>
      <w:b/>
      <w:sz w:val="24"/>
      <w:szCs w:val="20"/>
      <w:lang w:eastAsia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B3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rsid w:val="003B3398"/>
    <w:rPr>
      <w:b/>
      <w:bCs/>
    </w:rPr>
  </w:style>
  <w:style w:type="character" w:styleId="nfase">
    <w:name w:val="Emphasis"/>
    <w:basedOn w:val="Fontepargpadro"/>
    <w:uiPriority w:val="20"/>
    <w:rsid w:val="003B3398"/>
    <w:rPr>
      <w:i/>
      <w:iCs/>
    </w:rPr>
  </w:style>
  <w:style w:type="character" w:styleId="Refdecomentrio">
    <w:name w:val="annotation reference"/>
    <w:uiPriority w:val="99"/>
    <w:rsid w:val="002D3FF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rsid w:val="002D3FF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x-none" w:eastAsia="x-none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2D3FF3"/>
    <w:rPr>
      <w:rFonts w:ascii="Verdana" w:eastAsia="Times New Roman" w:hAnsi="Verdana" w:cs="Times New Roman"/>
      <w:sz w:val="20"/>
      <w:szCs w:val="20"/>
      <w:lang w:val="x-none" w:eastAsia="x-none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04BD8"/>
    <w:pPr>
      <w:spacing w:after="160"/>
    </w:pPr>
    <w:rPr>
      <w:rFonts w:asciiTheme="minorHAnsi" w:eastAsiaTheme="minorHAnsi" w:hAnsiTheme="minorHAnsi" w:cstheme="minorBidi"/>
      <w:b/>
      <w:bCs/>
      <w:lang w:val="pt-BR" w:eastAsia="en-US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04BD8"/>
    <w:rPr>
      <w:rFonts w:ascii="Verdana" w:eastAsia="Times New Roman" w:hAnsi="Verdana" w:cs="Times New Roman"/>
      <w:b/>
      <w:bCs/>
      <w:sz w:val="20"/>
      <w:szCs w:val="20"/>
      <w:lang w:val="x-none" w:eastAsia="x-none"/>
    </w:rPr>
  </w:style>
  <w:style w:type="character" w:customStyle="1" w:styleId="cf01">
    <w:name w:val="cf01"/>
    <w:basedOn w:val="Fontepargpadro"/>
    <w:rsid w:val="00354AA2"/>
    <w:rPr>
      <w:rFonts w:ascii="Segoe UI" w:hAnsi="Segoe UI" w:cs="Segoe UI" w:hint="default"/>
      <w:sz w:val="18"/>
      <w:szCs w:val="18"/>
    </w:rPr>
  </w:style>
  <w:style w:type="character" w:customStyle="1" w:styleId="normaltextrun">
    <w:name w:val="normaltextrun"/>
    <w:basedOn w:val="Fontepargpadro"/>
    <w:rsid w:val="00661CF3"/>
  </w:style>
  <w:style w:type="character" w:customStyle="1" w:styleId="eop">
    <w:name w:val="eop"/>
    <w:basedOn w:val="Fontepargpadro"/>
    <w:rsid w:val="00661CF3"/>
  </w:style>
  <w:style w:type="paragraph" w:customStyle="1" w:styleId="paragraph">
    <w:name w:val="paragraph"/>
    <w:basedOn w:val="Normal"/>
    <w:rsid w:val="004721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rsid w:val="00012123"/>
    <w:rPr>
      <w:rFonts w:ascii="Arial" w:eastAsia="Times New Roman" w:hAnsi="Arial" w:cs="Times New Roman"/>
      <w:b/>
      <w:sz w:val="24"/>
      <w:szCs w:val="20"/>
      <w:lang w:eastAsia="pt-BR"/>
    </w:rPr>
  </w:style>
  <w:style w:type="character" w:styleId="Hyperlink">
    <w:name w:val="Hyperlink"/>
    <w:uiPriority w:val="99"/>
    <w:unhideWhenUsed/>
    <w:rsid w:val="00012123"/>
    <w:rPr>
      <w:color w:val="0000FF"/>
      <w:u w:val="single"/>
    </w:rPr>
  </w:style>
  <w:style w:type="character" w:customStyle="1" w:styleId="cf11">
    <w:name w:val="cf11"/>
    <w:basedOn w:val="Fontepargpadro"/>
    <w:rsid w:val="005B7851"/>
    <w:rPr>
      <w:rFonts w:ascii="Segoe UI" w:hAnsi="Segoe UI" w:cs="Segoe UI" w:hint="default"/>
      <w:b/>
      <w:bCs/>
      <w:sz w:val="18"/>
      <w:szCs w:val="18"/>
    </w:rPr>
  </w:style>
  <w:style w:type="character" w:styleId="MenoPendente">
    <w:name w:val="Unresolved Mention"/>
    <w:basedOn w:val="Fontepargpadro"/>
    <w:uiPriority w:val="99"/>
    <w:semiHidden/>
    <w:unhideWhenUsed/>
    <w:rsid w:val="00485185"/>
    <w:rPr>
      <w:color w:val="605E5C"/>
      <w:shd w:val="clear" w:color="auto" w:fill="E1DFDD"/>
    </w:rPr>
  </w:style>
  <w:style w:type="paragraph" w:styleId="SemEspaamento">
    <w:name w:val="No Spacing"/>
    <w:uiPriority w:val="1"/>
    <w:pPr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bealho">
    <w:name w:val="header"/>
    <w:basedOn w:val="Normal"/>
    <w:link w:val="Cabealho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A42DE"/>
  </w:style>
  <w:style w:type="paragraph" w:styleId="Rodap">
    <w:name w:val="footer"/>
    <w:basedOn w:val="Normal"/>
    <w:link w:val="Rodap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A42DE"/>
  </w:style>
  <w:style w:type="paragraph" w:styleId="Citao">
    <w:name w:val="Quote"/>
    <w:next w:val="Normal"/>
    <w:link w:val="CitaoChar"/>
    <w:autoRedefine/>
    <w:uiPriority w:val="29"/>
    <w:qFormat/>
    <w:rsid w:val="00770E7F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customStyle="1" w:styleId="CitaoChar">
    <w:name w:val="Citação Char"/>
    <w:basedOn w:val="Fontepargpadro"/>
    <w:link w:val="Citao"/>
    <w:uiPriority w:val="29"/>
    <w:rsid w:val="00770E7F"/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styleId="TextodoEspaoReservado">
    <w:name w:val="Placeholder Text"/>
    <w:basedOn w:val="Fontepargpadro"/>
    <w:uiPriority w:val="99"/>
    <w:semiHidden/>
    <w:rsid w:val="00770E7F"/>
    <w:rPr>
      <w:color w:val="808080"/>
    </w:rPr>
  </w:style>
  <w:style w:type="paragraph" w:customStyle="1" w:styleId="Ttulos">
    <w:name w:val="Títulos"/>
    <w:basedOn w:val="Citao"/>
    <w:link w:val="TtulosChar"/>
    <w:qFormat/>
    <w:rsid w:val="002D127E"/>
    <w:pPr>
      <w:suppressAutoHyphens w:val="0"/>
      <w:spacing w:line="360" w:lineRule="auto"/>
      <w:ind w:left="0" w:firstLine="0"/>
      <w:jc w:val="center"/>
    </w:pPr>
    <w:rPr>
      <w:b/>
      <w:i w:val="0"/>
      <w:caps/>
      <w:sz w:val="28"/>
    </w:rPr>
  </w:style>
  <w:style w:type="character" w:customStyle="1" w:styleId="TtulosChar">
    <w:name w:val="Títulos Char"/>
    <w:basedOn w:val="CitaoChar"/>
    <w:link w:val="Ttulos"/>
    <w:rsid w:val="002D127E"/>
    <w:rPr>
      <w:rFonts w:ascii="Arial" w:eastAsia="Times New Roman" w:hAnsi="Arial" w:cs="Verdana"/>
      <w:b/>
      <w:i w:val="0"/>
      <w:iCs/>
      <w:caps/>
      <w:sz w:val="28"/>
      <w:szCs w:val="24"/>
      <w:lang w:eastAsia="zh-CN"/>
    </w:rPr>
  </w:style>
  <w:style w:type="paragraph" w:styleId="PargrafodaLista">
    <w:name w:val="List Paragraph"/>
    <w:basedOn w:val="Normal"/>
    <w:uiPriority w:val="34"/>
    <w:rsid w:val="003624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2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1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4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8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4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0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6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2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42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0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7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4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165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20910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B9A70FAF5543A087E733AB63B30A0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14F65E8-C399-4C8E-BC7F-2966884BFEFF}"/>
      </w:docPartPr>
      <w:docPartBody>
        <w:p w:rsidR="001E2AC0" w:rsidRDefault="00730800" w:rsidP="00730800">
          <w:pPr>
            <w:pStyle w:val="A3B9A70FAF5543A087E733AB63B30A08"/>
          </w:pPr>
          <w:r w:rsidRPr="002A0A13">
            <w:rPr>
              <w:rStyle w:val="TextodoEspaoReservado"/>
            </w:rPr>
            <w:t>Escolher um item.</w:t>
          </w:r>
        </w:p>
      </w:docPartBody>
    </w:docPart>
    <w:docPart>
      <w:docPartPr>
        <w:name w:val="3FA3A92DAD524C3DB57C04BE729E38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7B19AF-A578-4884-9B15-8D4A496A7F29}"/>
      </w:docPartPr>
      <w:docPartBody>
        <w:p w:rsidR="001E2AC0" w:rsidRDefault="00465A25" w:rsidP="00465A25">
          <w:pPr>
            <w:pStyle w:val="3FA3A92DAD524C3DB57C04BE729E38DD2"/>
          </w:pPr>
          <w:r w:rsidRPr="009F36E1">
            <w:rPr>
              <w:rStyle w:val="TextodoEspaoReservado"/>
              <w:sz w:val="28"/>
              <w:szCs w:val="28"/>
            </w:rPr>
            <w:t>Escolher um item.</w:t>
          </w:r>
        </w:p>
      </w:docPartBody>
    </w:docPart>
    <w:docPart>
      <w:docPartPr>
        <w:name w:val="D299773260594DFB838BAFD35996AE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FEE6B4F-FF6D-41FF-B751-ECEBF2968244}"/>
      </w:docPartPr>
      <w:docPartBody>
        <w:p w:rsidR="001E2AC0" w:rsidRDefault="00465A25" w:rsidP="00465A25">
          <w:pPr>
            <w:pStyle w:val="D299773260594DFB838BAFD35996AEEF1"/>
          </w:pPr>
          <w:r>
            <w:rPr>
              <w:rFonts w:cs="Arial"/>
            </w:rPr>
            <w:t>Escolher um item</w:t>
          </w:r>
        </w:p>
      </w:docPartBody>
    </w:docPart>
    <w:docPart>
      <w:docPartPr>
        <w:name w:val="7AA328237CE04ECF8850841618042D0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2FF1C29-185C-4C34-B1DE-88E8F079CF7E}"/>
      </w:docPartPr>
      <w:docPartBody>
        <w:p w:rsidR="001E2AC0" w:rsidRDefault="00465A25" w:rsidP="00465A25">
          <w:pPr>
            <w:pStyle w:val="7AA328237CE04ECF8850841618042D0C1"/>
          </w:pPr>
          <w:r>
            <w:rPr>
              <w:rFonts w:cs="Arial"/>
            </w:rPr>
            <w:t>Escolher um item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800"/>
    <w:rsid w:val="00015EBA"/>
    <w:rsid w:val="00033421"/>
    <w:rsid w:val="0012395D"/>
    <w:rsid w:val="00137BF8"/>
    <w:rsid w:val="001E2AC0"/>
    <w:rsid w:val="0024665A"/>
    <w:rsid w:val="00277029"/>
    <w:rsid w:val="002F13AB"/>
    <w:rsid w:val="003B38E0"/>
    <w:rsid w:val="003B6213"/>
    <w:rsid w:val="004214D0"/>
    <w:rsid w:val="00465A25"/>
    <w:rsid w:val="004C209E"/>
    <w:rsid w:val="004C591E"/>
    <w:rsid w:val="005055C9"/>
    <w:rsid w:val="00523D82"/>
    <w:rsid w:val="005320CC"/>
    <w:rsid w:val="00617896"/>
    <w:rsid w:val="006E2ABC"/>
    <w:rsid w:val="00730800"/>
    <w:rsid w:val="0077693D"/>
    <w:rsid w:val="0079553F"/>
    <w:rsid w:val="007D5396"/>
    <w:rsid w:val="007E66CB"/>
    <w:rsid w:val="008C4978"/>
    <w:rsid w:val="00962A91"/>
    <w:rsid w:val="009A37F4"/>
    <w:rsid w:val="00A3449E"/>
    <w:rsid w:val="00A552B9"/>
    <w:rsid w:val="00C11601"/>
    <w:rsid w:val="00C30190"/>
    <w:rsid w:val="00C66C1A"/>
    <w:rsid w:val="00DF3A61"/>
    <w:rsid w:val="00DF51C9"/>
    <w:rsid w:val="00E87B28"/>
    <w:rsid w:val="00EF0744"/>
    <w:rsid w:val="00FF5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465A25"/>
    <w:rPr>
      <w:color w:val="808080"/>
    </w:rPr>
  </w:style>
  <w:style w:type="paragraph" w:customStyle="1" w:styleId="D299773260594DFB838BAFD35996AEEF1">
    <w:name w:val="D299773260594DFB838BAFD35996AEEF1"/>
    <w:rsid w:val="00465A25"/>
    <w:rPr>
      <w:rFonts w:eastAsiaTheme="minorHAnsi"/>
      <w:lang w:eastAsia="en-US"/>
    </w:rPr>
  </w:style>
  <w:style w:type="paragraph" w:customStyle="1" w:styleId="7AA328237CE04ECF8850841618042D0C1">
    <w:name w:val="7AA328237CE04ECF8850841618042D0C1"/>
    <w:rsid w:val="00465A25"/>
    <w:rPr>
      <w:rFonts w:eastAsiaTheme="minorHAnsi"/>
      <w:lang w:eastAsia="en-US"/>
    </w:rPr>
  </w:style>
  <w:style w:type="paragraph" w:customStyle="1" w:styleId="3FA3A92DAD524C3DB57C04BE729E38DD2">
    <w:name w:val="3FA3A92DAD524C3DB57C04BE729E38DD2"/>
    <w:rsid w:val="00465A25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paragraph" w:customStyle="1" w:styleId="A3B9A70FAF5543A087E733AB63B30A08">
    <w:name w:val="A3B9A70FAF5543A087E733AB63B30A08"/>
    <w:rsid w:val="0073080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D8446F430C8754BA55C94BD5B7A1A3F" ma:contentTypeVersion="10" ma:contentTypeDescription="Crie um novo documento." ma:contentTypeScope="" ma:versionID="2465e9b32c168538d9207cbcc35d84bb">
  <xsd:schema xmlns:xsd="http://www.w3.org/2001/XMLSchema" xmlns:xs="http://www.w3.org/2001/XMLSchema" xmlns:p="http://schemas.microsoft.com/office/2006/metadata/properties" xmlns:ns2="a1502e98-a051-4393-a021-de8709fd5dbd" xmlns:ns3="2aabb5b7-11a6-4edb-b82f-e91ec49f15ec" targetNamespace="http://schemas.microsoft.com/office/2006/metadata/properties" ma:root="true" ma:fieldsID="9b77972753d451347333962a9f4b269c" ns2:_="" ns3:_="">
    <xsd:import namespace="a1502e98-a051-4393-a021-de8709fd5dbd"/>
    <xsd:import namespace="2aabb5b7-11a6-4edb-b82f-e91ec49f15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SearchProperties" minOccurs="0"/>
                <xsd:element ref="ns2:MediaServiceObjectDetectorVersion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502e98-a051-4393-a021-de8709fd5d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17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abb5b7-11a6-4edb-b82f-e91ec49f15e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a1502e98-a051-4393-a021-de8709fd5dbd" xsi:nil="true"/>
  </documentManagement>
</p:properties>
</file>

<file path=customXml/itemProps1.xml><?xml version="1.0" encoding="utf-8"?>
<ds:datastoreItem xmlns:ds="http://schemas.openxmlformats.org/officeDocument/2006/customXml" ds:itemID="{7127A72F-8272-4370-AF52-7C68F76520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502e98-a051-4393-a021-de8709fd5dbd"/>
    <ds:schemaRef ds:uri="2aabb5b7-11a6-4edb-b82f-e91ec49f15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698B7F2-438F-4346-AAA8-B30D71006A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77EA40C-5804-4EEE-9895-1C1C7F48547D}">
  <ds:schemaRefs>
    <ds:schemaRef ds:uri="http://schemas.microsoft.com/office/2006/metadata/properties"/>
    <ds:schemaRef ds:uri="http://schemas.microsoft.com/office/infopath/2007/PartnerControls"/>
    <ds:schemaRef ds:uri="a1502e98-a051-4393-a021-de8709fd5d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21</Pages>
  <Words>4906</Words>
  <Characters>26496</Characters>
  <Application>Microsoft Office Word</Application>
  <DocSecurity>0</DocSecurity>
  <Lines>220</Lines>
  <Paragraphs>62</Paragraphs>
  <ScaleCrop>false</ScaleCrop>
  <Company/>
  <LinksUpToDate>false</LinksUpToDate>
  <CharactersWithSpaces>31340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BARÃO</dc:creator>
  <cp:keywords/>
  <dc:description/>
  <cp:lastModifiedBy>Marcos Dwayne Saraiva Costa - GDSXSR</cp:lastModifiedBy>
  <cp:revision>5</cp:revision>
  <dcterms:created xsi:type="dcterms:W3CDTF">2026-09-11T19:17:00Z</dcterms:created>
  <dcterms:modified xsi:type="dcterms:W3CDTF">2026-10-29T20:33:00Z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0x0101007D8446F430C8754BA55C94BD5B7A1A3F</vt:lpwstr>
  </property>
  <property fmtid="{D5CDD505-2E9C-101B-9397-08002B2CF9AE}" pid="3" name="MediaServiceImageTags">
    <vt:lpwstr/>
  </property>
</Properties>
</file>