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4F3CC75C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commentRangeStart w:id="3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45813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commentRangeEnd w:id="3"/>
            <w:r w:rsidR="003A539B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3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000000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57615DCE" w:rsidR="00770E7F" w:rsidRPr="009F36E1" w:rsidRDefault="00284625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284625">
              <w:rPr>
                <w:rFonts w:ascii="Arial" w:hAnsi="Arial" w:cs="Arial"/>
                <w:sz w:val="28"/>
                <w:szCs w:val="28"/>
              </w:rPr>
              <w:t>0716140-25.2025.8.07.0001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000000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28DB51A5" w:rsidR="00770E7F" w:rsidRPr="009F36E1" w:rsidRDefault="00284625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Rose Mary Cerqueira Ramos 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000000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0C9DD8B7" w:rsidR="00770E7F" w:rsidRPr="009F36E1" w:rsidRDefault="00A32384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Luminar Saúde Associação de Assistência à Saúde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6BF179A" w14:textId="6F05C250" w:rsidR="00886ABA" w:rsidRDefault="00886ABA" w:rsidP="00915CEC">
      <w:pPr>
        <w:spacing w:after="0" w:line="360" w:lineRule="auto"/>
        <w:rPr>
          <w:rFonts w:ascii="Arial" w:hAnsi="Arial" w:cs="Arial"/>
          <w:sz w:val="28"/>
          <w:szCs w:val="28"/>
        </w:rPr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11486012" w14:textId="0B08D655" w:rsidR="00E30825" w:rsidRPr="00E30825" w:rsidRDefault="00C44921" w:rsidP="3B713A7A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hAnsi="Arial" w:cs="Arial"/>
          <w:smallCaps/>
          <w:sz w:val="28"/>
          <w:szCs w:val="28"/>
        </w:rPr>
        <w:t xml:space="preserve">APELAÇÃO CÍVEL. DIREITO CIVIL E PROCESSUAL CIVIL. AÇÃO DE COBRANÇA. PLANO DE SAÚDE ADMINISTRADO POR ENTIDADE DE AUTOGESTÃO. INAPLICABILIDADE DO CDC. INADIMPLEMENTO DE MENSALIDADES E COPARTICIPAÇÕES. ÔNUS DA PROVA DO PAGAMENTO. CARTA DE PORTABILIDADE. AUSÊNCIA DE QUITAÇÃO EXPRESSA. </w:t>
      </w:r>
      <w:r>
        <w:rPr>
          <w:rFonts w:ascii="Arial" w:hAnsi="Arial" w:cs="Arial"/>
          <w:smallCaps/>
          <w:color w:val="808080"/>
          <w:sz w:val="28"/>
          <w:szCs w:val="28"/>
        </w:rPr>
        <w:t>SUPRESSIO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</w:t>
      </w:r>
      <w:r>
        <w:rPr>
          <w:rFonts w:ascii="Arial" w:hAnsi="Arial" w:cs="Arial"/>
          <w:smallCaps/>
          <w:sz w:val="28"/>
          <w:szCs w:val="28"/>
        </w:rPr>
        <w:t>E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VENIRE CONTRA FACTUM PROPRIUM</w:t>
      </w:r>
      <w:r>
        <w:rPr>
          <w:rFonts w:ascii="Arial" w:hAnsi="Arial" w:cs="Arial"/>
          <w:smallCaps/>
          <w:sz w:val="28"/>
          <w:szCs w:val="28"/>
        </w:rPr>
        <w:t xml:space="preserve">. NÃO CONFIGURAÇÃO.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>RECURSO NÃO PROVIDO.</w:t>
      </w:r>
      <w:commentRangeEnd w:id="4"/>
      <w:r w:rsidRPr="00E30825">
        <w:rPr>
          <w:rStyle w:val="Refdecomentrio"/>
          <w:rFonts w:ascii="Arial" w:eastAsia="Arial" w:hAnsi="Arial" w:cs="Arial"/>
          <w:sz w:val="28"/>
          <w:szCs w:val="28"/>
        </w:rPr>
        <w:commentReference w:id="4"/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39A113BB" w14:textId="77777777" w:rsidR="0028363E" w:rsidRDefault="00886ABA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1. Ação de cobrança proposta por Luminar Saúde Associação de Assistência à Saúde contra pessoa natural, </w:t>
      </w:r>
      <w:r>
        <w:rPr>
          <w:rFonts w:ascii="Arial" w:hAnsi="Arial" w:cs="Arial"/>
          <w:color w:val="808080"/>
          <w:sz w:val="28"/>
          <w:szCs w:val="28"/>
        </w:rPr>
        <w:t xml:space="preserve">beneficiária do plano, </w:t>
      </w:r>
      <w:r>
        <w:rPr>
          <w:rFonts w:ascii="Arial" w:hAnsi="Arial" w:cs="Arial"/>
          <w:sz w:val="28"/>
          <w:szCs w:val="28"/>
        </w:rPr>
        <w:t xml:space="preserve">visando </w:t>
      </w:r>
      <w:r>
        <w:rPr>
          <w:rFonts w:ascii="Arial" w:hAnsi="Arial" w:cs="Arial"/>
          <w:color w:val="808080"/>
          <w:sz w:val="28"/>
          <w:szCs w:val="28"/>
        </w:rPr>
        <w:t>à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cobrança</w:t>
      </w:r>
      <w:r>
        <w:rPr>
          <w:rFonts w:ascii="Arial" w:hAnsi="Arial" w:cs="Arial"/>
          <w:sz w:val="28"/>
          <w:szCs w:val="28"/>
        </w:rPr>
        <w:t xml:space="preserve"> de mensalidades e coparticipações inadimplidas de plano de saúde </w:t>
      </w:r>
      <w:r>
        <w:rPr>
          <w:rFonts w:ascii="Arial" w:hAnsi="Arial" w:cs="Arial"/>
          <w:color w:val="808080"/>
          <w:sz w:val="28"/>
          <w:szCs w:val="28"/>
        </w:rPr>
        <w:t>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autogestão (R$ 23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color w:val="808080"/>
          <w:sz w:val="28"/>
          <w:szCs w:val="28"/>
        </w:rPr>
        <w:t>548,08).</w:t>
      </w:r>
      <w:commentRangeEnd w:id="5"/>
      <w:r>
        <w:rPr>
          <w:rStyle w:val="Refdecomentrio"/>
          <w:rFonts w:ascii="Arial" w:hAnsi="Arial" w:cs="Arial"/>
          <w:sz w:val="28"/>
          <w:szCs w:val="28"/>
        </w:rPr>
        <w:commentReference w:id="5"/>
      </w:r>
    </w:p>
    <w:p w14:paraId="3800DBCC" w14:textId="77777777" w:rsidR="0028363E" w:rsidRDefault="0028363E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28363E">
        <w:rPr>
          <w:rFonts w:ascii="Arial" w:hAnsi="Arial" w:cs="Arial"/>
          <w:sz w:val="28"/>
          <w:szCs w:val="28"/>
        </w:rPr>
        <w:t>A sentença julgou procedente o pedido para condenar a ré ao pagamento de R$ 12.285,76, acrescido de correção monetária, juros moratórios e multa contratual de 2%.</w:t>
      </w:r>
    </w:p>
    <w:p w14:paraId="3CC7FA98" w14:textId="6439AF86" w:rsidR="00511630" w:rsidRDefault="008B20AB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lastRenderedPageBreak/>
        <w:t xml:space="preserve">3. A ré apelou sustentando </w:t>
      </w:r>
      <w:r>
        <w:rPr>
          <w:rFonts w:ascii="Arial" w:hAnsi="Arial" w:cs="Arial"/>
          <w:color w:val="808080"/>
          <w:sz w:val="28"/>
          <w:szCs w:val="28"/>
        </w:rPr>
        <w:t>violação da boa-fé objetiva (</w:t>
      </w:r>
      <w:r w:rsidRPr="00915CEC">
        <w:rPr>
          <w:rFonts w:ascii="Arial" w:hAnsi="Arial" w:cs="Arial"/>
          <w:i/>
          <w:iCs/>
          <w:color w:val="808080"/>
          <w:sz w:val="28"/>
          <w:szCs w:val="28"/>
        </w:rPr>
        <w:t>venire contra factum proprium</w:t>
      </w:r>
      <w:r>
        <w:rPr>
          <w:rFonts w:ascii="Arial" w:hAnsi="Arial" w:cs="Arial"/>
          <w:color w:val="808080"/>
          <w:sz w:val="28"/>
          <w:szCs w:val="28"/>
        </w:rPr>
        <w:t xml:space="preserve">) e </w:t>
      </w:r>
      <w:r w:rsidRPr="00915CEC">
        <w:rPr>
          <w:rFonts w:ascii="Arial" w:hAnsi="Arial" w:cs="Arial"/>
          <w:i/>
          <w:iCs/>
          <w:color w:val="808080"/>
          <w:sz w:val="28"/>
          <w:szCs w:val="28"/>
        </w:rPr>
        <w:t>supressio</w:t>
      </w:r>
      <w:r>
        <w:rPr>
          <w:rFonts w:ascii="Arial" w:hAnsi="Arial" w:cs="Arial"/>
          <w:color w:val="808080"/>
          <w:sz w:val="28"/>
          <w:szCs w:val="28"/>
        </w:rPr>
        <w:t>, pela cobrança de débitos não indicados na carta de portabilidade, aplicação</w:t>
      </w:r>
      <w:r>
        <w:rPr>
          <w:rFonts w:ascii="Arial" w:hAnsi="Arial" w:cs="Arial"/>
          <w:sz w:val="28"/>
          <w:szCs w:val="28"/>
        </w:rPr>
        <w:t xml:space="preserve"> do </w:t>
      </w:r>
      <w:r>
        <w:rPr>
          <w:rFonts w:ascii="Arial" w:hAnsi="Arial" w:cs="Arial"/>
          <w:color w:val="808080"/>
          <w:sz w:val="28"/>
          <w:szCs w:val="28"/>
        </w:rPr>
        <w:t>Código</w:t>
      </w:r>
      <w:r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>Defesa</w:t>
      </w:r>
      <w:r>
        <w:rPr>
          <w:rFonts w:ascii="Arial" w:hAnsi="Arial" w:cs="Arial"/>
          <w:sz w:val="28"/>
          <w:szCs w:val="28"/>
        </w:rPr>
        <w:t xml:space="preserve"> do </w:t>
      </w:r>
      <w:r>
        <w:rPr>
          <w:rFonts w:ascii="Arial" w:hAnsi="Arial" w:cs="Arial"/>
          <w:color w:val="808080"/>
          <w:sz w:val="28"/>
          <w:szCs w:val="28"/>
        </w:rPr>
        <w:t>Consumidor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 falta de apresentação dos boletos bancários, postulando a improcedência da cobrança.</w:t>
      </w:r>
      <w:commentRangeEnd w:id="6"/>
      <w:r>
        <w:rPr>
          <w:rStyle w:val="Refdecomentrio"/>
          <w:rFonts w:ascii="Arial" w:hAnsi="Arial" w:cs="Arial"/>
          <w:sz w:val="28"/>
          <w:szCs w:val="28"/>
        </w:rPr>
        <w:commentReference w:id="6"/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4FB459D6" w14:textId="6FF3B7F0" w:rsidR="009C7443" w:rsidRPr="009C7443" w:rsidRDefault="00511630" w:rsidP="009C74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886ABA" w:rsidRPr="005D305E">
        <w:rPr>
          <w:rFonts w:ascii="Arial" w:hAnsi="Arial" w:cs="Arial"/>
          <w:sz w:val="28"/>
          <w:szCs w:val="28"/>
        </w:rPr>
        <w:t xml:space="preserve">. </w:t>
      </w:r>
      <w:r w:rsidR="006B08B9" w:rsidRPr="006B08B9">
        <w:rPr>
          <w:rFonts w:ascii="Arial" w:hAnsi="Arial" w:cs="Arial"/>
          <w:sz w:val="28"/>
          <w:szCs w:val="28"/>
        </w:rPr>
        <w:t xml:space="preserve">Há duas questões em discussão: (i) saber se a autora comprovou adequadamente a existência das obrigações inadimplidas; e (ii) saber se a carta emitida para viabilizar a portabilidade do plano de saúde configura quitação dos débitos ou impede a posterior cobrança, à luz dos institutos da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supressio</w:t>
      </w:r>
      <w:r w:rsidR="006B08B9" w:rsidRPr="006B08B9">
        <w:rPr>
          <w:rFonts w:ascii="Arial" w:hAnsi="Arial" w:cs="Arial"/>
          <w:sz w:val="28"/>
          <w:szCs w:val="28"/>
        </w:rPr>
        <w:t xml:space="preserve"> e do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venire contra factum proprium</w:t>
      </w:r>
      <w:r w:rsidR="006B08B9" w:rsidRPr="006B08B9">
        <w:rPr>
          <w:rFonts w:ascii="Arial" w:hAnsi="Arial" w:cs="Arial"/>
          <w:sz w:val="28"/>
          <w:szCs w:val="28"/>
        </w:rPr>
        <w:t>.</w:t>
      </w:r>
    </w:p>
    <w:p w14:paraId="514DEA23" w14:textId="54E74779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528129E5" w14:textId="31EB835C" w:rsidR="003B1726" w:rsidRDefault="00000000">
      <w:pPr>
        <w:pStyle w:val="PargrafodaLista"/>
        <w:spacing w:after="0" w:line="360" w:lineRule="auto"/>
        <w:ind w:left="0"/>
        <w:jc w:val="both"/>
      </w:pPr>
      <w:commentRangeStart w:id="7"/>
      <w:r>
        <w:rPr>
          <w:rFonts w:ascii="Arial" w:hAnsi="Arial" w:cs="Arial"/>
          <w:sz w:val="28"/>
          <w:szCs w:val="28"/>
        </w:rPr>
        <w:t>5.</w:t>
      </w:r>
      <w:r>
        <w:t xml:space="preserve"> </w:t>
      </w:r>
      <w:r w:rsidR="00915CEC" w:rsidRPr="00915CEC">
        <w:rPr>
          <w:rFonts w:ascii="Arial" w:hAnsi="Arial" w:cs="Arial"/>
          <w:color w:val="833C0B" w:themeColor="accent2" w:themeShade="80"/>
          <w:sz w:val="28"/>
          <w:szCs w:val="28"/>
        </w:rPr>
        <w:t>Não se aplica</w:t>
      </w:r>
      <w:r w:rsidRPr="00915CEC">
        <w:rPr>
          <w:rFonts w:ascii="Arial" w:hAnsi="Arial" w:cs="Arial"/>
          <w:color w:val="833C0B" w:themeColor="accent2" w:themeShade="8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Código de Defesa do Consumidor aos contratos de plano de saúde administrados por entidade de autogestão </w:t>
      </w:r>
      <w:r>
        <w:rPr>
          <w:rFonts w:ascii="Arial" w:hAnsi="Arial" w:cs="Arial"/>
          <w:color w:val="808080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Súmula 608</w:t>
      </w:r>
      <w:r>
        <w:rPr>
          <w:rFonts w:ascii="Arial" w:hAnsi="Arial" w:cs="Arial"/>
          <w:color w:val="808080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STJ</w:t>
      </w:r>
      <w:r>
        <w:rPr>
          <w:rFonts w:ascii="Arial" w:hAnsi="Arial" w:cs="Arial"/>
          <w:color w:val="808080"/>
          <w:sz w:val="28"/>
          <w:szCs w:val="28"/>
        </w:rPr>
        <w:t>).</w:t>
      </w:r>
    </w:p>
    <w:p w14:paraId="320C9EAC" w14:textId="77777777" w:rsidR="009B02D8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 xml:space="preserve">. A distribuição do ônus da prova segue a regra </w:t>
      </w:r>
      <w:r>
        <w:rPr>
          <w:rFonts w:ascii="Arial" w:hAnsi="Arial" w:cs="Arial"/>
          <w:color w:val="808080"/>
          <w:sz w:val="28"/>
          <w:szCs w:val="28"/>
        </w:rPr>
        <w:t>ordinária</w:t>
      </w:r>
      <w:r>
        <w:rPr>
          <w:rFonts w:ascii="Arial" w:hAnsi="Arial" w:cs="Arial"/>
          <w:sz w:val="28"/>
          <w:szCs w:val="28"/>
        </w:rPr>
        <w:t>, cabendo à autora demonstrar o fato constitutivo do direito e à ré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fato extintivo da obrigação</w:t>
      </w:r>
      <w:r>
        <w:rPr>
          <w:rFonts w:ascii="Arial" w:hAnsi="Arial" w:cs="Arial"/>
          <w:color w:val="808080"/>
          <w:sz w:val="28"/>
          <w:szCs w:val="28"/>
        </w:rPr>
        <w:t xml:space="preserve"> (CPC 373 I e II)</w:t>
      </w:r>
      <w:r>
        <w:rPr>
          <w:rFonts w:ascii="Arial" w:hAnsi="Arial" w:cs="Arial"/>
          <w:sz w:val="28"/>
          <w:szCs w:val="28"/>
        </w:rPr>
        <w:t>.</w:t>
      </w:r>
      <w:commentRangeEnd w:id="7"/>
      <w:r>
        <w:rPr>
          <w:rStyle w:val="Refdecomentrio"/>
          <w:rFonts w:ascii="Arial" w:hAnsi="Arial" w:cs="Arial"/>
          <w:sz w:val="28"/>
          <w:szCs w:val="28"/>
        </w:rPr>
        <w:commentReference w:id="7"/>
      </w:r>
    </w:p>
    <w:p w14:paraId="7544CCB4" w14:textId="77777777" w:rsidR="00915CEC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7</w:t>
      </w:r>
      <w:r>
        <w:rPr>
          <w:rFonts w:ascii="Arial" w:hAnsi="Arial" w:cs="Arial"/>
          <w:sz w:val="28"/>
          <w:szCs w:val="28"/>
        </w:rPr>
        <w:t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A autora comprovou a existência dos débitos mediante apresentação do contrato, regulamento do plano, demonstrativos de cobrança e extratos analíticos das mensalidades, coparticipações e encargos contratuais. </w:t>
      </w:r>
    </w:p>
    <w:p w14:paraId="44371752" w14:textId="12341247" w:rsidR="00504971" w:rsidRDefault="00915CEC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8. </w:t>
      </w:r>
      <w:r w:rsidR="00511630">
        <w:rPr>
          <w:rFonts w:ascii="Arial" w:hAnsi="Arial" w:cs="Arial"/>
          <w:sz w:val="28"/>
          <w:szCs w:val="28"/>
        </w:rPr>
        <w:t>A ausência dos boletos bancários não inviabiliza a comprovação da dívida quando outros documentos evidenciam as obrigações inadimplidas.</w:t>
      </w:r>
    </w:p>
    <w:p w14:paraId="2CADD694" w14:textId="143D5F04" w:rsidR="00A4195B" w:rsidRDefault="00915CEC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9</w:t>
      </w:r>
      <w:r w:rsidR="00A4195B">
        <w:rPr>
          <w:rFonts w:ascii="Arial" w:hAnsi="Arial" w:cs="Arial"/>
          <w:sz w:val="28"/>
          <w:szCs w:val="28"/>
        </w:rPr>
        <w:t xml:space="preserve">. A devedora não apresentou comprovantes de pagamento das parcelas cobradas. A carta de portabilidade não contém quitação expressa nem permite inferir adimplemento tácito, </w:t>
      </w:r>
      <w:r w:rsidR="00A4195B">
        <w:rPr>
          <w:rFonts w:ascii="Arial" w:hAnsi="Arial" w:cs="Arial"/>
          <w:color w:val="808080"/>
          <w:sz w:val="28"/>
          <w:szCs w:val="28"/>
        </w:rPr>
        <w:t>pois</w:t>
      </w:r>
      <w:r w:rsidR="00A4195B">
        <w:rPr>
          <w:rFonts w:ascii="Arial" w:hAnsi="Arial" w:cs="Arial"/>
          <w:sz w:val="28"/>
          <w:szCs w:val="28"/>
        </w:rPr>
        <w:t xml:space="preserve"> registra a </w:t>
      </w:r>
      <w:r w:rsidR="00A4195B">
        <w:rPr>
          <w:rFonts w:ascii="Arial" w:hAnsi="Arial" w:cs="Arial"/>
          <w:sz w:val="28"/>
          <w:szCs w:val="28"/>
        </w:rPr>
        <w:lastRenderedPageBreak/>
        <w:t>situação financeira do contrato como “inadimplente”</w:t>
      </w:r>
      <w:r w:rsidR="00A4195B">
        <w:rPr>
          <w:rFonts w:ascii="Arial" w:hAnsi="Arial" w:cs="Arial"/>
          <w:color w:val="808080"/>
          <w:sz w:val="28"/>
          <w:szCs w:val="28"/>
        </w:rPr>
        <w:t>,</w:t>
      </w:r>
      <w:r w:rsidR="00A4195B">
        <w:rPr>
          <w:rFonts w:ascii="Arial" w:hAnsi="Arial" w:cs="Arial"/>
          <w:sz w:val="28"/>
          <w:szCs w:val="28"/>
        </w:rPr>
        <w:t xml:space="preserve"> </w:t>
      </w:r>
      <w:r w:rsidR="00A4195B">
        <w:rPr>
          <w:rFonts w:ascii="Arial" w:hAnsi="Arial" w:cs="Arial"/>
          <w:color w:val="808080"/>
          <w:sz w:val="28"/>
          <w:szCs w:val="28"/>
        </w:rPr>
        <w:t>e a</w:t>
      </w:r>
      <w:r w:rsidR="00A4195B">
        <w:rPr>
          <w:rFonts w:ascii="Arial" w:hAnsi="Arial" w:cs="Arial"/>
          <w:sz w:val="28"/>
          <w:szCs w:val="28"/>
        </w:rPr>
        <w:t xml:space="preserve"> informação </w:t>
      </w:r>
      <w:r w:rsidR="00A4195B">
        <w:rPr>
          <w:rFonts w:ascii="Arial" w:hAnsi="Arial" w:cs="Arial"/>
          <w:color w:val="808080"/>
          <w:sz w:val="28"/>
          <w:szCs w:val="28"/>
        </w:rPr>
        <w:t>sobre</w:t>
      </w:r>
      <w:r w:rsidR="00A4195B">
        <w:rPr>
          <w:rFonts w:ascii="Arial" w:hAnsi="Arial" w:cs="Arial"/>
          <w:sz w:val="28"/>
          <w:szCs w:val="28"/>
        </w:rPr>
        <w:t xml:space="preserve"> </w:t>
      </w:r>
      <w:r w:rsidR="00A4195B">
        <w:rPr>
          <w:rFonts w:ascii="Arial" w:hAnsi="Arial" w:cs="Arial"/>
          <w:color w:val="808080"/>
          <w:sz w:val="28"/>
          <w:szCs w:val="28"/>
        </w:rPr>
        <w:t>a</w:t>
      </w:r>
      <w:r w:rsidR="00A4195B">
        <w:rPr>
          <w:rFonts w:ascii="Arial" w:hAnsi="Arial" w:cs="Arial"/>
          <w:sz w:val="28"/>
          <w:szCs w:val="28"/>
        </w:rPr>
        <w:t xml:space="preserve"> última mensalidade não exclui débitos anteriores</w:t>
      </w:r>
      <w:r w:rsidR="00A4195B">
        <w:rPr>
          <w:rFonts w:ascii="Arial" w:hAnsi="Arial" w:cs="Arial"/>
          <w:color w:val="808080"/>
          <w:sz w:val="28"/>
          <w:szCs w:val="28"/>
        </w:rPr>
        <w:t xml:space="preserve"> (CC 320 parágrafo único)</w:t>
      </w:r>
      <w:r w:rsidR="00A4195B">
        <w:rPr>
          <w:rFonts w:ascii="Arial" w:hAnsi="Arial" w:cs="Arial"/>
          <w:sz w:val="28"/>
          <w:szCs w:val="28"/>
        </w:rPr>
        <w:t>.</w:t>
      </w:r>
    </w:p>
    <w:p w14:paraId="569DD894" w14:textId="00BBFE61" w:rsidR="00E51ABD" w:rsidRDefault="00915CEC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10</w:t>
      </w:r>
      <w:r w:rsidR="00E51ABD">
        <w:rPr>
          <w:rFonts w:ascii="Arial" w:hAnsi="Arial" w:cs="Arial"/>
          <w:sz w:val="28"/>
          <w:szCs w:val="28"/>
        </w:rPr>
        <w:t xml:space="preserve">. O requisito de adimplência </w:t>
      </w:r>
      <w:r w:rsidR="00E51ABD">
        <w:rPr>
          <w:rFonts w:ascii="Arial" w:hAnsi="Arial" w:cs="Arial"/>
          <w:color w:val="808080"/>
          <w:sz w:val="28"/>
          <w:szCs w:val="28"/>
        </w:rPr>
        <w:t>para</w:t>
      </w:r>
      <w:r w:rsidR="00E51ABD">
        <w:rPr>
          <w:rFonts w:ascii="Arial" w:hAnsi="Arial" w:cs="Arial"/>
          <w:sz w:val="28"/>
          <w:szCs w:val="28"/>
        </w:rPr>
        <w:t xml:space="preserve"> </w:t>
      </w:r>
      <w:r w:rsidR="00E51ABD">
        <w:rPr>
          <w:rFonts w:ascii="Arial" w:hAnsi="Arial" w:cs="Arial"/>
          <w:color w:val="808080"/>
          <w:sz w:val="28"/>
          <w:szCs w:val="28"/>
        </w:rPr>
        <w:t>a</w:t>
      </w:r>
      <w:r w:rsidR="00E51ABD">
        <w:rPr>
          <w:rFonts w:ascii="Arial" w:hAnsi="Arial" w:cs="Arial"/>
          <w:sz w:val="28"/>
          <w:szCs w:val="28"/>
        </w:rPr>
        <w:t xml:space="preserve"> </w:t>
      </w:r>
      <w:r w:rsidR="00E51ABD">
        <w:rPr>
          <w:rFonts w:ascii="Arial" w:hAnsi="Arial" w:cs="Arial"/>
          <w:color w:val="808080"/>
          <w:sz w:val="28"/>
          <w:szCs w:val="28"/>
        </w:rPr>
        <w:t>portabilidade</w:t>
      </w:r>
      <w:r w:rsidR="00E51ABD">
        <w:rPr>
          <w:rFonts w:ascii="Arial" w:hAnsi="Arial" w:cs="Arial"/>
          <w:sz w:val="28"/>
          <w:szCs w:val="28"/>
        </w:rPr>
        <w:t xml:space="preserve"> não gera presunção de inexistência de débitos pretéritos nem impede a concretização da </w:t>
      </w:r>
      <w:r w:rsidR="00E51ABD">
        <w:rPr>
          <w:rFonts w:ascii="Arial" w:hAnsi="Arial" w:cs="Arial"/>
          <w:color w:val="808080"/>
          <w:sz w:val="28"/>
          <w:szCs w:val="28"/>
        </w:rPr>
        <w:t>migração</w:t>
      </w:r>
      <w:r w:rsidR="00E51ABD">
        <w:rPr>
          <w:rFonts w:ascii="Arial" w:hAnsi="Arial" w:cs="Arial"/>
          <w:sz w:val="28"/>
          <w:szCs w:val="28"/>
        </w:rPr>
        <w:t>, que pode ser aceita a critério da operadora de destino</w:t>
      </w:r>
      <w:r w:rsidR="00E51ABD">
        <w:rPr>
          <w:rFonts w:ascii="Arial" w:hAnsi="Arial" w:cs="Arial"/>
          <w:color w:val="808080"/>
          <w:sz w:val="28"/>
          <w:szCs w:val="28"/>
        </w:rPr>
        <w:t xml:space="preserve"> (Resolução Normativa </w:t>
      </w:r>
      <w:commentRangeStart w:id="8"/>
      <w:r w:rsidR="00E51ABD">
        <w:rPr>
          <w:rFonts w:ascii="Arial" w:hAnsi="Arial" w:cs="Arial"/>
          <w:color w:val="808080"/>
          <w:sz w:val="28"/>
          <w:szCs w:val="28"/>
        </w:rPr>
        <w:t>AN</w:t>
      </w:r>
      <w:commentRangeEnd w:id="8"/>
      <w:r>
        <w:rPr>
          <w:rStyle w:val="Refdecomentrio"/>
          <w:rFonts w:ascii="Arial" w:hAnsi="Arial" w:cs="Arial"/>
          <w:color w:val="808080"/>
          <w:sz w:val="28"/>
          <w:szCs w:val="28"/>
        </w:rPr>
        <w:commentReference w:id="8"/>
      </w:r>
      <w:r w:rsidR="00E51ABD">
        <w:rPr>
          <w:rFonts w:ascii="Arial" w:hAnsi="Arial" w:cs="Arial"/>
          <w:color w:val="808080"/>
          <w:sz w:val="28"/>
          <w:szCs w:val="28"/>
        </w:rPr>
        <w:t xml:space="preserve">S </w:t>
      </w:r>
      <w:commentRangeStart w:id="9"/>
      <w:r w:rsidR="00E51ABD">
        <w:rPr>
          <w:rFonts w:ascii="Arial" w:hAnsi="Arial" w:cs="Arial"/>
          <w:color w:val="808080"/>
          <w:sz w:val="28"/>
          <w:szCs w:val="28"/>
        </w:rPr>
        <w:t xml:space="preserve">438 3º II </w:t>
      </w:r>
      <w:commentRangeEnd w:id="9"/>
      <w:r>
        <w:rPr>
          <w:rStyle w:val="Refdecomentrio"/>
          <w:rFonts w:ascii="Arial" w:hAnsi="Arial" w:cs="Arial"/>
          <w:color w:val="808080"/>
          <w:sz w:val="28"/>
          <w:szCs w:val="28"/>
        </w:rPr>
        <w:commentReference w:id="9"/>
      </w:r>
      <w:r w:rsidR="00E51ABD">
        <w:rPr>
          <w:rFonts w:ascii="Arial" w:hAnsi="Arial" w:cs="Arial"/>
          <w:color w:val="808080"/>
          <w:sz w:val="28"/>
          <w:szCs w:val="28"/>
        </w:rPr>
        <w:t xml:space="preserve">e </w:t>
      </w:r>
      <w:commentRangeStart w:id="10"/>
      <w:r w:rsidR="00E51ABD">
        <w:rPr>
          <w:rFonts w:ascii="Arial" w:hAnsi="Arial" w:cs="Arial"/>
          <w:color w:val="808080"/>
          <w:sz w:val="28"/>
          <w:szCs w:val="28"/>
        </w:rPr>
        <w:t>17</w:t>
      </w:r>
      <w:commentRangeEnd w:id="10"/>
      <w:r>
        <w:rPr>
          <w:rStyle w:val="Refdecomentrio"/>
          <w:rFonts w:ascii="Arial" w:hAnsi="Arial" w:cs="Arial"/>
          <w:color w:val="808080"/>
          <w:sz w:val="28"/>
          <w:szCs w:val="28"/>
        </w:rPr>
        <w:commentReference w:id="10"/>
      </w:r>
      <w:r w:rsidR="00E51ABD">
        <w:rPr>
          <w:rFonts w:ascii="Arial" w:hAnsi="Arial" w:cs="Arial"/>
          <w:color w:val="808080"/>
          <w:sz w:val="28"/>
          <w:szCs w:val="28"/>
        </w:rPr>
        <w:t xml:space="preserve"> parágrafo único</w:t>
      </w:r>
      <w:r>
        <w:rPr>
          <w:rFonts w:ascii="Arial" w:hAnsi="Arial" w:cs="Arial"/>
          <w:color w:val="808080"/>
          <w:sz w:val="28"/>
          <w:szCs w:val="28"/>
        </w:rPr>
        <w:t xml:space="preserve"> – </w:t>
      </w:r>
      <w:r w:rsidRPr="00915CEC">
        <w:rPr>
          <w:rFonts w:ascii="Arial" w:hAnsi="Arial" w:cs="Arial"/>
          <w:color w:val="808080"/>
          <w:sz w:val="28"/>
          <w:szCs w:val="28"/>
        </w:rPr>
        <w:t>Dispõe sobre a regulamentação da portabilidade de carências para beneficiários de planos privados de assistência à saúde</w:t>
      </w:r>
      <w:r w:rsidR="00E51ABD">
        <w:rPr>
          <w:rFonts w:ascii="Arial" w:hAnsi="Arial" w:cs="Arial"/>
          <w:color w:val="808080"/>
          <w:sz w:val="28"/>
          <w:szCs w:val="28"/>
        </w:rPr>
        <w:t>)</w:t>
      </w:r>
      <w:r w:rsidR="00E51ABD">
        <w:rPr>
          <w:rFonts w:ascii="Arial" w:hAnsi="Arial" w:cs="Arial"/>
          <w:sz w:val="28"/>
          <w:szCs w:val="28"/>
        </w:rPr>
        <w:t>.</w:t>
      </w:r>
    </w:p>
    <w:p w14:paraId="13AFAFA3" w14:textId="19DDEE17" w:rsidR="00E51ABD" w:rsidRPr="00FB4D3E" w:rsidRDefault="00383E74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1</w:t>
      </w:r>
      <w:r w:rsidR="00915CEC">
        <w:rPr>
          <w:rFonts w:ascii="Arial" w:hAnsi="Arial" w:cs="Arial"/>
          <w:color w:val="808080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. Inexistente prova de pagamento ou termo de quitação e constatada notificação extrajudicial de cobrança em 23/</w:t>
      </w:r>
      <w:r>
        <w:rPr>
          <w:rFonts w:ascii="Arial" w:hAnsi="Arial" w:cs="Arial"/>
          <w:color w:val="808080"/>
          <w:sz w:val="28"/>
          <w:szCs w:val="28"/>
        </w:rPr>
        <w:t>05</w:t>
      </w:r>
      <w:r>
        <w:rPr>
          <w:rFonts w:ascii="Arial" w:hAnsi="Arial" w:cs="Arial"/>
          <w:sz w:val="28"/>
          <w:szCs w:val="28"/>
        </w:rPr>
        <w:t xml:space="preserve">/2023, não se caracteriza </w:t>
      </w:r>
      <w:r>
        <w:rPr>
          <w:rFonts w:ascii="Arial" w:hAnsi="Arial" w:cs="Arial"/>
          <w:i/>
          <w:iCs/>
          <w:sz w:val="28"/>
          <w:szCs w:val="28"/>
        </w:rPr>
        <w:t>supressio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nem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>venire contra factum proprium</w:t>
      </w:r>
      <w:r>
        <w:rPr>
          <w:rFonts w:ascii="Arial" w:hAnsi="Arial" w:cs="Arial"/>
          <w:sz w:val="28"/>
          <w:szCs w:val="28"/>
        </w:rPr>
        <w:t>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14:paraId="267AB3B2" w14:textId="13B9BB4C" w:rsidR="00886ABA" w:rsidRPr="00E87018" w:rsidRDefault="00DF1B9C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1</w:t>
      </w:r>
      <w:r w:rsidR="00915CEC">
        <w:rPr>
          <w:rFonts w:ascii="Arial" w:hAnsi="Arial" w:cs="Arial"/>
          <w:color w:val="808080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>Negou-se provimento ao apelo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da ré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0D1EF4A9" w14:textId="2BADA581" w:rsidR="00DF1B9C" w:rsidRPr="00915CEC" w:rsidRDefault="00886ABA" w:rsidP="00DF1B9C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 w:rsidRPr="00915CEC">
        <w:rPr>
          <w:rFonts w:ascii="Arial" w:eastAsia="Arial" w:hAnsi="Arial" w:cs="Arial"/>
          <w:color w:val="808080"/>
          <w:sz w:val="26"/>
          <w:szCs w:val="26"/>
        </w:rPr>
        <w:t xml:space="preserve">CC 320 parágrafo único; </w:t>
      </w:r>
      <w:r w:rsidRPr="00915CEC">
        <w:rPr>
          <w:rFonts w:ascii="Arial" w:eastAsia="Arial" w:hAnsi="Arial" w:cs="Arial"/>
          <w:color w:val="000000" w:themeColor="text1"/>
          <w:sz w:val="26"/>
          <w:szCs w:val="26"/>
        </w:rPr>
        <w:t>CPC 85 § 11, 373 I e II; Resolução Normativa ANS 438 3º II e 17 parágrafo único</w:t>
      </w:r>
      <w:r w:rsidRPr="00915CEC">
        <w:rPr>
          <w:rFonts w:ascii="Arial" w:eastAsia="Arial" w:hAnsi="Arial" w:cs="Arial"/>
          <w:color w:val="808080"/>
          <w:sz w:val="26"/>
          <w:szCs w:val="26"/>
        </w:rPr>
        <w:t>.</w:t>
      </w:r>
    </w:p>
    <w:p w14:paraId="43D43365" w14:textId="1B4B1BC8" w:rsidR="00886ABA" w:rsidRPr="000D0D30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STJ, Súmula 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nº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>608; TJDFT, Acórdão 2005667, 0758754-34.2024.8.07.0016, Rel(a). Juíza Rita de Cássia de Cerqueira Lima Rocha, Primeira Turma Recursal, j. 30/</w:t>
      </w:r>
      <w:r>
        <w:rPr>
          <w:rFonts w:ascii="Arial" w:eastAsia="Arial" w:hAnsi="Arial" w:cs="Arial"/>
          <w:color w:val="808080"/>
          <w:sz w:val="26"/>
          <w:szCs w:val="26"/>
        </w:rPr>
        <w:t>05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>/2025, DJe 13/06/2025.</w:t>
      </w:r>
    </w:p>
    <w:p w14:paraId="58E96891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2489FFD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commentRangeStart w:id="11"/>
      <w:r w:rsidRPr="00146FCB">
        <w:rPr>
          <w:rFonts w:cstheme="minorHAnsi"/>
          <w:b/>
          <w:color w:val="FF0000"/>
          <w:highlight w:val="yellow"/>
        </w:rPr>
        <w:t>RESUMO DA APELAÇÃO</w:t>
      </w:r>
      <w:commentRangeEnd w:id="11"/>
      <w:r w:rsidRPr="00146FCB">
        <w:rPr>
          <w:rStyle w:val="Refdecomentrio"/>
          <w:rFonts w:cstheme="minorHAnsi"/>
          <w:color w:val="FF0000"/>
          <w:sz w:val="22"/>
          <w:szCs w:val="22"/>
        </w:rPr>
        <w:commentReference w:id="11"/>
      </w:r>
    </w:p>
    <w:p w14:paraId="172EA2DA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I. RAZÕES RECURSAIS</w:t>
      </w:r>
    </w:p>
    <w:p w14:paraId="732A34EC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Violação da boa-fé objetiva e vedação ao comportamento contraditório (venire contra factum proprium)</w:t>
      </w:r>
    </w:p>
    <w:p w14:paraId="353D36A0" w14:textId="5999A36E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 xml:space="preserve">1. Sustenta que a apelada, ao emitir carta de portabilidade/declaração oficial de débitos indicando a existência de apenas um débito, criou legítima expectativa de que inexistiam outras pendências contratuais. Argumenta que a posterior cobrança de débitos não informados no </w:t>
      </w:r>
      <w:r w:rsidRPr="00146FCB">
        <w:rPr>
          <w:rFonts w:cstheme="minorHAnsi"/>
          <w:color w:val="FF0000"/>
        </w:rPr>
        <w:lastRenderedPageBreak/>
        <w:t>documento oficial configura comportamento contraditório, em afronta ao princípio da boa-fé objetiva previsto no art. 422 do Código Civil.</w:t>
      </w:r>
    </w:p>
    <w:p w14:paraId="08655964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Inexigibilidade da cobrança em razão da supressio e da proteção da confiança legítima</w:t>
      </w:r>
    </w:p>
    <w:p w14:paraId="33230CD3" w14:textId="624FD7D0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2. Alega que, mesmo que houvesse débitos pretéritos, operou-se a supressio, pois a apelada deixou de exercer eventual direito de cobrança quando da emissão da carta de portabilidade e durante longo período após a migração do plano de saúde. Defende que a inércia da credora gerou legítima confiança na extinção das obrigações, tornando inadmissível a cobrança tardia dos valores.</w:t>
      </w:r>
    </w:p>
    <w:p w14:paraId="62AFB6AB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Aplicação do Código de Defesa do Consumidor e violação do dever de informação</w:t>
      </w:r>
    </w:p>
    <w:p w14:paraId="09FFAAEC" w14:textId="761F871A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3. Afirma que a relação jurídica é de consumo, razão pela qual incidem as normas protetivas do CDC. Sustenta que a sentença incorreu em equívoco ao afastar sua aplicação. Argumenta que a carta de portabilidade deveria conter informações claras, precisas e completas sobre eventuais débitos e que eventual falha administrativa, contábil ou operacional da apelada constitui risco da atividade econômica, não podendo ser transferida ao consumidor. Aduz, ainda, que a ausência dos boletos de cobrança solicitados evidencia deficiência informacional e fragilidade da pretensão de cobrança.</w:t>
      </w:r>
    </w:p>
    <w:p w14:paraId="304CC952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II. PEDIDO</w:t>
      </w:r>
    </w:p>
    <w:p w14:paraId="08F96DB0" w14:textId="0CD4215D" w:rsidR="00E87018" w:rsidRPr="00146FCB" w:rsidRDefault="00751971" w:rsidP="00751971">
      <w:pPr>
        <w:spacing w:after="0" w:line="360" w:lineRule="auto"/>
        <w:jc w:val="both"/>
        <w:rPr>
          <w:rFonts w:cstheme="minorHAnsi"/>
        </w:rPr>
      </w:pPr>
      <w:r w:rsidRPr="00146FCB">
        <w:rPr>
          <w:rFonts w:cstheme="minorHAnsi"/>
          <w:color w:val="FF0000"/>
        </w:rPr>
        <w:t xml:space="preserve">Requer o conhecimento e provimento da apelação para reformar integralmente a sentença e julgar improcedentes os pedidos de cobrança, reconhecendo a inexigibilidade dos débitos cobrados em razão da violação da boa-fé objetiva, da incidência do </w:t>
      </w:r>
      <w:r w:rsidRPr="00146FCB">
        <w:rPr>
          <w:rFonts w:cstheme="minorHAnsi"/>
          <w:i/>
          <w:iCs/>
          <w:color w:val="FF0000"/>
        </w:rPr>
        <w:t xml:space="preserve">venire contra factum proprium </w:t>
      </w:r>
      <w:r w:rsidRPr="00146FCB">
        <w:rPr>
          <w:rFonts w:cstheme="minorHAnsi"/>
          <w:color w:val="FF0000"/>
        </w:rPr>
        <w:t>e da</w:t>
      </w:r>
      <w:r w:rsidRPr="00146FCB">
        <w:rPr>
          <w:rFonts w:cstheme="minorHAnsi"/>
          <w:i/>
          <w:iCs/>
          <w:color w:val="FF0000"/>
        </w:rPr>
        <w:t xml:space="preserve"> supressio</w:t>
      </w:r>
      <w:r w:rsidRPr="00146FCB">
        <w:rPr>
          <w:rFonts w:cstheme="minorHAnsi"/>
          <w:color w:val="FF0000"/>
        </w:rPr>
        <w:t>, com a inversão dos ônus sucumbenciais e condenação da apelada ao pagamento das custas processuais e honorários advocatícios.</w:t>
      </w:r>
    </w:p>
    <w:p w14:paraId="5350F300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CF3D2C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2D7C1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538925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5DC468E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75B44B1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0046E39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7F40F9B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C100593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43D18F7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583CA50A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B2D3C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4699FB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358632" w14:textId="516E6D72" w:rsidR="00DB1301" w:rsidRDefault="00F63CD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E29BF9" w14:textId="77777777" w:rsidR="00AF1F15" w:rsidRPr="00AF1F15" w:rsidRDefault="00F63CDB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AF1F15" w:rsidRPr="00AF1F15">
        <w:rPr>
          <w:rFonts w:ascii="Arial" w:hAnsi="Arial" w:cs="Arial"/>
          <w:i/>
          <w:iCs/>
          <w:sz w:val="26"/>
          <w:szCs w:val="26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3A301E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209557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>(</w:t>
      </w:r>
      <w:commentRangeStart w:id="12"/>
      <w:r>
        <w:rPr>
          <w:rFonts w:ascii="Arial" w:hAnsi="Arial" w:cs="Arial"/>
          <w:i/>
          <w:iCs/>
          <w:sz w:val="26"/>
          <w:szCs w:val="26"/>
        </w:rPr>
        <w:t>.</w:t>
      </w:r>
      <w:commentRangeEnd w:id="12"/>
      <w:r>
        <w:rPr>
          <w:rStyle w:val="Refdecomentrio"/>
          <w:rFonts w:ascii="Arial" w:hAnsi="Arial" w:cs="Arial"/>
          <w:i/>
          <w:iCs/>
          <w:color w:val="808080"/>
          <w:sz w:val="26"/>
          <w:szCs w:val="26"/>
        </w:rPr>
        <w:commentReference w:id="12"/>
      </w:r>
      <w:r>
        <w:rPr>
          <w:rFonts w:ascii="Arial" w:hAnsi="Arial" w:cs="Arial"/>
          <w:i/>
          <w:iCs/>
          <w:color w:val="808080"/>
          <w:sz w:val="26"/>
          <w:szCs w:val="26"/>
        </w:rPr>
        <w:t>..)</w:t>
      </w:r>
    </w:p>
    <w:p w14:paraId="1B8D0D49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Sustentou que, apesar da regular prestação dos serviços, a ré deixou de adimplir 14 parcelas, totalizando inicialmente R$ 12.285,76. Mesmo diante do inadimplemento, a autora manteve a prestação dos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serviços de saúde, em observância às normas da ANS e ao princípio da boa-fé contratual.</w:t>
      </w:r>
    </w:p>
    <w:p w14:paraId="6E617CA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2EDF99B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>(</w:t>
      </w:r>
      <w:r>
        <w:rPr>
          <w:rFonts w:ascii="Arial" w:hAnsi="Arial" w:cs="Arial"/>
          <w:i/>
          <w:iCs/>
          <w:sz w:val="26"/>
          <w:szCs w:val="26"/>
        </w:rPr>
        <w:t>.</w:t>
      </w:r>
      <w:r>
        <w:rPr>
          <w:rFonts w:ascii="Arial" w:hAnsi="Arial" w:cs="Arial"/>
          <w:i/>
          <w:iCs/>
          <w:color w:val="808080"/>
          <w:sz w:val="26"/>
          <w:szCs w:val="26"/>
        </w:rPr>
        <w:t>..)</w:t>
      </w:r>
    </w:p>
    <w:p w14:paraId="527024F5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ré apresentou contestação no ID 243368797, em que suscita preliminar de inépcia da inicial, alegando ausência de documentos essenciais à ação.</w:t>
      </w:r>
    </w:p>
    <w:p w14:paraId="38DE1C41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extinção da obrigação de pagamento das parcelas posteriores à migração.</w:t>
      </w:r>
    </w:p>
    <w:p w14:paraId="4E8E503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Afirmou que, à época da portabilidade, não havia inadimplemento, conforme declaração emitida pela própria parte autora, e que a cobrança de valores posteriores à migração configura demanda por dívida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59FF22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Formulou, ainda, pedido reconvencional no bojo da contestação.</w:t>
      </w:r>
    </w:p>
    <w:p w14:paraId="42568F6F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0424CB26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>(</w:t>
      </w:r>
      <w:r>
        <w:rPr>
          <w:rFonts w:ascii="Arial" w:hAnsi="Arial" w:cs="Arial"/>
          <w:i/>
          <w:iCs/>
          <w:sz w:val="26"/>
          <w:szCs w:val="26"/>
        </w:rPr>
        <w:t>.</w:t>
      </w:r>
      <w:r>
        <w:rPr>
          <w:rFonts w:ascii="Arial" w:hAnsi="Arial" w:cs="Arial"/>
          <w:i/>
          <w:iCs/>
          <w:color w:val="808080"/>
          <w:sz w:val="26"/>
          <w:szCs w:val="26"/>
        </w:rPr>
        <w:t>..)</w:t>
      </w:r>
    </w:p>
    <w:p w14:paraId="2A1367AB" w14:textId="578D6477" w:rsidR="00F63CDB" w:rsidRPr="000A7009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A parte ré manifestou desistência em relação ao pedido reconvencional, pedido este que foi homologado no ID 257776291.</w:t>
      </w:r>
      <w:r>
        <w:rPr>
          <w:rFonts w:ascii="Arial" w:hAnsi="Arial" w:cs="Arial"/>
          <w:i/>
          <w:sz w:val="26"/>
          <w:szCs w:val="26"/>
        </w:rPr>
        <w:t xml:space="preserve">” (ID </w:t>
      </w:r>
      <w:r>
        <w:rPr>
          <w:rFonts w:ascii="Arial" w:hAnsi="Arial" w:cs="Arial"/>
          <w:i/>
          <w:color w:val="808080"/>
          <w:sz w:val="26"/>
          <w:szCs w:val="26"/>
        </w:rPr>
        <w:t>88637481</w:t>
      </w:r>
      <w:r>
        <w:rPr>
          <w:rFonts w:ascii="Arial" w:hAnsi="Arial" w:cs="Arial"/>
          <w:i/>
          <w:sz w:val="26"/>
          <w:szCs w:val="26"/>
        </w:rPr>
        <w:t>).</w:t>
      </w:r>
    </w:p>
    <w:p w14:paraId="62321101" w14:textId="77777777" w:rsidR="00F63CDB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4E520D9" w14:textId="43AEB336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</w:rPr>
        <w:t xml:space="preserve">O MM. Juiz sentenciante, Dr. </w:t>
      </w:r>
      <w:r>
        <w:rPr>
          <w:rFonts w:ascii="Arial" w:hAnsi="Arial" w:cs="Arial"/>
          <w:color w:val="808080"/>
          <w:sz w:val="28"/>
          <w:szCs w:val="28"/>
        </w:rPr>
        <w:t>Heverson</w:t>
      </w:r>
      <w:r>
        <w:rPr>
          <w:rFonts w:ascii="Arial" w:hAnsi="Arial" w:cs="Arial"/>
          <w:sz w:val="28"/>
          <w:szCs w:val="28"/>
        </w:rPr>
        <w:t xml:space="preserve"> D’Abadia Teixeira Borges, da 12ª Vara Cível de Brasília, julgou no seguinte sentido:</w:t>
      </w:r>
      <w:commentRangeEnd w:id="13"/>
      <w:r>
        <w:rPr>
          <w:rStyle w:val="Refdecomentrio"/>
          <w:rFonts w:ascii="Arial" w:hAnsi="Arial" w:cs="Arial"/>
          <w:sz w:val="28"/>
          <w:szCs w:val="28"/>
        </w:rPr>
        <w:commentReference w:id="13"/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66EE680" w14:textId="77777777" w:rsidR="00E93232" w:rsidRPr="00E93232" w:rsidRDefault="0006080C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E93232" w:rsidRPr="00E93232">
        <w:rPr>
          <w:rFonts w:ascii="Arial" w:hAnsi="Arial" w:cs="Arial"/>
          <w:i/>
          <w:iCs/>
          <w:sz w:val="26"/>
          <w:szCs w:val="26"/>
        </w:rPr>
        <w:t xml:space="preserve">Diante do exposto, JULGO PROCEDENTE o pedido para condenar ROSE MARY CERQUEIRA RAMOS ao pagamento do valor nominal de R$ 12.285,76 (doze mil duzentos e oitenta e cinco reais e </w:t>
      </w:r>
      <w:r w:rsidR="00E93232" w:rsidRPr="00E93232">
        <w:rPr>
          <w:rFonts w:ascii="Arial" w:hAnsi="Arial" w:cs="Arial"/>
          <w:i/>
          <w:iCs/>
          <w:sz w:val="26"/>
          <w:szCs w:val="26"/>
        </w:rPr>
        <w:lastRenderedPageBreak/>
        <w:t>setenta e seis centavos) em favor de LUMINAR SAÚDE ASSOCIAÇÃO DE ASSISTÊNCIA À SAÚDE.</w:t>
      </w:r>
    </w:p>
    <w:p w14:paraId="374A244A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7E346DB1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Ausente previsão contratual de índice de correção monetária e taxa de juros, incidem os parâmetros legais. Até 29/08/2024, aplica-se a taxa SELIC de forma integral, que já abrange, em um único índice, a correção monetária e os juros moratórios, nos 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744A71E2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Resolvo o mérito do processo, com fundamento no art. 487, inciso I, do Código de Processo Civil.</w:t>
      </w:r>
    </w:p>
    <w:p w14:paraId="163354A9" w14:textId="0334FE30" w:rsidR="0006080C" w:rsidRPr="00063145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  <w:r>
        <w:rPr>
          <w:rFonts w:ascii="Arial" w:hAnsi="Arial" w:cs="Arial"/>
          <w:i/>
          <w:sz w:val="26"/>
          <w:szCs w:val="26"/>
        </w:rPr>
        <w:t>”</w:t>
      </w:r>
      <w:r>
        <w:rPr>
          <w:rFonts w:ascii="Arial" w:hAnsi="Arial" w:cs="Arial"/>
          <w:i/>
          <w:color w:val="808080"/>
          <w:sz w:val="26"/>
          <w:szCs w:val="26"/>
        </w:rPr>
        <w:t xml:space="preserve"> (ID 88637481)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49D0D14" w14:textId="21250A09" w:rsidR="00E93232" w:rsidRDefault="00D834FA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ré opôs </w:t>
      </w:r>
      <w:r w:rsidRPr="004F1CCA">
        <w:rPr>
          <w:rFonts w:ascii="Arial" w:hAnsi="Arial" w:cs="Arial"/>
          <w:sz w:val="28"/>
          <w:szCs w:val="28"/>
        </w:rPr>
        <w:t xml:space="preserve">embargos de declaração (ID </w:t>
      </w:r>
      <w:r w:rsidR="006B37FB">
        <w:rPr>
          <w:rFonts w:ascii="Arial" w:hAnsi="Arial" w:cs="Arial"/>
          <w:sz w:val="28"/>
          <w:szCs w:val="28"/>
        </w:rPr>
        <w:t>88637482</w:t>
      </w:r>
      <w:r w:rsidRPr="004F1CCA">
        <w:rPr>
          <w:rFonts w:ascii="Arial" w:hAnsi="Arial" w:cs="Arial"/>
          <w:sz w:val="28"/>
          <w:szCs w:val="28"/>
        </w:rPr>
        <w:t>), os quais foram rejeitados</w:t>
      </w:r>
      <w:r>
        <w:rPr>
          <w:rFonts w:ascii="Arial" w:hAnsi="Arial" w:cs="Arial"/>
          <w:sz w:val="28"/>
          <w:szCs w:val="28"/>
        </w:rPr>
        <w:t xml:space="preserve"> </w:t>
      </w:r>
      <w:r w:rsidRPr="004F1CCA">
        <w:rPr>
          <w:rFonts w:ascii="Arial" w:hAnsi="Arial" w:cs="Arial"/>
          <w:sz w:val="28"/>
          <w:szCs w:val="28"/>
        </w:rPr>
        <w:t>(ID</w:t>
      </w:r>
      <w:r>
        <w:rPr>
          <w:rFonts w:ascii="Arial" w:hAnsi="Arial" w:cs="Arial"/>
          <w:sz w:val="28"/>
          <w:szCs w:val="28"/>
        </w:rPr>
        <w:t xml:space="preserve"> </w:t>
      </w:r>
      <w:r w:rsidR="006B37FB">
        <w:rPr>
          <w:rFonts w:ascii="Arial" w:hAnsi="Arial" w:cs="Arial"/>
          <w:sz w:val="28"/>
          <w:szCs w:val="28"/>
        </w:rPr>
        <w:t>88637488</w:t>
      </w:r>
      <w:r w:rsidRPr="004F1CCA">
        <w:rPr>
          <w:rFonts w:ascii="Arial" w:hAnsi="Arial" w:cs="Arial"/>
          <w:sz w:val="28"/>
          <w:szCs w:val="28"/>
        </w:rPr>
        <w:t>).</w:t>
      </w:r>
    </w:p>
    <w:p w14:paraId="1C7B63CE" w14:textId="77777777" w:rsidR="00E93232" w:rsidRDefault="00E93232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56A258C" w14:textId="0A638F9C" w:rsidR="00882188" w:rsidRPr="00E86190" w:rsidRDefault="00882188" w:rsidP="003F48BC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14"/>
      <w:r>
        <w:rPr>
          <w:rFonts w:ascii="Arial" w:hAnsi="Arial" w:cs="Arial"/>
          <w:sz w:val="28"/>
          <w:szCs w:val="28"/>
        </w:rPr>
        <w:t>Apelo da ré, Rose Mary Cerqueira Ramos (ID 88637491), em que alega, em síntese, que</w:t>
      </w:r>
      <w:r>
        <w:rPr>
          <w:rFonts w:ascii="Arial" w:hAnsi="Arial" w:cs="Arial"/>
          <w:color w:val="808080"/>
          <w:sz w:val="28"/>
          <w:szCs w:val="28"/>
        </w:rPr>
        <w:t>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808080"/>
          <w:sz w:val="28"/>
          <w:szCs w:val="28"/>
        </w:rPr>
        <w:t>1)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carta de portabilidade atestou a existência de apenas um débito, o que gerou legítima expectativa de quitação e torna contraditória a cobrança posterior (</w:t>
      </w:r>
      <w:r>
        <w:rPr>
          <w:rFonts w:ascii="Arial" w:hAnsi="Arial" w:cs="Arial"/>
          <w:i/>
          <w:color w:val="808080"/>
          <w:sz w:val="28"/>
          <w:szCs w:val="28"/>
        </w:rPr>
        <w:t>venire contra factum proprium</w:t>
      </w:r>
      <w:r>
        <w:rPr>
          <w:rFonts w:ascii="Arial" w:hAnsi="Arial" w:cs="Arial"/>
          <w:color w:val="808080"/>
          <w:sz w:val="28"/>
          <w:szCs w:val="28"/>
        </w:rPr>
        <w:t xml:space="preserve">), em violação da boa-fé objetiva; </w:t>
      </w:r>
      <w:r>
        <w:rPr>
          <w:rFonts w:ascii="Arial" w:hAnsi="Arial" w:cs="Arial"/>
          <w:b/>
          <w:color w:val="808080"/>
          <w:sz w:val="28"/>
          <w:szCs w:val="28"/>
        </w:rPr>
        <w:t>2)</w:t>
      </w:r>
      <w:r>
        <w:rPr>
          <w:rFonts w:ascii="Arial" w:hAnsi="Arial" w:cs="Arial"/>
          <w:color w:val="808080"/>
          <w:sz w:val="28"/>
          <w:szCs w:val="28"/>
        </w:rPr>
        <w:t xml:space="preserve"> operou-se a </w:t>
      </w:r>
      <w:r>
        <w:rPr>
          <w:rFonts w:ascii="Arial" w:hAnsi="Arial" w:cs="Arial"/>
          <w:i/>
          <w:color w:val="808080"/>
          <w:sz w:val="28"/>
          <w:szCs w:val="28"/>
        </w:rPr>
        <w:t>supressio</w:t>
      </w:r>
      <w:r>
        <w:rPr>
          <w:rFonts w:ascii="Arial" w:hAnsi="Arial" w:cs="Arial"/>
          <w:color w:val="808080"/>
          <w:sz w:val="28"/>
          <w:szCs w:val="28"/>
        </w:rPr>
        <w:t xml:space="preserve">, pois a autora deixou de exercer o direito de cobrança na emissão da carta e por anos depois da portabilidade; </w:t>
      </w:r>
      <w:r>
        <w:rPr>
          <w:rFonts w:ascii="Arial" w:hAnsi="Arial" w:cs="Arial"/>
          <w:b/>
          <w:color w:val="808080"/>
          <w:sz w:val="28"/>
          <w:szCs w:val="28"/>
        </w:rPr>
        <w:t>3)</w:t>
      </w:r>
      <w:r>
        <w:rPr>
          <w:rFonts w:ascii="Arial" w:hAnsi="Arial" w:cs="Arial"/>
          <w:color w:val="808080"/>
          <w:sz w:val="28"/>
          <w:szCs w:val="28"/>
        </w:rPr>
        <w:t xml:space="preserve"> aplica-se o Código de Defesa do Consumidor, tendo a autora violado o dever de informação; e </w:t>
      </w:r>
      <w:r>
        <w:rPr>
          <w:rFonts w:ascii="Arial" w:hAnsi="Arial" w:cs="Arial"/>
          <w:b/>
          <w:color w:val="808080"/>
          <w:sz w:val="28"/>
          <w:szCs w:val="28"/>
        </w:rPr>
        <w:t>4)</w:t>
      </w:r>
      <w:r>
        <w:rPr>
          <w:rFonts w:ascii="Arial" w:hAnsi="Arial" w:cs="Arial"/>
          <w:color w:val="808080"/>
          <w:sz w:val="28"/>
          <w:szCs w:val="28"/>
        </w:rPr>
        <w:t xml:space="preserve"> a</w:t>
      </w:r>
      <w:r>
        <w:rPr>
          <w:rFonts w:ascii="Arial" w:hAnsi="Arial" w:cs="Arial"/>
          <w:sz w:val="28"/>
          <w:szCs w:val="28"/>
        </w:rPr>
        <w:t xml:space="preserve"> autora, </w:t>
      </w:r>
      <w:r>
        <w:rPr>
          <w:rFonts w:ascii="Arial" w:hAnsi="Arial" w:cs="Arial"/>
          <w:color w:val="808080"/>
          <w:sz w:val="28"/>
          <w:szCs w:val="28"/>
        </w:rPr>
        <w:t>instada</w:t>
      </w:r>
      <w:r>
        <w:rPr>
          <w:rFonts w:ascii="Arial" w:hAnsi="Arial" w:cs="Arial"/>
          <w:sz w:val="28"/>
          <w:szCs w:val="28"/>
        </w:rPr>
        <w:t xml:space="preserve">, não </w:t>
      </w:r>
      <w:r>
        <w:rPr>
          <w:rFonts w:ascii="Arial" w:hAnsi="Arial" w:cs="Arial"/>
          <w:color w:val="808080"/>
          <w:sz w:val="28"/>
          <w:szCs w:val="28"/>
        </w:rPr>
        <w:t>juntou</w:t>
      </w:r>
      <w:r>
        <w:rPr>
          <w:rFonts w:ascii="Arial" w:hAnsi="Arial" w:cs="Arial"/>
          <w:sz w:val="28"/>
          <w:szCs w:val="28"/>
        </w:rPr>
        <w:t xml:space="preserve"> os boletos bancários das parcelas cobradas.</w:t>
      </w:r>
      <w:commentRangeEnd w:id="14"/>
      <w:r w:rsidRPr="00E86190">
        <w:rPr>
          <w:rStyle w:val="Refdecomentrio"/>
          <w:rFonts w:ascii="Arial" w:hAnsi="Arial" w:cs="Arial"/>
          <w:color w:val="7030A0"/>
          <w:sz w:val="28"/>
          <w:szCs w:val="28"/>
        </w:rPr>
        <w:commentReference w:id="14"/>
      </w:r>
    </w:p>
    <w:p w14:paraId="042F6C97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A6592BB" w14:textId="03207F26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946FF7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>a reforma da r. sentença para</w:t>
      </w:r>
      <w:r w:rsidR="00FC6B80">
        <w:rPr>
          <w:rFonts w:ascii="Arial" w:hAnsi="Arial" w:cs="Arial"/>
          <w:sz w:val="28"/>
          <w:szCs w:val="28"/>
        </w:rPr>
        <w:t xml:space="preserve"> que o pedido deduzido </w:t>
      </w:r>
      <w:r w:rsidR="00830B18">
        <w:rPr>
          <w:rFonts w:ascii="Arial" w:hAnsi="Arial" w:cs="Arial"/>
          <w:sz w:val="28"/>
          <w:szCs w:val="28"/>
        </w:rPr>
        <w:t>na ação de cobrança</w:t>
      </w:r>
      <w:r w:rsidR="00FC6B80">
        <w:rPr>
          <w:rFonts w:ascii="Arial" w:hAnsi="Arial" w:cs="Arial"/>
          <w:sz w:val="28"/>
          <w:szCs w:val="28"/>
        </w:rPr>
        <w:t xml:space="preserve"> seja julgado improcedente</w:t>
      </w:r>
      <w:r w:rsidR="00637DEB">
        <w:rPr>
          <w:rFonts w:ascii="Arial" w:hAnsi="Arial" w:cs="Arial"/>
          <w:sz w:val="28"/>
          <w:szCs w:val="28"/>
        </w:rPr>
        <w:t>, com a consequente inversão do ônus da sucumbência</w:t>
      </w:r>
      <w:r w:rsidR="00FC6B80"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B8C42E7" w14:textId="2317B698" w:rsidR="00882188" w:rsidRDefault="00882188" w:rsidP="00287C4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5"/>
      <w:r>
        <w:rPr>
          <w:rFonts w:ascii="Arial" w:hAnsi="Arial" w:cs="Arial"/>
          <w:sz w:val="28"/>
          <w:szCs w:val="28"/>
        </w:rPr>
        <w:t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88637494)</w:t>
      </w:r>
      <w:r>
        <w:rPr>
          <w:rFonts w:ascii="Arial" w:hAnsi="Arial" w:cs="Arial"/>
          <w:sz w:val="28"/>
          <w:szCs w:val="28"/>
        </w:rPr>
        <w:t xml:space="preserve">, em que a apelada alega que: </w:t>
      </w:r>
      <w:r>
        <w:rPr>
          <w:rFonts w:ascii="Arial" w:hAnsi="Arial" w:cs="Arial"/>
          <w:b/>
          <w:bCs/>
          <w:sz w:val="28"/>
          <w:szCs w:val="28"/>
        </w:rPr>
        <w:t xml:space="preserve">1) </w:t>
      </w:r>
      <w:r>
        <w:rPr>
          <w:rFonts w:ascii="Arial" w:hAnsi="Arial" w:cs="Arial"/>
          <w:sz w:val="28"/>
          <w:szCs w:val="28"/>
        </w:rPr>
        <w:t xml:space="preserve">o Código de Defesa do Consumidor não é aplicável aos planos de saúde na modalidade autogestão; </w:t>
      </w:r>
      <w:r>
        <w:rPr>
          <w:rFonts w:ascii="Arial" w:hAnsi="Arial" w:cs="Arial"/>
          <w:b/>
          <w:bCs/>
          <w:sz w:val="28"/>
          <w:szCs w:val="28"/>
        </w:rPr>
        <w:t xml:space="preserve">2) </w:t>
      </w:r>
      <w:r>
        <w:rPr>
          <w:rFonts w:ascii="Arial" w:hAnsi="Arial" w:cs="Arial"/>
          <w:sz w:val="28"/>
          <w:szCs w:val="28"/>
        </w:rPr>
        <w:t xml:space="preserve">a distribuição do ônus da prova deve se dar de forma ordinária, não cabendo inversão; </w:t>
      </w:r>
      <w:r>
        <w:rPr>
          <w:rFonts w:ascii="Arial" w:hAnsi="Arial" w:cs="Arial"/>
          <w:b/>
          <w:bCs/>
          <w:sz w:val="28"/>
          <w:szCs w:val="28"/>
        </w:rPr>
        <w:t xml:space="preserve">3) </w:t>
      </w:r>
      <w:r>
        <w:rPr>
          <w:rFonts w:ascii="Arial" w:hAnsi="Arial" w:cs="Arial"/>
          <w:sz w:val="28"/>
          <w:szCs w:val="28"/>
        </w:rPr>
        <w:t>demonstrou o fato constitutivo do direito “</w:t>
      </w:r>
      <w:r>
        <w:rPr>
          <w:rFonts w:ascii="Arial" w:hAnsi="Arial" w:cs="Arial"/>
          <w:i/>
          <w:iCs/>
          <w:sz w:val="28"/>
          <w:szCs w:val="28"/>
        </w:rPr>
        <w:t>acostando os instrumentos contratuais vigentes, o regulamento vinculante do plano, o demonstrativo detalhado da evolução da dívida e extratos analíticos de faturamento mês a mês com indicação precisa das coparticipações decorrentes de serviços assistenciais usufruídos</w:t>
      </w:r>
      <w:r>
        <w:rPr>
          <w:rFonts w:ascii="Arial" w:hAnsi="Arial" w:cs="Arial"/>
          <w:sz w:val="28"/>
          <w:szCs w:val="28"/>
        </w:rPr>
        <w:t xml:space="preserve">”; </w:t>
      </w:r>
      <w:r>
        <w:rPr>
          <w:rFonts w:ascii="Arial" w:hAnsi="Arial" w:cs="Arial"/>
          <w:b/>
          <w:bCs/>
          <w:sz w:val="28"/>
          <w:szCs w:val="28"/>
        </w:rPr>
        <w:t>4)</w:t>
      </w:r>
      <w:r>
        <w:rPr>
          <w:rFonts w:ascii="Arial" w:hAnsi="Arial" w:cs="Arial"/>
          <w:sz w:val="28"/>
          <w:szCs w:val="28"/>
        </w:rPr>
        <w:t xml:space="preserve"> a devedora não comprovou o adimplemento; </w:t>
      </w:r>
      <w:r>
        <w:rPr>
          <w:rFonts w:ascii="Arial" w:hAnsi="Arial" w:cs="Arial"/>
          <w:b/>
          <w:bCs/>
          <w:sz w:val="28"/>
          <w:szCs w:val="28"/>
        </w:rPr>
        <w:t>5)</w:t>
      </w:r>
      <w:r>
        <w:rPr>
          <w:rFonts w:ascii="Arial" w:hAnsi="Arial" w:cs="Arial"/>
          <w:sz w:val="28"/>
          <w:szCs w:val="28"/>
        </w:rPr>
        <w:t xml:space="preserve"> a carta de </w:t>
      </w:r>
      <w:r>
        <w:rPr>
          <w:rFonts w:ascii="Arial" w:hAnsi="Arial" w:cs="Arial"/>
          <w:sz w:val="28"/>
          <w:szCs w:val="28"/>
        </w:rPr>
        <w:lastRenderedPageBreak/>
        <w:t xml:space="preserve">portabilidade não deu quitação expressa, sendo clara quanto à situação de inadimplente da ré; e </w:t>
      </w:r>
      <w:r>
        <w:rPr>
          <w:rFonts w:ascii="Arial" w:hAnsi="Arial" w:cs="Arial"/>
          <w:b/>
          <w:bCs/>
          <w:sz w:val="28"/>
          <w:szCs w:val="28"/>
        </w:rPr>
        <w:t>6)</w:t>
      </w:r>
      <w:r>
        <w:rPr>
          <w:rFonts w:ascii="Arial" w:hAnsi="Arial" w:cs="Arial"/>
          <w:sz w:val="28"/>
          <w:szCs w:val="28"/>
        </w:rPr>
        <w:t xml:space="preserve"> não estão presentes circunstâncias que caracterizem </w:t>
      </w:r>
      <w:r>
        <w:rPr>
          <w:rFonts w:ascii="Arial" w:hAnsi="Arial" w:cs="Arial"/>
          <w:i/>
          <w:iCs/>
          <w:sz w:val="28"/>
          <w:szCs w:val="28"/>
        </w:rPr>
        <w:t>supressio</w:t>
      </w:r>
      <w:r>
        <w:rPr>
          <w:rFonts w:ascii="Arial" w:hAnsi="Arial" w:cs="Arial"/>
          <w:sz w:val="28"/>
          <w:szCs w:val="28"/>
        </w:rPr>
        <w:t xml:space="preserve"> do seu direito de cobrar, tampouco </w:t>
      </w:r>
      <w:r>
        <w:rPr>
          <w:rFonts w:ascii="Arial" w:hAnsi="Arial" w:cs="Arial"/>
          <w:i/>
          <w:iCs/>
          <w:sz w:val="28"/>
          <w:szCs w:val="28"/>
        </w:rPr>
        <w:t>venire contra factum proprium</w:t>
      </w:r>
      <w:r>
        <w:rPr>
          <w:rFonts w:ascii="Arial" w:hAnsi="Arial" w:cs="Arial"/>
          <w:sz w:val="28"/>
          <w:szCs w:val="28"/>
        </w:rPr>
        <w:t>.</w:t>
      </w:r>
      <w:commentRangeEnd w:id="15"/>
      <w:r>
        <w:rPr>
          <w:rStyle w:val="Refdecomentrio"/>
          <w:rFonts w:ascii="Arial" w:hAnsi="Arial" w:cs="Arial"/>
          <w:sz w:val="28"/>
          <w:szCs w:val="28"/>
        </w:rPr>
        <w:commentReference w:id="15"/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2D9FEE41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2AEDC34" w14:textId="55B9F799" w:rsidR="00355C73" w:rsidRDefault="00355C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2A496277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>Ação ajuizada em 28/</w:t>
      </w:r>
      <w:r>
        <w:rPr>
          <w:rFonts w:ascii="Arial" w:hAnsi="Arial" w:cs="Arial"/>
          <w:color w:val="808080"/>
          <w:sz w:val="28"/>
          <w:szCs w:val="28"/>
        </w:rPr>
        <w:t>03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2025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color w:val="808080"/>
          <w:sz w:val="28"/>
          <w:szCs w:val="28"/>
        </w:rPr>
        <w:t>03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06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2026.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Embargos</w:t>
      </w:r>
      <w:r>
        <w:rPr>
          <w:rFonts w:ascii="Arial" w:hAnsi="Arial" w:cs="Arial"/>
          <w:sz w:val="28"/>
          <w:szCs w:val="28"/>
        </w:rPr>
        <w:t xml:space="preserve"> de declaração </w:t>
      </w:r>
      <w:r>
        <w:rPr>
          <w:rFonts w:ascii="Arial" w:hAnsi="Arial" w:cs="Arial"/>
          <w:color w:val="808080"/>
          <w:sz w:val="28"/>
          <w:szCs w:val="28"/>
        </w:rPr>
        <w:t xml:space="preserve">rejeitados </w:t>
      </w:r>
      <w:r>
        <w:rPr>
          <w:rFonts w:ascii="Arial" w:hAnsi="Arial" w:cs="Arial"/>
          <w:sz w:val="28"/>
          <w:szCs w:val="28"/>
        </w:rPr>
        <w:t xml:space="preserve">em </w:t>
      </w:r>
      <w:r>
        <w:rPr>
          <w:rFonts w:ascii="Arial" w:hAnsi="Arial" w:cs="Arial"/>
          <w:color w:val="808080"/>
          <w:sz w:val="28"/>
          <w:szCs w:val="28"/>
        </w:rPr>
        <w:t>08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07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2026</w:t>
      </w:r>
      <w:r>
        <w:rPr>
          <w:rFonts w:ascii="Arial" w:hAnsi="Arial" w:cs="Arial"/>
          <w:sz w:val="28"/>
          <w:szCs w:val="28"/>
        </w:rPr>
        <w:t>. Apelo interposto em 30/</w:t>
      </w:r>
      <w:r>
        <w:rPr>
          <w:rFonts w:ascii="Arial" w:hAnsi="Arial" w:cs="Arial"/>
          <w:color w:val="808080"/>
          <w:sz w:val="28"/>
          <w:szCs w:val="28"/>
        </w:rPr>
        <w:t>07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2026</w:t>
      </w:r>
      <w:r>
        <w:rPr>
          <w:rFonts w:ascii="Arial" w:hAnsi="Arial" w:cs="Arial"/>
          <w:sz w:val="28"/>
          <w:szCs w:val="28"/>
        </w:rPr>
        <w:t>. Valor da causa: R$ 23.548,08.</w:t>
      </w:r>
      <w:commentRangeEnd w:id="16"/>
      <w:r>
        <w:rPr>
          <w:rStyle w:val="Refdecomentrio"/>
          <w:rFonts w:ascii="Arial" w:hAnsi="Arial" w:cs="Arial"/>
          <w:sz w:val="28"/>
          <w:szCs w:val="28"/>
        </w:rPr>
        <w:commentReference w:id="16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16EA1F45" w:rsidR="00355C73" w:rsidRPr="007E1C8C" w:rsidRDefault="00A72414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B95CB8">
        <w:rPr>
          <w:rFonts w:ascii="Arial" w:hAnsi="Arial" w:cs="Arial"/>
          <w:b/>
          <w:bCs/>
          <w:color w:val="000000" w:themeColor="text1"/>
          <w:sz w:val="28"/>
          <w:szCs w:val="28"/>
        </w:rPr>
        <w:t>RÉ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ROSE MARY CERQUEIRA RAMOS</w:t>
      </w:r>
    </w:p>
    <w:p w14:paraId="187A5EFC" w14:textId="77777777" w:rsidR="00A72414" w:rsidRPr="007E1C8C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E63BFE0" w14:textId="2AE4BE4A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7E4D53BA" w14:textId="77777777" w:rsidR="00C22469" w:rsidRDefault="00C22469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321D16" w14:textId="47E7E050" w:rsidR="00EB3378" w:rsidRDefault="00291367" w:rsidP="00EB337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 MANUTENÇÃO DA CONDENAÇÃO DIANTE </w:t>
      </w:r>
      <w:commentRangeStart w:id="17"/>
      <w:r>
        <w:rPr>
          <w:rFonts w:ascii="Arial" w:hAnsi="Arial" w:cs="Arial"/>
          <w:sz w:val="28"/>
          <w:szCs w:val="28"/>
          <w:highlight w:val="yellow"/>
        </w:rPr>
        <w:t xml:space="preserve">DA AUSÊNCIA DE PROVA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DE</w:t>
      </w:r>
      <w:r>
        <w:rPr>
          <w:rFonts w:ascii="Arial" w:hAnsi="Arial" w:cs="Arial"/>
          <w:sz w:val="28"/>
          <w:szCs w:val="28"/>
          <w:highlight w:val="yellow"/>
        </w:rPr>
        <w:t xml:space="preserve"> PAGAMENTO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OU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DE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commentRangeEnd w:id="17"/>
      <w:r>
        <w:rPr>
          <w:rStyle w:val="Refdecomentrio"/>
          <w:rFonts w:ascii="Arial" w:hAnsi="Arial" w:cs="Arial"/>
          <w:color w:val="808080"/>
          <w:sz w:val="28"/>
          <w:szCs w:val="28"/>
          <w:highlight w:val="yellow"/>
        </w:rPr>
        <w:commentReference w:id="17"/>
      </w:r>
      <w:r>
        <w:rPr>
          <w:rFonts w:ascii="Arial" w:hAnsi="Arial" w:cs="Arial"/>
          <w:color w:val="808080"/>
          <w:sz w:val="28"/>
          <w:szCs w:val="28"/>
          <w:highlight w:val="yellow"/>
        </w:rPr>
        <w:t>QUITAÇÃO</w:t>
      </w:r>
    </w:p>
    <w:p w14:paraId="00CF8CE5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57A403" w14:textId="77E3A33B" w:rsidR="0033735F" w:rsidRPr="007E1C8C" w:rsidRDefault="0004253A" w:rsidP="006925EC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 ré/apelante alega que</w:t>
      </w:r>
      <w:r>
        <w:rPr>
          <w:rFonts w:ascii="Arial" w:hAnsi="Arial" w:cs="Arial"/>
          <w:color w:val="808080"/>
          <w:sz w:val="28"/>
          <w:szCs w:val="28"/>
        </w:rPr>
        <w:t>: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>1)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 carta de portabilidade </w:t>
      </w:r>
      <w:r>
        <w:rPr>
          <w:rFonts w:ascii="Arial" w:hAnsi="Arial" w:cs="Arial"/>
          <w:color w:val="808080"/>
          <w:sz w:val="28"/>
          <w:szCs w:val="28"/>
        </w:rPr>
        <w:t>atestou</w:t>
      </w:r>
      <w:r>
        <w:rPr>
          <w:rFonts w:ascii="Arial" w:hAnsi="Arial" w:cs="Arial"/>
          <w:sz w:val="28"/>
          <w:szCs w:val="28"/>
        </w:rPr>
        <w:t xml:space="preserve"> a existência de </w:t>
      </w:r>
      <w:r>
        <w:rPr>
          <w:rFonts w:ascii="Arial" w:hAnsi="Arial" w:cs="Arial"/>
          <w:color w:val="808080"/>
          <w:sz w:val="28"/>
          <w:szCs w:val="28"/>
        </w:rPr>
        <w:t>apenas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um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débito,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que </w:t>
      </w:r>
      <w:r>
        <w:rPr>
          <w:rFonts w:ascii="Arial" w:hAnsi="Arial" w:cs="Arial"/>
          <w:color w:val="808080"/>
          <w:sz w:val="28"/>
          <w:szCs w:val="28"/>
        </w:rPr>
        <w:t>gerou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legítima</w:t>
      </w:r>
      <w:r>
        <w:rPr>
          <w:rFonts w:ascii="Arial" w:hAnsi="Arial" w:cs="Arial"/>
          <w:sz w:val="28"/>
          <w:szCs w:val="28"/>
        </w:rPr>
        <w:t xml:space="preserve"> expectativa de quitação </w:t>
      </w:r>
      <w:r>
        <w:rPr>
          <w:rFonts w:ascii="Arial" w:hAnsi="Arial" w:cs="Arial"/>
          <w:color w:val="808080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torna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contraditória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>cobrança</w:t>
      </w:r>
      <w:r>
        <w:rPr>
          <w:rFonts w:ascii="Arial" w:hAnsi="Arial" w:cs="Arial"/>
          <w:sz w:val="28"/>
          <w:szCs w:val="28"/>
        </w:rPr>
        <w:t xml:space="preserve"> posterior </w:t>
      </w:r>
      <w:r>
        <w:rPr>
          <w:rFonts w:ascii="Arial" w:hAnsi="Arial" w:cs="Arial"/>
          <w:color w:val="808080"/>
          <w:sz w:val="28"/>
          <w:szCs w:val="28"/>
        </w:rPr>
        <w:t>(</w:t>
      </w:r>
      <w:r>
        <w:rPr>
          <w:rFonts w:ascii="Arial" w:hAnsi="Arial" w:cs="Arial"/>
          <w:i/>
          <w:iCs/>
          <w:sz w:val="28"/>
          <w:szCs w:val="28"/>
        </w:rPr>
        <w:t>venire contra factum proprium</w:t>
      </w:r>
      <w:r>
        <w:rPr>
          <w:rFonts w:ascii="Arial" w:hAnsi="Arial" w:cs="Arial"/>
          <w:i/>
          <w:iCs/>
          <w:color w:val="808080"/>
          <w:sz w:val="28"/>
          <w:szCs w:val="28"/>
        </w:rPr>
        <w:t>),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violação da boa-fé objetiva; </w:t>
      </w:r>
      <w:r>
        <w:rPr>
          <w:rFonts w:ascii="Arial" w:hAnsi="Arial" w:cs="Arial"/>
          <w:b/>
          <w:color w:val="808080"/>
          <w:sz w:val="28"/>
          <w:szCs w:val="28"/>
        </w:rPr>
        <w:t>2)</w:t>
      </w:r>
      <w:r>
        <w:rPr>
          <w:rFonts w:ascii="Arial" w:hAnsi="Arial" w:cs="Arial"/>
          <w:sz w:val="28"/>
          <w:szCs w:val="28"/>
        </w:rPr>
        <w:t xml:space="preserve"> a ausência de exercício oportuno </w:t>
      </w:r>
      <w:r>
        <w:rPr>
          <w:rFonts w:ascii="Arial" w:hAnsi="Arial" w:cs="Arial"/>
          <w:color w:val="808080"/>
          <w:sz w:val="28"/>
          <w:szCs w:val="28"/>
        </w:rPr>
        <w:t xml:space="preserve">do direito de cobrança, na emissão </w:t>
      </w:r>
      <w:r>
        <w:rPr>
          <w:rFonts w:ascii="Arial" w:hAnsi="Arial" w:cs="Arial"/>
          <w:sz w:val="28"/>
          <w:szCs w:val="28"/>
        </w:rPr>
        <w:t xml:space="preserve">da </w:t>
      </w:r>
      <w:r>
        <w:rPr>
          <w:rFonts w:ascii="Arial" w:hAnsi="Arial" w:cs="Arial"/>
          <w:color w:val="808080"/>
          <w:sz w:val="28"/>
          <w:szCs w:val="28"/>
        </w:rPr>
        <w:t>carta e por anos depois,</w:t>
      </w:r>
      <w:r>
        <w:rPr>
          <w:rFonts w:ascii="Arial" w:hAnsi="Arial" w:cs="Arial"/>
          <w:sz w:val="28"/>
          <w:szCs w:val="28"/>
        </w:rPr>
        <w:t xml:space="preserve"> acarreta a supressão do direito </w:t>
      </w:r>
      <w:r>
        <w:rPr>
          <w:rFonts w:ascii="Arial" w:hAnsi="Arial" w:cs="Arial"/>
          <w:color w:val="808080"/>
          <w:sz w:val="28"/>
          <w:szCs w:val="28"/>
        </w:rPr>
        <w:t>(</w:t>
      </w:r>
      <w:r>
        <w:rPr>
          <w:rFonts w:ascii="Arial" w:hAnsi="Arial" w:cs="Arial"/>
          <w:i/>
          <w:color w:val="808080"/>
          <w:sz w:val="28"/>
          <w:szCs w:val="28"/>
        </w:rPr>
        <w:t>supressio</w:t>
      </w:r>
      <w:r>
        <w:rPr>
          <w:rFonts w:ascii="Arial" w:hAnsi="Arial" w:cs="Arial"/>
          <w:color w:val="808080"/>
          <w:sz w:val="28"/>
          <w:szCs w:val="28"/>
        </w:rPr>
        <w:t>);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>3)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aplica-se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Código de Defesa do Consumidor, </w:t>
      </w:r>
      <w:r>
        <w:rPr>
          <w:rFonts w:ascii="Arial" w:hAnsi="Arial" w:cs="Arial"/>
          <w:color w:val="808080"/>
          <w:sz w:val="28"/>
          <w:szCs w:val="28"/>
        </w:rPr>
        <w:t>tendo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>autora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violado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dever de informação; e </w:t>
      </w:r>
      <w:r>
        <w:rPr>
          <w:rFonts w:ascii="Arial" w:hAnsi="Arial" w:cs="Arial"/>
          <w:b/>
          <w:color w:val="808080"/>
          <w:sz w:val="28"/>
          <w:szCs w:val="28"/>
        </w:rPr>
        <w:t>4)</w:t>
      </w:r>
      <w:r>
        <w:rPr>
          <w:rFonts w:ascii="Arial" w:hAnsi="Arial" w:cs="Arial"/>
          <w:color w:val="808080"/>
          <w:sz w:val="28"/>
          <w:szCs w:val="28"/>
        </w:rPr>
        <w:t xml:space="preserve"> a autora, instada, não juntou os boletos bancários das parcelas cobradas (ID 88637491)</w:t>
      </w:r>
      <w:r>
        <w:rPr>
          <w:rFonts w:ascii="Arial" w:hAnsi="Arial" w:cs="Arial"/>
          <w:sz w:val="28"/>
          <w:szCs w:val="28"/>
        </w:rPr>
        <w:t>.</w:t>
      </w:r>
    </w:p>
    <w:p w14:paraId="4E3BF3A9" w14:textId="77777777" w:rsidR="0033735F" w:rsidRDefault="0033735F" w:rsidP="0033735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751BF6D" w14:textId="6DCB582C" w:rsidR="00506A7D" w:rsidRDefault="00506A7D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</w:rPr>
        <w:t>Sem razão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</w:rPr>
        <w:t xml:space="preserve"> </w:t>
      </w:r>
      <w:r w:rsidR="005E7C7A">
        <w:rPr>
          <w:rFonts w:ascii="Arial" w:hAnsi="Arial" w:cs="Arial"/>
          <w:sz w:val="28"/>
          <w:szCs w:val="28"/>
          <w:highlight w:val="yellow"/>
        </w:rPr>
        <w:t>a</w:t>
      </w:r>
      <w:r w:rsidRPr="009B7564">
        <w:rPr>
          <w:rFonts w:ascii="Arial" w:hAnsi="Arial" w:cs="Arial"/>
          <w:sz w:val="28"/>
          <w:szCs w:val="28"/>
          <w:highlight w:val="yellow"/>
        </w:rPr>
        <w:t xml:space="preserve"> apelante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</w:rPr>
        <w:t>.</w:t>
      </w:r>
    </w:p>
    <w:p w14:paraId="2CC55D5E" w14:textId="77777777" w:rsidR="00052F25" w:rsidRDefault="00052F25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</w:p>
    <w:p w14:paraId="60155574" w14:textId="77777777" w:rsidR="009630FD" w:rsidRP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8"/>
      <w:r w:rsidRPr="009630FD">
        <w:rPr>
          <w:rFonts w:ascii="Arial" w:hAnsi="Arial" w:cs="Arial"/>
          <w:sz w:val="28"/>
          <w:szCs w:val="28"/>
        </w:rPr>
        <w:t>Dispõe</w:t>
      </w:r>
      <w:commentRangeEnd w:id="18"/>
      <w:r w:rsidRPr="009630FD">
        <w:rPr>
          <w:rStyle w:val="Refdecomentrio"/>
          <w:rFonts w:ascii="Arial" w:hAnsi="Arial" w:cs="Arial"/>
          <w:sz w:val="28"/>
          <w:szCs w:val="28"/>
        </w:rPr>
        <w:commentReference w:id="18"/>
      </w:r>
      <w:r w:rsidRPr="009630FD">
        <w:rPr>
          <w:rFonts w:ascii="Arial" w:hAnsi="Arial" w:cs="Arial"/>
          <w:sz w:val="28"/>
          <w:szCs w:val="28"/>
        </w:rPr>
        <w:t xml:space="preserve"> a Súmula 608/STJ:</w:t>
      </w:r>
    </w:p>
    <w:p w14:paraId="5890FE97" w14:textId="08B2A1F3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D83BA7A" w14:textId="77777777" w:rsidR="009630FD" w:rsidRPr="00043EAF" w:rsidRDefault="009630FD" w:rsidP="00043EAF">
      <w:pPr>
        <w:spacing w:after="0" w:line="360" w:lineRule="auto"/>
        <w:ind w:left="2268"/>
        <w:jc w:val="both"/>
        <w:rPr>
          <w:rFonts w:ascii="Arial" w:hAnsi="Arial" w:cs="Arial"/>
          <w:sz w:val="26"/>
          <w:szCs w:val="26"/>
        </w:rPr>
      </w:pPr>
      <w:r w:rsidRPr="00043EAF">
        <w:rPr>
          <w:rFonts w:ascii="Arial" w:hAnsi="Arial" w:cs="Arial"/>
          <w:sz w:val="26"/>
          <w:szCs w:val="26"/>
        </w:rPr>
        <w:t>“</w:t>
      </w:r>
      <w:r w:rsidRPr="00043EAF">
        <w:rPr>
          <w:rFonts w:ascii="Arial" w:hAnsi="Arial" w:cs="Arial"/>
          <w:i/>
          <w:iCs/>
          <w:sz w:val="26"/>
          <w:szCs w:val="26"/>
        </w:rPr>
        <w:t>Aplica-se o Código de Defesa do Consumidor aos contratos de plano de saúde, salvo os administrados por entidades de autogestão.</w:t>
      </w:r>
      <w:r w:rsidRPr="00043EAF">
        <w:rPr>
          <w:rFonts w:ascii="Arial" w:hAnsi="Arial" w:cs="Arial"/>
          <w:sz w:val="26"/>
          <w:szCs w:val="26"/>
        </w:rPr>
        <w:t>”</w:t>
      </w:r>
    </w:p>
    <w:p w14:paraId="61430E3F" w14:textId="5E15F1F6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630FD">
        <w:rPr>
          <w:rFonts w:ascii="Arial" w:hAnsi="Arial" w:cs="Arial"/>
          <w:sz w:val="28"/>
          <w:szCs w:val="28"/>
        </w:rPr>
        <w:t xml:space="preserve"> </w:t>
      </w:r>
    </w:p>
    <w:p w14:paraId="2F320055" w14:textId="64866A77" w:rsidR="00052F25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9"/>
      <w:r>
        <w:rPr>
          <w:rFonts w:ascii="Arial" w:hAnsi="Arial" w:cs="Arial"/>
          <w:sz w:val="28"/>
          <w:szCs w:val="28"/>
        </w:rPr>
        <w:t xml:space="preserve">Portanto, não incide o CDC </w:t>
      </w:r>
      <w:r>
        <w:rPr>
          <w:rFonts w:ascii="Arial" w:hAnsi="Arial" w:cs="Arial"/>
          <w:color w:val="808080"/>
          <w:sz w:val="28"/>
          <w:szCs w:val="28"/>
        </w:rPr>
        <w:t>no</w:t>
      </w:r>
      <w:r>
        <w:rPr>
          <w:rFonts w:ascii="Arial" w:hAnsi="Arial" w:cs="Arial"/>
          <w:sz w:val="28"/>
          <w:szCs w:val="28"/>
        </w:rPr>
        <w:t xml:space="preserve"> contrato em análise, cujo plano de saúde é administrado por uma entidade de autogestão</w:t>
      </w:r>
      <w:r>
        <w:rPr>
          <w:rFonts w:ascii="Arial" w:hAnsi="Arial" w:cs="Arial"/>
          <w:color w:val="808080"/>
          <w:sz w:val="28"/>
          <w:szCs w:val="28"/>
        </w:rPr>
        <w:t xml:space="preserve"> (ID 88637033)</w:t>
      </w:r>
      <w:r>
        <w:rPr>
          <w:rFonts w:ascii="Arial" w:hAnsi="Arial" w:cs="Arial"/>
          <w:sz w:val="28"/>
          <w:szCs w:val="28"/>
        </w:rPr>
        <w:t>.</w:t>
      </w:r>
      <w:commentRangeEnd w:id="19"/>
      <w:r>
        <w:rPr>
          <w:rStyle w:val="Refdecomentrio"/>
          <w:rFonts w:ascii="Arial" w:hAnsi="Arial" w:cs="Arial"/>
          <w:sz w:val="28"/>
          <w:szCs w:val="28"/>
        </w:rPr>
        <w:commentReference w:id="19"/>
      </w:r>
    </w:p>
    <w:p w14:paraId="3F3BCE01" w14:textId="77777777" w:rsid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6896A0" w14:textId="7B9F14DA" w:rsidR="009630FD" w:rsidRDefault="007272D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0"/>
      <w:r>
        <w:rPr>
          <w:rFonts w:ascii="Arial" w:hAnsi="Arial" w:cs="Arial"/>
          <w:sz w:val="28"/>
          <w:szCs w:val="28"/>
        </w:rPr>
        <w:t>Por isso, a distribuição do ônus da prova deve se dar de forma ordinária, incumbindo à autora demonstrar o fato constitutivo de seu direito e, à ré, eventual fato extintivo da obrigação, como o pagamento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nos termos do art.</w:t>
      </w:r>
      <w:r>
        <w:rPr>
          <w:rFonts w:ascii="Arial" w:hAnsi="Arial" w:cs="Arial"/>
          <w:sz w:val="28"/>
          <w:szCs w:val="28"/>
        </w:rPr>
        <w:t xml:space="preserve"> 373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I e II</w:t>
      </w:r>
      <w:commentRangeEnd w:id="20"/>
      <w:r>
        <w:rPr>
          <w:rStyle w:val="Refdecomentrio"/>
          <w:rFonts w:ascii="Arial" w:hAnsi="Arial" w:cs="Arial"/>
          <w:color w:val="808080"/>
          <w:sz w:val="28"/>
          <w:szCs w:val="28"/>
        </w:rPr>
        <w:commentReference w:id="20"/>
      </w:r>
      <w:r>
        <w:rPr>
          <w:rFonts w:ascii="Arial" w:hAnsi="Arial" w:cs="Arial"/>
          <w:color w:val="808080"/>
          <w:sz w:val="28"/>
          <w:szCs w:val="28"/>
        </w:rPr>
        <w:t>, do CPC:</w:t>
      </w:r>
    </w:p>
    <w:p w14:paraId="50F8B744" w14:textId="77777777" w:rsidR="003B1726" w:rsidRDefault="003B172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09B7F78" w14:textId="77777777" w:rsidR="003B1726" w:rsidRDefault="00000000">
      <w:pPr>
        <w:spacing w:after="0" w:line="360" w:lineRule="auto"/>
        <w:ind w:left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szCs w:val="28"/>
        </w:rPr>
        <w:t>“Art. 373. O ônus da prova incumbe:</w:t>
      </w:r>
    </w:p>
    <w:p w14:paraId="187621A5" w14:textId="77777777" w:rsidR="003B1726" w:rsidRDefault="00000000">
      <w:pPr>
        <w:spacing w:after="0" w:line="360" w:lineRule="auto"/>
        <w:ind w:left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>I - ao autor, quanto ao fato constitutivo de seu direito;</w:t>
      </w:r>
    </w:p>
    <w:p w14:paraId="06F584F2" w14:textId="77777777" w:rsidR="003B1726" w:rsidRDefault="00000000">
      <w:pPr>
        <w:spacing w:after="0" w:line="360" w:lineRule="auto"/>
        <w:ind w:left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u w:val="single"/>
        </w:rPr>
        <w:t>II - ao réu, quanto à existência de fato impeditivo, modificativo ou extintivo do direito do autor.</w:t>
      </w:r>
      <w:r>
        <w:rPr>
          <w:rFonts w:ascii="Arial" w:hAnsi="Arial" w:cs="Arial"/>
          <w:i/>
          <w:color w:val="808080"/>
          <w:sz w:val="26"/>
        </w:rPr>
        <w:t>” – Grifei</w:t>
      </w:r>
    </w:p>
    <w:p w14:paraId="49C87DFB" w14:textId="77777777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FE2964D" w14:textId="5AC09A1F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alegação de que seria imprescindível a apresentação dos boletos bancários das prestações cobradas não se sustenta, pois, como bem observado na r. sentença, a autora apresentou outros documentos suficientes para demonstrar as obrigações inadimplidas, listando as mensalidades, </w:t>
      </w:r>
      <w:r>
        <w:rPr>
          <w:rFonts w:ascii="Arial" w:hAnsi="Arial" w:cs="Arial"/>
          <w:color w:val="808080"/>
          <w:sz w:val="28"/>
          <w:szCs w:val="28"/>
        </w:rPr>
        <w:t>coparticipações</w:t>
      </w:r>
      <w:r>
        <w:rPr>
          <w:rFonts w:ascii="Arial" w:hAnsi="Arial" w:cs="Arial"/>
          <w:sz w:val="28"/>
          <w:szCs w:val="28"/>
        </w:rPr>
        <w:t xml:space="preserve"> e tarifas contratuais (</w:t>
      </w:r>
      <w:r>
        <w:rPr>
          <w:rFonts w:ascii="Arial" w:hAnsi="Arial" w:cs="Arial"/>
          <w:color w:val="808080"/>
          <w:sz w:val="28"/>
          <w:szCs w:val="28"/>
        </w:rPr>
        <w:t>ID</w:t>
      </w:r>
      <w:r>
        <w:rPr>
          <w:rFonts w:ascii="Arial" w:hAnsi="Arial" w:cs="Arial"/>
          <w:sz w:val="28"/>
          <w:szCs w:val="28"/>
        </w:rPr>
        <w:t xml:space="preserve"> 88637035 a 88637040).</w:t>
      </w:r>
    </w:p>
    <w:p w14:paraId="4F72927B" w14:textId="77777777" w:rsidR="001F7DB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BD7D1AC" w14:textId="77777777" w:rsidR="0096474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outro lado, a</w:t>
      </w:r>
      <w:r w:rsidR="000112A8">
        <w:rPr>
          <w:rFonts w:ascii="Arial" w:hAnsi="Arial" w:cs="Arial"/>
          <w:sz w:val="28"/>
          <w:szCs w:val="28"/>
        </w:rPr>
        <w:t xml:space="preserve"> apelante não apresentou nenhum documento comprobatório do pagamento de quaisquer das parcelas </w:t>
      </w:r>
      <w:r w:rsidR="000112A8">
        <w:rPr>
          <w:rFonts w:ascii="Arial" w:hAnsi="Arial" w:cs="Arial"/>
          <w:sz w:val="28"/>
          <w:szCs w:val="28"/>
        </w:rPr>
        <w:lastRenderedPageBreak/>
        <w:t xml:space="preserve">cobradas, limitando-se a sustentar suposta quitação que teria sido dada por ocasião da migração por portabilidade. </w:t>
      </w:r>
    </w:p>
    <w:p w14:paraId="754DF310" w14:textId="77777777" w:rsidR="0096474A" w:rsidRDefault="0096474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3F9EEC4" w14:textId="77777777" w:rsidR="003B1726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Ocorre que a carta de </w:t>
      </w:r>
      <w:r>
        <w:rPr>
          <w:rFonts w:ascii="Arial" w:hAnsi="Arial" w:cs="Arial"/>
          <w:color w:val="808080"/>
          <w:sz w:val="28"/>
          <w:szCs w:val="28"/>
        </w:rPr>
        <w:t>portabilidade</w:t>
      </w:r>
      <w:r>
        <w:rPr>
          <w:rFonts w:ascii="Arial" w:hAnsi="Arial" w:cs="Arial"/>
          <w:sz w:val="28"/>
          <w:szCs w:val="28"/>
        </w:rPr>
        <w:t xml:space="preserve"> emitida pela apelada não contém quitação expressa, sequer seus termos sugerem a inexistência de outras obrigações inadimplidas além da prestação que se venceria em setembro de 2021</w:t>
      </w:r>
      <w:r>
        <w:rPr>
          <w:rFonts w:ascii="Arial" w:hAnsi="Arial" w:cs="Arial"/>
          <w:color w:val="808080"/>
          <w:sz w:val="28"/>
          <w:szCs w:val="28"/>
        </w:rPr>
        <w:t xml:space="preserve"> (ID 88637463)</w:t>
      </w:r>
      <w:r>
        <w:rPr>
          <w:rFonts w:ascii="Arial" w:hAnsi="Arial" w:cs="Arial"/>
          <w:sz w:val="28"/>
          <w:szCs w:val="28"/>
        </w:rPr>
        <w:t>.</w:t>
      </w:r>
    </w:p>
    <w:p w14:paraId="7649872D" w14:textId="77777777" w:rsidR="003B1726" w:rsidRDefault="003B1726">
      <w:pPr>
        <w:spacing w:after="0" w:line="360" w:lineRule="auto"/>
        <w:ind w:firstLine="2268"/>
        <w:jc w:val="both"/>
      </w:pPr>
    </w:p>
    <w:p w14:paraId="3BED0648" w14:textId="432275B0" w:rsidR="002745A1" w:rsidRDefault="000112A8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1"/>
      <w:r>
        <w:rPr>
          <w:rFonts w:ascii="Arial" w:hAnsi="Arial" w:cs="Arial"/>
          <w:sz w:val="28"/>
          <w:szCs w:val="28"/>
          <w:highlight w:val="yellow"/>
        </w:rPr>
        <w:t>Ao revés, o teor da carta é inequívoco ao afirmar que a “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>situação financeira atual do contrato</w:t>
      </w:r>
      <w:r>
        <w:rPr>
          <w:rFonts w:ascii="Arial" w:hAnsi="Arial" w:cs="Arial"/>
          <w:sz w:val="28"/>
          <w:szCs w:val="28"/>
          <w:highlight w:val="yellow"/>
        </w:rPr>
        <w:t>” era “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>INADIMPLENTE</w:t>
      </w:r>
      <w:r>
        <w:rPr>
          <w:rFonts w:ascii="Arial" w:hAnsi="Arial" w:cs="Arial"/>
          <w:sz w:val="28"/>
          <w:szCs w:val="28"/>
          <w:highlight w:val="yellow"/>
        </w:rPr>
        <w:t>”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,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commentRangeEnd w:id="21"/>
      <w:r>
        <w:rPr>
          <w:rStyle w:val="Refdecomentrio"/>
          <w:rFonts w:ascii="Arial" w:hAnsi="Arial" w:cs="Arial"/>
          <w:color w:val="808080"/>
          <w:sz w:val="28"/>
          <w:szCs w:val="28"/>
          <w:highlight w:val="yellow"/>
        </w:rPr>
        <w:commentReference w:id="21"/>
      </w:r>
      <w:r>
        <w:rPr>
          <w:rFonts w:ascii="Arial" w:hAnsi="Arial" w:cs="Arial"/>
          <w:color w:val="808080"/>
          <w:sz w:val="28"/>
          <w:szCs w:val="28"/>
          <w:highlight w:val="yellow"/>
        </w:rPr>
        <w:t>com a advertência de que as mensalidades devem ser pagas até o cancelamento (ID 88637463):</w:t>
      </w:r>
    </w:p>
    <w:p w14:paraId="41CB0DD4" w14:textId="77777777" w:rsidR="003B1726" w:rsidRDefault="003B172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5DE52C3" w14:textId="77777777" w:rsidR="003B1726" w:rsidRDefault="00000000"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szCs w:val="28"/>
        </w:rPr>
        <w:t xml:space="preserve">“Situação financeira atual do contrato: </w:t>
      </w:r>
      <w:r>
        <w:rPr>
          <w:rFonts w:ascii="Arial" w:hAnsi="Arial" w:cs="Arial"/>
          <w:i/>
          <w:color w:val="808080"/>
          <w:sz w:val="26"/>
          <w:szCs w:val="28"/>
          <w:u w:val="single"/>
        </w:rPr>
        <w:t>INADIMPLENTE</w:t>
      </w:r>
    </w:p>
    <w:p w14:paraId="5D19C706" w14:textId="77777777" w:rsidR="003B1726" w:rsidRDefault="00000000"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>Dados da última mensalidade: Data de Vencimento 10/09/2021 – Valor da Mensalidade (R$) 1386.22</w:t>
      </w:r>
    </w:p>
    <w:p w14:paraId="40F51642" w14:textId="77777777" w:rsidR="003B1726" w:rsidRDefault="00000000"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u w:val="single"/>
        </w:rPr>
        <w:t>Até que haja a efetivação do cancelamento as mensalidades devem ser quitadas regularmente.</w:t>
      </w:r>
      <w:r>
        <w:rPr>
          <w:rFonts w:ascii="Arial" w:hAnsi="Arial" w:cs="Arial"/>
          <w:i/>
          <w:color w:val="808080"/>
          <w:sz w:val="26"/>
        </w:rPr>
        <w:t>” – Grifei</w:t>
      </w:r>
    </w:p>
    <w:p w14:paraId="1563BD18" w14:textId="77777777" w:rsidR="003B1726" w:rsidRDefault="003B1726"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</w:p>
    <w:p w14:paraId="2E59F067" w14:textId="77777777" w:rsidR="003B1726" w:rsidRDefault="0000000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</w:rPr>
        <w:t>Quanto à quitação tácita, dispõe o art. 320 do CC:</w:t>
      </w:r>
    </w:p>
    <w:p w14:paraId="4B68591D" w14:textId="77777777" w:rsidR="003B1726" w:rsidRDefault="003B172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D2F8220" w14:textId="77777777" w:rsidR="003B1726" w:rsidRDefault="00000000">
      <w:pPr>
        <w:spacing w:after="0" w:line="360" w:lineRule="auto"/>
        <w:ind w:left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>“Art. 320. A quitação, que sempre poderá ser dada por instrumento particular, designará o valor e a espécie da dívida quitada, o nome do devedor, ou quem por este pagou, o tempo e o lugar do pagamento, com a assinatura do credor, ou do seu representante.</w:t>
      </w:r>
    </w:p>
    <w:p w14:paraId="22A0089A" w14:textId="77777777" w:rsidR="003B1726" w:rsidRDefault="00000000">
      <w:pPr>
        <w:spacing w:after="0" w:line="360" w:lineRule="auto"/>
        <w:ind w:left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>(...)</w:t>
      </w:r>
    </w:p>
    <w:p w14:paraId="7076C2E6" w14:textId="77777777" w:rsidR="003B1726" w:rsidRDefault="00000000">
      <w:pPr>
        <w:spacing w:after="0" w:line="360" w:lineRule="auto"/>
        <w:ind w:left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lastRenderedPageBreak/>
        <w:t xml:space="preserve">Parágrafo único. Ainda sem os requisitos estabelecidos neste artigo valerá a quitação, </w:t>
      </w:r>
      <w:r>
        <w:rPr>
          <w:rFonts w:ascii="Arial" w:hAnsi="Arial" w:cs="Arial"/>
          <w:i/>
          <w:color w:val="808080"/>
          <w:sz w:val="26"/>
          <w:u w:val="single"/>
        </w:rPr>
        <w:t>se de seus termos ou das circunstâncias resultar haver sido paga a dívida</w:t>
      </w:r>
      <w:r>
        <w:rPr>
          <w:rFonts w:ascii="Arial" w:hAnsi="Arial" w:cs="Arial"/>
          <w:i/>
          <w:color w:val="808080"/>
          <w:sz w:val="26"/>
        </w:rPr>
        <w:t>.” – Grifei</w:t>
      </w:r>
    </w:p>
    <w:p w14:paraId="7660F963" w14:textId="77777777" w:rsidR="002745A1" w:rsidRDefault="002745A1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71FF249" w14:textId="77777777" w:rsidR="003B1726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color w:val="808080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informação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de que</w:t>
      </w:r>
      <w:r>
        <w:rPr>
          <w:rFonts w:ascii="Arial" w:hAnsi="Arial" w:cs="Arial"/>
          <w:sz w:val="28"/>
          <w:szCs w:val="28"/>
        </w:rPr>
        <w:t xml:space="preserve"> a última mensalidade </w:t>
      </w:r>
      <w:r>
        <w:rPr>
          <w:rFonts w:ascii="Arial" w:hAnsi="Arial" w:cs="Arial"/>
          <w:color w:val="808080"/>
          <w:sz w:val="28"/>
          <w:szCs w:val="28"/>
        </w:rPr>
        <w:t>venceu</w:t>
      </w:r>
      <w:r>
        <w:rPr>
          <w:rFonts w:ascii="Arial" w:hAnsi="Arial" w:cs="Arial"/>
          <w:sz w:val="28"/>
          <w:szCs w:val="28"/>
        </w:rPr>
        <w:t xml:space="preserve"> em 10/</w:t>
      </w:r>
      <w:r>
        <w:rPr>
          <w:rFonts w:ascii="Arial" w:hAnsi="Arial" w:cs="Arial"/>
          <w:color w:val="808080"/>
          <w:sz w:val="28"/>
          <w:szCs w:val="28"/>
        </w:rPr>
        <w:t>09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2021,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com</w:t>
      </w:r>
      <w:r>
        <w:rPr>
          <w:rFonts w:ascii="Arial" w:hAnsi="Arial" w:cs="Arial"/>
          <w:sz w:val="28"/>
          <w:szCs w:val="28"/>
        </w:rPr>
        <w:t xml:space="preserve"> o respectivo valor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não </w:t>
      </w:r>
      <w:r>
        <w:rPr>
          <w:rFonts w:ascii="Arial" w:hAnsi="Arial" w:cs="Arial"/>
          <w:color w:val="808080"/>
          <w:sz w:val="28"/>
          <w:szCs w:val="28"/>
        </w:rPr>
        <w:t>sugere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inexistência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de</w:t>
      </w:r>
      <w:r>
        <w:rPr>
          <w:rFonts w:ascii="Arial" w:hAnsi="Arial" w:cs="Arial"/>
          <w:sz w:val="28"/>
          <w:szCs w:val="28"/>
        </w:rPr>
        <w:t xml:space="preserve"> outras prestações em aberto.</w:t>
      </w:r>
    </w:p>
    <w:p w14:paraId="3F9E9065" w14:textId="77777777" w:rsidR="003B1726" w:rsidRDefault="003B1726">
      <w:pPr>
        <w:spacing w:after="0" w:line="360" w:lineRule="auto"/>
        <w:ind w:firstLine="2268"/>
        <w:jc w:val="both"/>
      </w:pPr>
    </w:p>
    <w:p w14:paraId="499C42A6" w14:textId="64BAE96D" w:rsidR="001A2AD2" w:rsidRDefault="00712DA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Dessa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forma</w:t>
      </w:r>
      <w:r>
        <w:rPr>
          <w:rFonts w:ascii="Arial" w:hAnsi="Arial" w:cs="Arial"/>
          <w:sz w:val="28"/>
          <w:szCs w:val="28"/>
          <w:highlight w:val="yellow"/>
        </w:rPr>
        <w:t>, os termos e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as</w:t>
      </w:r>
      <w:r>
        <w:rPr>
          <w:rFonts w:ascii="Arial" w:hAnsi="Arial" w:cs="Arial"/>
          <w:sz w:val="28"/>
          <w:szCs w:val="28"/>
          <w:highlight w:val="yellow"/>
        </w:rPr>
        <w:t xml:space="preserve"> circunstâncias constantes do documento não permitem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concluir</w:t>
      </w:r>
      <w:r>
        <w:rPr>
          <w:rFonts w:ascii="Arial" w:hAnsi="Arial" w:cs="Arial"/>
          <w:sz w:val="28"/>
          <w:szCs w:val="28"/>
          <w:highlight w:val="yellow"/>
        </w:rPr>
        <w:t xml:space="preserve"> que a dívida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foi</w:t>
      </w:r>
      <w:r>
        <w:rPr>
          <w:rFonts w:ascii="Arial" w:hAnsi="Arial" w:cs="Arial"/>
          <w:sz w:val="28"/>
          <w:szCs w:val="28"/>
          <w:highlight w:val="yellow"/>
        </w:rPr>
        <w:t xml:space="preserve"> paga, de modo 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considerá-la</w:t>
      </w:r>
      <w:r>
        <w:rPr>
          <w:rFonts w:ascii="Arial" w:hAnsi="Arial" w:cs="Arial"/>
          <w:sz w:val="28"/>
          <w:szCs w:val="28"/>
          <w:highlight w:val="yellow"/>
        </w:rPr>
        <w:t xml:space="preserve"> tacitamente quitada (CC 320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>parágrafo único</w:t>
      </w:r>
      <w:r>
        <w:rPr>
          <w:rFonts w:ascii="Arial" w:hAnsi="Arial" w:cs="Arial"/>
          <w:sz w:val="28"/>
          <w:szCs w:val="28"/>
          <w:highlight w:val="yellow"/>
        </w:rPr>
        <w:t>).</w:t>
      </w:r>
    </w:p>
    <w:p w14:paraId="69D9C7D6" w14:textId="77777777" w:rsidR="00FB0354" w:rsidRDefault="00FB0354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1163D2C" w14:textId="01D0DDB2" w:rsidR="003B1726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Sob outra vertente, o fato de a quitação ser elencada como condição para a portabilidade entre os planos de saúde, conforme o </w:t>
      </w:r>
      <w:commentRangeStart w:id="22"/>
      <w:r>
        <w:rPr>
          <w:rFonts w:ascii="Arial" w:hAnsi="Arial" w:cs="Arial"/>
          <w:sz w:val="28"/>
          <w:szCs w:val="28"/>
        </w:rPr>
        <w:t>art. 3º, II</w:t>
      </w:r>
      <w:commentRangeEnd w:id="22"/>
      <w:r w:rsidR="00915CEC">
        <w:rPr>
          <w:rStyle w:val="Refdecomentrio"/>
          <w:rFonts w:ascii="Arial" w:hAnsi="Arial" w:cs="Arial"/>
          <w:sz w:val="28"/>
          <w:szCs w:val="28"/>
        </w:rPr>
        <w:commentReference w:id="22"/>
      </w:r>
      <w:r>
        <w:rPr>
          <w:rFonts w:ascii="Arial" w:hAnsi="Arial" w:cs="Arial"/>
          <w:sz w:val="28"/>
          <w:szCs w:val="28"/>
        </w:rPr>
        <w:t>, da Resolução Normativa nº 438 da Agência Nacional de Saúde Suplementar</w:t>
      </w:r>
      <w:r w:rsidR="00915CEC">
        <w:rPr>
          <w:rFonts w:ascii="Arial" w:hAnsi="Arial" w:cs="Arial"/>
          <w:sz w:val="28"/>
          <w:szCs w:val="28"/>
        </w:rPr>
        <w:t xml:space="preserve"> – </w:t>
      </w:r>
      <w:r w:rsidR="00915CEC" w:rsidRPr="00915CEC">
        <w:rPr>
          <w:rFonts w:ascii="Arial" w:hAnsi="Arial" w:cs="Arial"/>
          <w:sz w:val="28"/>
          <w:szCs w:val="28"/>
        </w:rPr>
        <w:t>Dispõe sobre a regulamentação da portabilidade de carências para beneficiários de planos privados de assistência à saúde</w:t>
      </w:r>
      <w:r w:rsidR="00915CEC">
        <w:rPr>
          <w:rFonts w:ascii="Arial" w:hAnsi="Arial" w:cs="Arial"/>
          <w:sz w:val="28"/>
          <w:szCs w:val="28"/>
        </w:rPr>
        <w:t xml:space="preserve"> –</w:t>
      </w:r>
      <w:r>
        <w:rPr>
          <w:rFonts w:ascii="Arial" w:hAnsi="Arial" w:cs="Arial"/>
          <w:sz w:val="28"/>
          <w:szCs w:val="28"/>
        </w:rPr>
        <w:t>, não faz presumir a inexistência de obrigações inadimplidas em momento anterior.</w:t>
      </w:r>
    </w:p>
    <w:p w14:paraId="0D358998" w14:textId="77777777" w:rsidR="003B1726" w:rsidRDefault="003B1726">
      <w:pPr>
        <w:spacing w:after="0" w:line="360" w:lineRule="auto"/>
        <w:ind w:firstLine="2268"/>
        <w:jc w:val="both"/>
      </w:pPr>
    </w:p>
    <w:p w14:paraId="59EC4011" w14:textId="77777777" w:rsidR="003B1726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Com efeito, o </w:t>
      </w:r>
      <w:commentRangeStart w:id="23"/>
      <w:r>
        <w:rPr>
          <w:rFonts w:ascii="Arial" w:hAnsi="Arial" w:cs="Arial"/>
          <w:sz w:val="28"/>
          <w:szCs w:val="28"/>
        </w:rPr>
        <w:t xml:space="preserve">parágrafo único do art. 17 </w:t>
      </w:r>
      <w:commentRangeEnd w:id="23"/>
      <w:r w:rsidR="00915CEC">
        <w:rPr>
          <w:rStyle w:val="Refdecomentrio"/>
          <w:rFonts w:ascii="Arial" w:hAnsi="Arial" w:cs="Arial"/>
          <w:sz w:val="28"/>
          <w:szCs w:val="28"/>
        </w:rPr>
        <w:commentReference w:id="23"/>
      </w:r>
      <w:r>
        <w:rPr>
          <w:rFonts w:ascii="Arial" w:hAnsi="Arial" w:cs="Arial"/>
          <w:sz w:val="28"/>
          <w:szCs w:val="28"/>
        </w:rPr>
        <w:t xml:space="preserve">da referida resolução estabelece apenas que, caso o beneficiário não atenda aos requisitos previstos, a operadora do plano de destino ou a administradora de benefícios responsável </w:t>
      </w:r>
      <w:r w:rsidRPr="00915CEC">
        <w:rPr>
          <w:rFonts w:ascii="Arial" w:hAnsi="Arial" w:cs="Arial"/>
          <w:sz w:val="28"/>
          <w:szCs w:val="28"/>
        </w:rPr>
        <w:t>poderá</w:t>
      </w:r>
      <w:r>
        <w:rPr>
          <w:rFonts w:ascii="Arial" w:hAnsi="Arial" w:cs="Arial"/>
          <w:sz w:val="28"/>
          <w:szCs w:val="28"/>
        </w:rPr>
        <w:t xml:space="preserve"> recusar a solicitação de portabilidade de carências, desde que apresente a devida justificativa.</w:t>
      </w:r>
    </w:p>
    <w:p w14:paraId="5762C0B0" w14:textId="77777777" w:rsidR="003B1726" w:rsidRDefault="003B1726">
      <w:pPr>
        <w:spacing w:after="0" w:line="360" w:lineRule="auto"/>
        <w:ind w:firstLine="2268"/>
        <w:jc w:val="both"/>
      </w:pPr>
    </w:p>
    <w:p w14:paraId="6937303A" w14:textId="0D8A811B" w:rsidR="007868D7" w:rsidRDefault="00FB0354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4"/>
      <w:r>
        <w:rPr>
          <w:rFonts w:ascii="Arial" w:hAnsi="Arial" w:cs="Arial"/>
          <w:sz w:val="28"/>
          <w:szCs w:val="28"/>
        </w:rPr>
        <w:lastRenderedPageBreak/>
        <w:t xml:space="preserve">Não </w:t>
      </w:r>
      <w:r>
        <w:rPr>
          <w:rFonts w:ascii="Arial" w:hAnsi="Arial" w:cs="Arial"/>
          <w:color w:val="808080"/>
          <w:sz w:val="28"/>
          <w:szCs w:val="28"/>
        </w:rPr>
        <w:t>há</w:t>
      </w:r>
      <w:r>
        <w:rPr>
          <w:rFonts w:ascii="Arial" w:hAnsi="Arial" w:cs="Arial"/>
          <w:sz w:val="28"/>
          <w:szCs w:val="28"/>
        </w:rPr>
        <w:t>, porém, proibição de que a migração seja concretizada, incumbindo à operadora de destino, no exercício da sua liberdade empresarial, avaliar se aceita o beneficiário que se encontra inadimplente no plano de origem.</w:t>
      </w:r>
      <w:commentRangeEnd w:id="24"/>
      <w:r>
        <w:rPr>
          <w:rStyle w:val="Refdecomentrio"/>
          <w:rFonts w:ascii="Arial" w:hAnsi="Arial" w:cs="Arial"/>
          <w:sz w:val="28"/>
          <w:szCs w:val="28"/>
        </w:rPr>
        <w:commentReference w:id="24"/>
      </w:r>
    </w:p>
    <w:p w14:paraId="71A55D3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18C3D0B" w14:textId="20CD6D33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Nesse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sentido</w:t>
      </w:r>
      <w:r>
        <w:rPr>
          <w:rFonts w:ascii="Arial" w:hAnsi="Arial" w:cs="Arial"/>
          <w:sz w:val="28"/>
          <w:szCs w:val="28"/>
        </w:rPr>
        <w:t>:</w:t>
      </w:r>
    </w:p>
    <w:p w14:paraId="360210F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CB53166" w14:textId="7059471D" w:rsidR="00346965" w:rsidRPr="0092365E" w:rsidRDefault="006A58AD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346965">
        <w:rPr>
          <w:rFonts w:ascii="Arial" w:hAnsi="Arial" w:cs="Arial"/>
          <w:i/>
          <w:sz w:val="26"/>
          <w:szCs w:val="26"/>
        </w:rPr>
        <w:t>“</w:t>
      </w:r>
      <w:r w:rsidR="00346965" w:rsidRPr="00346965">
        <w:rPr>
          <w:rFonts w:ascii="Arial" w:hAnsi="Arial" w:cs="Arial"/>
          <w:i/>
          <w:sz w:val="26"/>
          <w:szCs w:val="26"/>
        </w:rPr>
        <w:t xml:space="preserve">(...) </w:t>
      </w:r>
      <w:r w:rsidR="00346965" w:rsidRPr="0092365E">
        <w:rPr>
          <w:rFonts w:ascii="Arial" w:hAnsi="Arial" w:cs="Arial"/>
          <w:i/>
          <w:iCs/>
          <w:sz w:val="26"/>
          <w:szCs w:val="26"/>
        </w:rPr>
        <w:t>1. O autor, beneficiário de plano de saúde oferecido pela recorrente, realizou, com sua anuência escrita, a portabilidade em 18/3/2023. Contudo, cerca de 8 meses depois teria sido surpreendido com a cobrança de R$ 9.073,02, referente ao valor das mensalidades de janeiro/2023 e fevereiro/2023. Alega que a cobrança é indevida, pois, para que a portabilidade ocorra, é necessário estar em dia com suas obrigações com a AMIL, conforme a Resolução nº 438/ANS. Pretende a declaração de inexigibilidade da dívida e indenização por dano moral. A sentença julgou parcialmente procedente apenas para declarar a inexigibilidade da dívida.</w:t>
      </w:r>
    </w:p>
    <w:p w14:paraId="189F02DF" w14:textId="146C2A89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(...)</w:t>
      </w:r>
    </w:p>
    <w:p w14:paraId="273DD711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5. Conforme o art. 3º da Resolução nº 438/2018/ANS, para realizar a portabilidade da carência, o beneficiário deve, dentre outros, estar adimplente junto à operadora do plano de origem (inciso II).</w:t>
      </w:r>
    </w:p>
    <w:p w14:paraId="0A70678B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 xml:space="preserve">6. No caso, a portabilidade para a MedSenior, realizada em 18/3/2023, indica apenas a redução das carências e não a sua dispensa. Além disso, não há qualquer documento emitido pela operadora de origem que reconheça a mudança de plano de saúde e ateste a sua adimplência. Por fim, </w:t>
      </w:r>
      <w:r w:rsidRPr="0092365E">
        <w:rPr>
          <w:rFonts w:ascii="Arial" w:hAnsi="Arial" w:cs="Arial"/>
          <w:i/>
          <w:iCs/>
          <w:sz w:val="26"/>
          <w:szCs w:val="26"/>
          <w:u w:val="single"/>
        </w:rPr>
        <w:t xml:space="preserve">não há a comprovação, por </w:t>
      </w:r>
      <w:r w:rsidRPr="0092365E">
        <w:rPr>
          <w:rFonts w:ascii="Arial" w:hAnsi="Arial" w:cs="Arial"/>
          <w:i/>
          <w:iCs/>
          <w:sz w:val="26"/>
          <w:szCs w:val="26"/>
          <w:u w:val="single"/>
        </w:rPr>
        <w:lastRenderedPageBreak/>
        <w:t>parte do consumidor, de que teria efetivamente quitado as mensalidades de janeiro/2023 e fevereiro/2023</w:t>
      </w:r>
      <w:r w:rsidRPr="0092365E">
        <w:rPr>
          <w:rFonts w:ascii="Arial" w:hAnsi="Arial" w:cs="Arial"/>
          <w:i/>
          <w:iCs/>
          <w:sz w:val="26"/>
          <w:szCs w:val="26"/>
        </w:rPr>
        <w:t>.</w:t>
      </w:r>
    </w:p>
    <w:p w14:paraId="1540F419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7. Assim, apesar da revelia da recorrente, as alegações do autor/recorrido não são verossímeis e não encontram respaldo nas provas constantes dos autos, razão pela qual devem ser julgadas improcedentes.</w:t>
      </w:r>
    </w:p>
    <w:p w14:paraId="64EC480C" w14:textId="10ACF7BF" w:rsidR="006A58AD" w:rsidRPr="00C114AD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commentRangeStart w:id="25"/>
      <w:r>
        <w:rPr>
          <w:rFonts w:ascii="Arial" w:hAnsi="Arial" w:cs="Arial"/>
          <w:i/>
          <w:sz w:val="26"/>
          <w:szCs w:val="26"/>
        </w:rPr>
        <w:t xml:space="preserve">(...)” </w:t>
      </w:r>
      <w:r>
        <w:rPr>
          <w:rFonts w:ascii="Arial" w:hAnsi="Arial" w:cs="Arial"/>
          <w:i/>
          <w:iCs/>
          <w:sz w:val="26"/>
          <w:szCs w:val="26"/>
        </w:rPr>
        <w:t>(Acórdão 2005667, 0758754-34.2024.8.07.0016, Relator(a): RITA DE CÁSSIA DE CERQUEIRA LIMA ROCHA, PRIMEIRA TURMA RECURSAL, data de julgamento: 30/</w:t>
      </w:r>
      <w:r>
        <w:rPr>
          <w:rFonts w:ascii="Arial" w:hAnsi="Arial" w:cs="Arial"/>
          <w:i/>
          <w:iCs/>
          <w:color w:val="808080"/>
          <w:sz w:val="26"/>
          <w:szCs w:val="26"/>
        </w:rPr>
        <w:t>05</w:t>
      </w:r>
      <w:r>
        <w:rPr>
          <w:rFonts w:ascii="Arial" w:hAnsi="Arial" w:cs="Arial"/>
          <w:i/>
          <w:iCs/>
          <w:sz w:val="26"/>
          <w:szCs w:val="26"/>
        </w:rPr>
        <w:t>/2025, publicado no DJe: 13/</w:t>
      </w:r>
      <w:r>
        <w:rPr>
          <w:rFonts w:ascii="Arial" w:hAnsi="Arial" w:cs="Arial"/>
          <w:i/>
          <w:iCs/>
          <w:color w:val="808080"/>
          <w:sz w:val="26"/>
          <w:szCs w:val="26"/>
        </w:rPr>
        <w:t>06</w:t>
      </w:r>
      <w:r>
        <w:rPr>
          <w:rFonts w:ascii="Arial" w:hAnsi="Arial" w:cs="Arial"/>
          <w:i/>
          <w:iCs/>
          <w:sz w:val="26"/>
          <w:szCs w:val="26"/>
        </w:rPr>
        <w:t>/2025</w:t>
      </w:r>
      <w:r>
        <w:rPr>
          <w:rFonts w:ascii="Arial" w:hAnsi="Arial" w:cs="Arial"/>
          <w:i/>
          <w:iCs/>
          <w:color w:val="808080"/>
          <w:sz w:val="26"/>
          <w:szCs w:val="26"/>
        </w:rPr>
        <w:t>.</w:t>
      </w:r>
      <w:r>
        <w:rPr>
          <w:rFonts w:ascii="Arial" w:hAnsi="Arial" w:cs="Arial"/>
          <w:i/>
          <w:iCs/>
          <w:sz w:val="26"/>
          <w:szCs w:val="26"/>
        </w:rPr>
        <w:t>)</w:t>
      </w:r>
      <w:commentRangeEnd w:id="25"/>
      <w:r>
        <w:rPr>
          <w:rStyle w:val="Refdecomentrio"/>
          <w:rFonts w:ascii="Arial" w:hAnsi="Arial" w:cs="Arial"/>
          <w:i/>
          <w:iCs/>
          <w:color w:val="808080"/>
          <w:sz w:val="26"/>
          <w:szCs w:val="26"/>
        </w:rPr>
        <w:commentReference w:id="25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4B335905" w14:textId="77777777" w:rsidR="0078019D" w:rsidRDefault="0078019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83921DE" w14:textId="77777777" w:rsidR="003B1726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Tampouco se há de considerar extinta a pretensão em razão da demora na cobrança, </w:t>
      </w:r>
      <w:r>
        <w:rPr>
          <w:rFonts w:ascii="Arial" w:hAnsi="Arial" w:cs="Arial"/>
          <w:color w:val="808080"/>
          <w:sz w:val="28"/>
          <w:szCs w:val="28"/>
        </w:rPr>
        <w:t>pois</w:t>
      </w:r>
      <w:r>
        <w:rPr>
          <w:rFonts w:ascii="Arial" w:hAnsi="Arial" w:cs="Arial"/>
          <w:sz w:val="28"/>
          <w:szCs w:val="28"/>
        </w:rPr>
        <w:t xml:space="preserve"> houve notificação, em 23/</w:t>
      </w:r>
      <w:r>
        <w:rPr>
          <w:rFonts w:ascii="Arial" w:hAnsi="Arial" w:cs="Arial"/>
          <w:color w:val="808080"/>
          <w:sz w:val="28"/>
          <w:szCs w:val="28"/>
        </w:rPr>
        <w:t>05</w:t>
      </w:r>
      <w:r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color w:val="808080"/>
          <w:sz w:val="28"/>
          <w:szCs w:val="28"/>
        </w:rPr>
        <w:t>2023</w:t>
      </w:r>
      <w:r>
        <w:rPr>
          <w:rFonts w:ascii="Arial" w:hAnsi="Arial" w:cs="Arial"/>
          <w:sz w:val="28"/>
          <w:szCs w:val="28"/>
        </w:rPr>
        <w:t>, cobrando o adimplemento das faturas em aberto (ID 88637464</w:t>
      </w:r>
      <w:r>
        <w:rPr>
          <w:rFonts w:ascii="Arial" w:hAnsi="Arial" w:cs="Arial"/>
          <w:color w:val="808080"/>
          <w:sz w:val="28"/>
          <w:szCs w:val="28"/>
        </w:rPr>
        <w:t xml:space="preserve"> e 88637465</w:t>
      </w:r>
      <w:r>
        <w:rPr>
          <w:rFonts w:ascii="Arial" w:hAnsi="Arial" w:cs="Arial"/>
          <w:sz w:val="28"/>
          <w:szCs w:val="28"/>
        </w:rPr>
        <w:t>).</w:t>
      </w:r>
    </w:p>
    <w:p w14:paraId="02D50A55" w14:textId="77777777" w:rsidR="003B1726" w:rsidRDefault="003B1726">
      <w:pPr>
        <w:spacing w:after="0" w:line="360" w:lineRule="auto"/>
        <w:ind w:firstLine="2268"/>
        <w:jc w:val="both"/>
      </w:pPr>
    </w:p>
    <w:p w14:paraId="5518BD92" w14:textId="3E660CF8" w:rsidR="001A22A7" w:rsidRPr="00E04A1D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Assim</w:t>
      </w:r>
      <w:commentRangeStart w:id="26"/>
      <w:r>
        <w:rPr>
          <w:rFonts w:ascii="Arial" w:hAnsi="Arial" w:cs="Arial"/>
          <w:sz w:val="28"/>
          <w:szCs w:val="28"/>
        </w:rPr>
        <w:t xml:space="preserve">, não incide a alegada </w:t>
      </w:r>
      <w:r>
        <w:rPr>
          <w:rFonts w:ascii="Arial" w:hAnsi="Arial" w:cs="Arial"/>
          <w:i/>
          <w:iCs/>
          <w:sz w:val="28"/>
          <w:szCs w:val="28"/>
        </w:rPr>
        <w:t>supressio</w:t>
      </w:r>
      <w:r>
        <w:rPr>
          <w:rFonts w:ascii="Arial" w:hAnsi="Arial" w:cs="Arial"/>
          <w:sz w:val="28"/>
          <w:szCs w:val="28"/>
        </w:rPr>
        <w:t>, tampouco cabendo falar-se em conduta contraditória</w:t>
      </w:r>
      <w:r>
        <w:rPr>
          <w:rFonts w:ascii="Arial" w:hAnsi="Arial" w:cs="Arial"/>
          <w:i/>
          <w:iCs/>
          <w:sz w:val="28"/>
          <w:szCs w:val="28"/>
        </w:rPr>
        <w:t xml:space="preserve"> (venire contra factum proprium</w:t>
      </w:r>
      <w:r>
        <w:rPr>
          <w:rFonts w:ascii="Arial" w:hAnsi="Arial" w:cs="Arial"/>
          <w:sz w:val="28"/>
          <w:szCs w:val="28"/>
        </w:rPr>
        <w:t>) por parte da apelada.</w:t>
      </w:r>
      <w:commentRangeEnd w:id="26"/>
      <w:r w:rsidRPr="00E04A1D">
        <w:rPr>
          <w:rStyle w:val="Refdecomentrio"/>
          <w:rFonts w:ascii="Arial" w:hAnsi="Arial" w:cs="Arial"/>
          <w:sz w:val="28"/>
          <w:szCs w:val="28"/>
        </w:rPr>
        <w:commentReference w:id="26"/>
      </w:r>
    </w:p>
    <w:p w14:paraId="32B8B20F" w14:textId="77777777" w:rsidR="003B1726" w:rsidRDefault="003B172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72E3EE9" w14:textId="1B52A501" w:rsidR="001A22A7" w:rsidRDefault="00C22A70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Por isso</w:t>
      </w:r>
      <w:r>
        <w:rPr>
          <w:rFonts w:ascii="Arial" w:hAnsi="Arial" w:cs="Arial"/>
          <w:sz w:val="28"/>
          <w:szCs w:val="28"/>
          <w:highlight w:val="yellow"/>
        </w:rPr>
        <w:t>, na ausência de documentos comprobatórios da extinção das obrigações pelo pagamento, e não se inferindo quitação tácita pelo teor da carta de portabilidade, a condenação ao pagamento deve ser mantida.</w:t>
      </w:r>
    </w:p>
    <w:p w14:paraId="1393FCF8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2A2F87F" w14:textId="48B4A1ED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6119EA8" w14:textId="410A7E94" w:rsidR="008A4445" w:rsidRDefault="00D516B2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Ante o exposto,</w:t>
      </w:r>
      <w:r>
        <w:t xml:space="preserve"> </w:t>
      </w:r>
      <w:r>
        <w:rPr>
          <w:rFonts w:ascii="Arial" w:hAnsi="Arial" w:cs="Arial"/>
          <w:b/>
          <w:bCs/>
          <w:sz w:val="28"/>
          <w:szCs w:val="28"/>
        </w:rPr>
        <w:t>nego provimento</w:t>
      </w:r>
      <w:r>
        <w:rPr>
          <w:rFonts w:ascii="Arial" w:hAnsi="Arial" w:cs="Arial"/>
          <w:sz w:val="28"/>
          <w:szCs w:val="28"/>
        </w:rPr>
        <w:t xml:space="preserve"> ao apelo</w:t>
      </w:r>
      <w:r>
        <w:rPr>
          <w:rFonts w:ascii="Arial" w:hAnsi="Arial" w:cs="Arial"/>
          <w:color w:val="808080"/>
          <w:sz w:val="28"/>
          <w:szCs w:val="28"/>
        </w:rPr>
        <w:t xml:space="preserve"> interposto pela ré, Rose Mary Cerqueira Ramos</w:t>
      </w:r>
      <w:r>
        <w:rPr>
          <w:rFonts w:ascii="Arial" w:hAnsi="Arial" w:cs="Arial"/>
          <w:sz w:val="28"/>
          <w:szCs w:val="28"/>
        </w:rPr>
        <w:t>.</w:t>
      </w:r>
    </w:p>
    <w:p w14:paraId="38E9A44F" w14:textId="77777777" w:rsidR="008A4445" w:rsidRDefault="008A4445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BB4AF11" w14:textId="4D83F222" w:rsidR="00635527" w:rsidRDefault="00480A3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Condeno</w:t>
      </w:r>
      <w:r>
        <w:rPr>
          <w:rFonts w:ascii="Arial" w:hAnsi="Arial" w:cs="Arial"/>
          <w:sz w:val="28"/>
          <w:szCs w:val="28"/>
        </w:rPr>
        <w:t xml:space="preserve"> a ré/apelante ao pagamento de honorários recursais que fixo em 2% do </w:t>
      </w:r>
      <w:commentRangeStart w:id="27"/>
      <w:r>
        <w:rPr>
          <w:rFonts w:ascii="Arial" w:hAnsi="Arial" w:cs="Arial"/>
          <w:sz w:val="28"/>
          <w:szCs w:val="28"/>
        </w:rPr>
        <w:t>valor atualizado da condenação</w:t>
      </w:r>
      <w:commentRangeEnd w:id="27"/>
      <w:r>
        <w:rPr>
          <w:rStyle w:val="Refdecomentrio"/>
          <w:rFonts w:ascii="Arial" w:hAnsi="Arial" w:cs="Arial"/>
          <w:sz w:val="28"/>
          <w:szCs w:val="28"/>
        </w:rPr>
        <w:commentReference w:id="27"/>
      </w:r>
      <w:r>
        <w:rPr>
          <w:rFonts w:ascii="Arial" w:hAnsi="Arial" w:cs="Arial"/>
          <w:sz w:val="28"/>
          <w:szCs w:val="28"/>
        </w:rPr>
        <w:t xml:space="preserve"> (CPC 85 § 11), acrescido da quantia fixada na </w:t>
      </w:r>
      <w:commentRangeStart w:id="28"/>
      <w:r>
        <w:rPr>
          <w:rFonts w:ascii="Arial" w:hAnsi="Arial" w:cs="Arial"/>
          <w:sz w:val="28"/>
          <w:szCs w:val="28"/>
        </w:rPr>
        <w:t>r. sentença</w:t>
      </w:r>
      <w:commentRangeEnd w:id="28"/>
      <w:r>
        <w:rPr>
          <w:rStyle w:val="Refdecomentrio"/>
          <w:rFonts w:ascii="Arial" w:hAnsi="Arial" w:cs="Arial"/>
          <w:sz w:val="28"/>
          <w:szCs w:val="28"/>
        </w:rPr>
        <w:commentReference w:id="28"/>
      </w:r>
      <w:r>
        <w:rPr>
          <w:rFonts w:ascii="Arial" w:hAnsi="Arial" w:cs="Arial"/>
          <w:sz w:val="28"/>
          <w:szCs w:val="28"/>
        </w:rPr>
        <w:t>.</w:t>
      </w:r>
    </w:p>
    <w:p w14:paraId="5FF5AEF8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D1C0125" w14:textId="6D1C6F36" w:rsidR="64E63EB0" w:rsidRDefault="64E63EB0" w:rsidP="64E63EB0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29D3CDE" w14:textId="3D1A7C3A" w:rsidR="007E1C8C" w:rsidRDefault="007E1C8C" w:rsidP="007E1C8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C5D2EF7" w14:textId="73190EDF" w:rsidR="00693B0D" w:rsidRDefault="00693B0D" w:rsidP="00693B0D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t xml:space="preserve">SENTENÇA </w:t>
      </w:r>
    </w:p>
    <w:p w14:paraId="6C5F592D" w14:textId="77777777" w:rsidR="00E74EC1" w:rsidRDefault="00E74EC1" w:rsidP="00693B0D">
      <w:pPr>
        <w:ind w:right="-96"/>
        <w:jc w:val="both"/>
        <w:rPr>
          <w:b/>
          <w:color w:val="008000"/>
        </w:rPr>
      </w:pPr>
    </w:p>
    <w:p w14:paraId="14D761B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07291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0CF7E4F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Alegou que, desde a adesão, a autora cumpriu integralmente suas obrigações contratuais, disponibilizando à ré acesso à rede credenciada de atendimento, composta por hospitais, clínicas, laboratórios e profissionais de saúde, conforme previsto no contrato e no rol da ANS.</w:t>
      </w:r>
    </w:p>
    <w:p w14:paraId="10CA32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Sustentou que, apesar da regular prestação dos serviços, a ré deixou de adimplir 14 parcelas, totalizando inicialmente R$ 12.285,76. Mesmo diante do inadimplemento, a autora manteve a prestação dos serviços de saúde, em observância às normas da ANS e ao princípio da boa-fé contratual.</w:t>
      </w:r>
    </w:p>
    <w:p w14:paraId="24289D8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4B7C7BA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Afirmou que, diante da persistência do inadimplemento, não restou alternativa senão o ajuizamento da presente ação de cobrança, com o objetivo de preservar o equilíbrio econômico-financeiro do contrato e garantir a continuidade dos serviços prestados aos demais beneficiários.</w:t>
      </w:r>
    </w:p>
    <w:p w14:paraId="35F12B1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ré apresentou contestação no ID 243368797, em que suscita preliminar de inépcia da inicial, alegando ausência de documentos essenciais à ação.</w:t>
      </w:r>
    </w:p>
    <w:p w14:paraId="42BE680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extinção da obrigação de pagamento das parcelas posteriores à migração.</w:t>
      </w:r>
    </w:p>
    <w:p w14:paraId="6A9A65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Afirmou que, à época da portabilidade, não havia inadimplemento, conforme declaração emitida pela própria parte autora, e que a cobrança de valores posteriores à migração configura </w:t>
      </w:r>
      <w:r w:rsidRPr="00254B87">
        <w:rPr>
          <w:b/>
          <w:color w:val="008000"/>
        </w:rPr>
        <w:lastRenderedPageBreak/>
        <w:t>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7BDC0BC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Formulou, ainda, pedido reconvencional no bojo da contestação.</w:t>
      </w:r>
    </w:p>
    <w:p w14:paraId="6BF252C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2C6F916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248065095, foi proferido despacho determinando a intimação das partes para se manifestarem sobre a existência de provas a serem produzidas, tendo a autora informado, no ID 248445539, a inexistência de provas adicionais.</w:t>
      </w:r>
    </w:p>
    <w:p w14:paraId="0DE9261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252270793, foi proferido novo despacho intimando a ré para se manifestar acerca dos documentos juntados com a réplica. No ID 253427423, a ré apresentou manifestação de resposta, ocasião em que postula o desentranhamento dos documentos.</w:t>
      </w:r>
    </w:p>
    <w:p w14:paraId="53F7577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ré manifestou desistência em relação ao pedido reconvencional, pedido este que foi homologado no ID 257776291.</w:t>
      </w:r>
    </w:p>
    <w:p w14:paraId="51641BE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Esse é o relatório necessário. Vieram os autos conclusos.</w:t>
      </w:r>
    </w:p>
    <w:p w14:paraId="012EF1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MÉRITO</w:t>
      </w:r>
    </w:p>
    <w:p w14:paraId="414EE22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processo comporta julgamento antecipado, nos termos do art. 355, inciso I, do Código de Processo Civil, pois a controvérsia é essencialmente documental e os elementos constantes dos autos são suficientes para a solução da lide.</w:t>
      </w:r>
    </w:p>
    <w:p w14:paraId="6C13F84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Não existem questões preliminares pendentes de apreciação, assim como não verifico a existência de vício que macule o andamento do feito. Desta forma, compreendo estarem presentes os pressupostos processuais de existência e validade da relação processual e as condições da ação, motivo pelo qual procedo ao julgamento do mérito.</w:t>
      </w:r>
    </w:p>
    <w:p w14:paraId="23E9DFD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De início, afasta-se a incidência do Código de Defesa do Consumidor. Isso porque a autora atua como operadora de plano de saúde na modalidade de autogestão, circunstância expressamente indicada no regulamento do plano EVIDA Família (ID 230783708). Nessa hipótese, a relação jurídica estabelecida entre as partes não se submete ao regime consumerista, devendo a controvérsia ser examinada à luz das normas contratuais aplicáveis e das regras gerais do Código Civil e do Código de Processo Civil, inclusive quanto à distribuição ordinária do ônus da prova.</w:t>
      </w:r>
    </w:p>
    <w:p w14:paraId="41AAB71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Dito isso, a controvérsia destes autos consiste em verificar se a requerida deve ser condenada ao pagamento das mensalidades e coparticipações indicadas pela autora, relativas ao plano de saúde EVIDA Família.</w:t>
      </w:r>
    </w:p>
    <w:p w14:paraId="1F3E69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 existência da relação jurídica está suficientemente comprovada pelo contrato de adesão juntado no ID 230783707 e pelo regulamento do plano acostado no ID 230783708. O regulamento estabelece que os beneficiários vinculados ao plano devem contribuir para o custeio mensal e arcar com coparticipações quando houver utilização dos serviços cobertos. </w:t>
      </w:r>
      <w:r w:rsidRPr="00254B87">
        <w:rPr>
          <w:b/>
          <w:color w:val="008000"/>
        </w:rPr>
        <w:lastRenderedPageBreak/>
        <w:t>Também prevê que, em caso de impontualidade, incidem juros de mora de 1% ao mês, calculados pro rata die, e multa de 2% sobre o valor do débito atualizado, conforme art. 45, § 2º, do regulamento do plano.</w:t>
      </w:r>
    </w:p>
    <w:p w14:paraId="5DA3B45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mesmo sentido, o art. 57, inciso X, do regulamento impõe ao beneficiário a obrigação de pagamento das mensalidades e coparticipações que lhe forem cabíveis. O art. 55, por sua vez, estabelece que a exclusão do beneficiário não o exime da obrigação de quitar eventuais débitos, incluídos os valores de contribuição mensal e de coparticipação.</w:t>
      </w:r>
    </w:p>
    <w:p w14:paraId="0F778B2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autora juntou demonstrativo de cálculo no ID 230783709, no qual indicou o valor histórico de R$ 12.285,76 (doze mil duzentos e oitenta e cinco reais e setenta e seis centavos), atualizado até 26/03/2025 para R$ 23.548,08 (vinte e três mil quinhentos e quarenta e oito reais e oito centavos). O demonstrativo especifica as datas de vencimento, os valores principais, a correção monetária, os juros e a multa aplicados.</w:t>
      </w:r>
    </w:p>
    <w:p w14:paraId="67737C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Além disso, os extratos de cobrança dos IDs 230783710, 230783711, 230783712, 230783713, 230783714 e 230783715 individualizam as competências cobradas, os valores lançados e também as coparticipações decorrentes da utilização dos serviços. Há, portanto, identificação suficiente da origem dos débitos, das competências e dos valores que compõem a pretensão de cobrança declinada na peça de ingresso.</w:t>
      </w:r>
    </w:p>
    <w:p w14:paraId="237F364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requerida sustenta que a ausência de boletos bancários impediria o reconhecimento da dívida. Contudo, essa alegação não procede. A presente ação é de cobrança, e não execução fundada em título extrajudicial. Assim, não se exige que a autora apresente necessariamente boletos bancários como único meio de prova do inadimplemento, desde que os documentos juntados permitam identificar a relação jurídica, a obrigação assumida, as competências cobradas e a composição do débito.</w:t>
      </w:r>
    </w:p>
    <w:p w14:paraId="098F5BBE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caso, a autora apresentou contrato, regulamento, demonstrativo de cálculo e extratos individualizados. Esses documentos, analisados em conjunto, são suficientes para demonstrar o fato constitutivo do direito alegado, nos termos do art. 373, inciso I, do Código de Processo Civil.</w:t>
      </w:r>
    </w:p>
    <w:p w14:paraId="5293EC9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Por outro lado, a requerida não apresentou comprovantes de pagamento das parcelas cobradas, nem documento que demonstre quitação, remissão, novação, cancelamento anterior apto a afastar as competências indicadas ou qualquer outro fato impeditivo, modificativo ou extintivo do direito da autora. O ônus dessa prova lhe competia, conforme art. 373, inciso II, do Código de Processo Civil.</w:t>
      </w:r>
    </w:p>
    <w:p w14:paraId="53DBA92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documentação relativa à portabilidade, juntada nos IDs 243368798 e 243368799, também não comprova a quitação dos débitos cobrados. A portabilidade de carências para outro plano de saúde, por si só, não equivale à declaração de inexistência de débitos pretéritos, tampouco afasta obrigações já constituídas durante a vigência da relação contratual anterior.</w:t>
      </w:r>
    </w:p>
    <w:p w14:paraId="561544A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tese defensiva, portanto, não se mostra suficiente para desconstituir os lançamentos apresentados pela autora. Ainda que a requerida tenha migrado para outro plano, permanecia necessário demonstrar que as competências cobradas foram efetivamente quitadas ou que não eram exigíveis, o que não ocorreu.</w:t>
      </w:r>
    </w:p>
    <w:p w14:paraId="0136115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Também não há prova de cobrança de dívida já paga. Desse modo, não subsiste fundamento para qualquer consequência jurídica fundada em cobrança indevida, especialmente porque a requerida desistiu da reconvenção, nos moldes do ID 255546602.</w:t>
      </w:r>
    </w:p>
    <w:p w14:paraId="017E5BB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lastRenderedPageBreak/>
        <w:t>Assim, comprovada a existência da relação contratual, demonstrada a origem dos débitos e ausente prova de pagamento ou inexigibilidade, a procedência do pedido de cobrança é medida que se impõe.</w:t>
      </w:r>
    </w:p>
    <w:p w14:paraId="21D983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DISPOSITIVO</w:t>
      </w:r>
    </w:p>
    <w:p w14:paraId="3A52F5E5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4E42FB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02E77DC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Ausente previsão contratual de índice de correção monetária e taxa de juros, incidem os parâmetros legais. Até 29/08/2024, aplica-se a taxa SELIC de forma integral, que já abrange, em um único índice, a correção monetária e os juros moratórios, nos 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4A8D5EA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Resolvo o mérito do processo, com fundamento no art. 487, inciso I, do Código de Processo Civil.</w:t>
      </w:r>
    </w:p>
    <w:p w14:paraId="1E0BDB7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</w:p>
    <w:p w14:paraId="440CBD9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Após o trânsito em julgado, não havendo outros requerimentos, arquivem-se os autos.</w:t>
      </w:r>
    </w:p>
    <w:p w14:paraId="3D766F0C" w14:textId="190597E9" w:rsidR="00E74EC1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Intime-se.</w:t>
      </w:r>
    </w:p>
    <w:p w14:paraId="530ACD8E" w14:textId="77777777" w:rsidR="00254B87" w:rsidRDefault="00254B87" w:rsidP="00254B87">
      <w:pPr>
        <w:ind w:right="-96"/>
        <w:jc w:val="both"/>
        <w:rPr>
          <w:b/>
          <w:color w:val="008000"/>
        </w:rPr>
      </w:pPr>
    </w:p>
    <w:p w14:paraId="787D42ED" w14:textId="3F94D3A3" w:rsidR="007E1C8C" w:rsidRPr="004873E8" w:rsidRDefault="007E1C8C" w:rsidP="004873E8">
      <w:pPr>
        <w:ind w:right="-96"/>
        <w:jc w:val="both"/>
        <w:rPr>
          <w:color w:val="C45911"/>
        </w:rPr>
      </w:pPr>
    </w:p>
    <w:sectPr w:rsidR="007E1C8C" w:rsidRPr="004873E8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Gabriel Passos Sesana - GDACA" w:date="2026-07-15T17:23:00Z" w:initials="GP">
    <w:p w14:paraId="65AE74B2" w14:textId="77777777" w:rsidR="00284625" w:rsidRDefault="00C54C8C" w:rsidP="00284625">
      <w:pPr>
        <w:pStyle w:val="Textodecomentrio"/>
      </w:pPr>
      <w:r>
        <w:rPr>
          <w:rStyle w:val="Refdecomentrio"/>
        </w:rPr>
        <w:annotationRef/>
      </w:r>
      <w:r w:rsidR="00284625">
        <w:t>Conclusão: 1º/09</w:t>
      </w:r>
    </w:p>
    <w:p w14:paraId="70BFAE2C" w14:textId="77777777" w:rsidR="00284625" w:rsidRDefault="00284625" w:rsidP="00284625">
      <w:pPr>
        <w:pStyle w:val="Textodecomentrio"/>
      </w:pPr>
      <w:r>
        <w:t>Entrega:</w:t>
      </w:r>
    </w:p>
    <w:p w14:paraId="4C116AAE" w14:textId="77777777" w:rsidR="00284625" w:rsidRDefault="00284625" w:rsidP="00284625">
      <w:pPr>
        <w:pStyle w:val="Textodecomentrio"/>
      </w:pPr>
      <w:r>
        <w:t>Certeza:</w:t>
      </w:r>
    </w:p>
  </w:comment>
  <w:comment w:id="2" w:author="Marcia Vilela Alves - GDACA" w:date="2026-09-09T15:25:00Z" w:initials="MV">
    <w:p w14:paraId="4A065D74" w14:textId="77777777" w:rsidR="005435A2" w:rsidRDefault="005435A2" w:rsidP="005435A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3" w:author="Marcos Dwayne Saraiva Costa - GDSXSR" w:date="2026-10-29T17:33:00Z" w:initials="MD">
    <w:p w14:paraId="47FB91FF" w14:textId="77777777" w:rsidR="003A539B" w:rsidRDefault="003A539B" w:rsidP="003A539B">
      <w:pPr>
        <w:pStyle w:val="Textodecomentrio"/>
      </w:pPr>
      <w:r>
        <w:rPr>
          <w:rStyle w:val="Refdecomentrio"/>
        </w:rPr>
        <w:annotationRef/>
      </w:r>
      <w:r>
        <w:t>Minuta do Gabinete do Des Camanho</w:t>
      </w:r>
    </w:p>
    <w:p w14:paraId="191CC412" w14:textId="77777777" w:rsidR="003A539B" w:rsidRDefault="003A539B" w:rsidP="003A539B">
      <w:pPr>
        <w:pStyle w:val="Textodecomentrio"/>
      </w:pPr>
    </w:p>
    <w:p w14:paraId="24CCF3F6" w14:textId="77777777" w:rsidR="003A539B" w:rsidRDefault="003A539B" w:rsidP="003A539B">
      <w:pPr>
        <w:pStyle w:val="Textodecomentrio"/>
      </w:pPr>
      <w:r>
        <w:t>Revisado</w:t>
      </w:r>
    </w:p>
  </w:comment>
  <w:comment w:id="4" w:author="Assessor GDSXSR" w:date="2026-10-29T19:57:00Z" w:initials="RG">
    <w:p w14:paraId="18E006DB" w14:textId="77777777" w:rsidR="003B1726" w:rsidRDefault="00000000">
      <w:r>
        <w:annotationRef/>
      </w:r>
      <w:r>
        <w:t>ASSESSOR GDSXSR — Comentário geral: alterações mecânicas iguais em todo o voto: título EMENTA à esquerda (C-42); referências na forma compacta e IDs no singular (C-20, C-25); datas em dd/mm/aaaa; transcrições em Arial 13 itálico (C-40); realce de subtítulo, veredito e frases decisivas (C-42, C-43); cortes do relatório da sentença com "(...)" (C-02). Modelos consultados: APC 0726579-14, 0723189-54 e 0710100-41. Sem os autos nesta revisão, fatos e IDs ficam como na minuta; as pendências estão em comentário (C-24, C-52).</w:t>
      </w:r>
    </w:p>
  </w:comment>
  <w:comment w:id="5" w:author="Assessor GDSXSR" w:date="2026-10-29T19:57:00Z" w:initials="RG">
    <w:p w14:paraId="6573B761" w14:textId="77777777" w:rsidR="003B1726" w:rsidRDefault="00000000">
      <w:r>
        <w:annotationRef/>
      </w:r>
      <w:r>
        <w:t>ASSESSOR GDSXSR — Alterei o item 1 para qualificar a ré como pessoa natural, descrever a cobrança sem repetir o valor e fechar com o valor da causa entre parênteses (C-34, C-34A). No item final nomeei o apelante, na fórmula "Negou-se provimento ao apelo da ré" (perfil APC, n. 8).</w:t>
      </w:r>
    </w:p>
  </w:comment>
  <w:comment w:id="6" w:author="Assessor GDSXSR" w:date="2026-10-29T19:57:00Z" w:initials="RG">
    <w:p w14:paraId="2584C19A" w14:textId="77777777" w:rsidR="003B1726" w:rsidRDefault="00000000">
      <w:r>
        <w:annotationRef/>
      </w:r>
      <w:r>
        <w:t>ASSESSOR GDSXSR — Reescrevi o item 3 conforme as razões do apelo (ID 88637491, itens 3.1 a 3.3 e narrativa inicial), que não alega propriamente "inexistência do débito", mas violação da boa-fé, supressio, aplicação do CDC e falta dos boletos (C-3P b).</w:t>
      </w:r>
    </w:p>
  </w:comment>
  <w:comment w:id="7" w:author="Assessor GDSXSR" w:date="2026-10-29T19:57:00Z" w:initials="RG">
    <w:p w14:paraId="234EEA71" w14:textId="77777777" w:rsidR="003B1726" w:rsidRDefault="00000000">
      <w:r>
        <w:annotationRef/>
      </w:r>
      <w:r>
        <w:t>ASSESSOR GDSXSR — Cindi o item 5 em dois (inaplicabilidade do CDC; ônus da prova), um fundamento por item, com a referência ao final em forma compacta (C-3G v43, C-20). Renumerei os itens seguintes (C-33).</w:t>
      </w:r>
    </w:p>
  </w:comment>
  <w:comment w:id="8" w:author="Marcos Dwayne Saraiva Costa - GDSXSR" w:date="2026-10-29T17:28:00Z" w:initials="MD">
    <w:p w14:paraId="454A335D" w14:textId="77777777" w:rsidR="00915CEC" w:rsidRDefault="00915CEC" w:rsidP="00915CEC">
      <w:pPr>
        <w:pStyle w:val="Textodecomentrio"/>
      </w:pPr>
      <w:r>
        <w:rPr>
          <w:rStyle w:val="Refdecomentrio"/>
        </w:rPr>
        <w:annotationRef/>
      </w:r>
      <w:r>
        <w:rPr>
          <w:color w:val="0F172A"/>
          <w:highlight w:val="white"/>
        </w:rPr>
        <w:t>Dispõe sobre a regulamentação da portabilidade de carências para beneficiários de planos privados de assistência à saúde</w:t>
      </w:r>
      <w:r>
        <w:t xml:space="preserve"> </w:t>
      </w:r>
    </w:p>
  </w:comment>
  <w:comment w:id="9" w:author="Marcos Dwayne Saraiva Costa - GDSXSR" w:date="2026-10-29T17:27:00Z" w:initials="MD">
    <w:p w14:paraId="6AB3E2D2" w14:textId="77777777" w:rsidR="00915CEC" w:rsidRDefault="00915CEC" w:rsidP="00915CEC">
      <w:pPr>
        <w:pStyle w:val="Textodecomentrio"/>
      </w:pPr>
      <w:r>
        <w:rPr>
          <w:rStyle w:val="Refdecomentrio"/>
        </w:rPr>
        <w:annotationRef/>
      </w:r>
      <w:r>
        <w:rPr>
          <w:color w:val="0F172A"/>
          <w:highlight w:val="white"/>
        </w:rPr>
        <w:t>Art. 3º Para realizar a portabilidade de carências, devem ser atendidos simultaneamente os seguintes requisitos:</w:t>
      </w:r>
    </w:p>
    <w:p w14:paraId="121182D6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I - o vínculo do beneficiário com o plano de origem deve estar ativo;</w:t>
      </w:r>
    </w:p>
    <w:p w14:paraId="4EE3054E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II - o beneficiário deve estar adimplente junto à operadora do plano de origem;</w:t>
      </w:r>
    </w:p>
  </w:comment>
  <w:comment w:id="10" w:author="Marcos Dwayne Saraiva Costa - GDSXSR" w:date="2026-10-29T17:28:00Z" w:initials="MD">
    <w:p w14:paraId="67BF9C6C" w14:textId="77777777" w:rsidR="00915CEC" w:rsidRDefault="00915CEC" w:rsidP="00915CEC">
      <w:pPr>
        <w:pStyle w:val="Textodecomentrio"/>
      </w:pPr>
      <w:r>
        <w:rPr>
          <w:rStyle w:val="Refdecomentrio"/>
        </w:rPr>
        <w:annotationRef/>
      </w:r>
      <w:r>
        <w:rPr>
          <w:color w:val="0F172A"/>
          <w:highlight w:val="white"/>
        </w:rPr>
        <w:t>Art. 17. A portabilidade de carências deverá ser formalizada diretamente na operadora do plano de destino ou na administradora de benefícios responsável pelo plano de destino, ocasião em que deverá ser disponibilizada a proposta de adesão para assinatura do beneficiário, estando a solicitação de portabilidade sujeita à recusa no prazo de 10 (dez) dias.</w:t>
      </w:r>
    </w:p>
    <w:p w14:paraId="458C65C3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Parágrafo único. Caso o beneficiário não atenda aos requisitos previstos nesta Resolução, a operadora do plano de destino ou a administradora de benefícios responsável pelo plano de destino poderá recusar a solicitação de portabilidade de carências, desde que apresente a devida justificativa.</w:t>
      </w:r>
    </w:p>
  </w:comment>
  <w:comment w:id="11" w:author="Assessor GDSXSR" w:date="2026-10-29T19:57:00Z" w:initials="RG">
    <w:p w14:paraId="213C78FD" w14:textId="77777777" w:rsidR="003B1726" w:rsidRDefault="00000000">
      <w:r>
        <w:annotationRef/>
      </w:r>
      <w:r>
        <w:t>ASSESSOR GDSXSR — Apliquei negrito e realce amarelo ao título do resumo (C-39); o conteúdo do resumo foi mantido como veio.</w:t>
      </w:r>
    </w:p>
  </w:comment>
  <w:comment w:id="12" w:author="Assessor GDSXSR" w:date="2026-10-29T19:57:00Z" w:initials="RG">
    <w:p w14:paraId="27FA3CF5" w14:textId="77777777" w:rsidR="003B1726" w:rsidRDefault="00000000">
      <w:r>
        <w:annotationRef/>
      </w:r>
      <w:r>
        <w:t>ASSESSOR GDSXSR — Cortei com "(...)" trechos da sentença sem relação com o apelo (cumprimento das obrigações pela autora, encerramento da inicial e despachos de instrução), preservando a ordem e o texto restante (C-02, C-3N).</w:t>
      </w:r>
    </w:p>
  </w:comment>
  <w:comment w:id="13" w:author="Assessor GDSXSR" w:date="2026-10-29T19:57:00Z" w:initials="RG">
    <w:p w14:paraId="46013B93" w14:textId="77777777" w:rsidR="003B1726" w:rsidRDefault="00000000">
      <w:r>
        <w:annotationRef/>
      </w:r>
      <w:r>
        <w:t>ASSESSOR GDSXSR — Corrigi o nome do juiz para "Heverson", como na assinatura da sentença (ID 88637481), que também confirma a 12ª Vara Cível de Brasília (C-22). Acrescentei o ID da sentença ao fim do dispositivo transcrito (C-3N).</w:t>
      </w:r>
    </w:p>
  </w:comment>
  <w:comment w:id="14" w:author="Assessor GDSXSR" w:date="2026-10-29T19:57:00Z" w:initials="RG">
    <w:p w14:paraId="38575590" w14:textId="77777777" w:rsidR="003B1726" w:rsidRDefault="00000000">
      <w:r>
        <w:annotationRef/>
      </w:r>
      <w:r>
        <w:t>ASSESSOR GDSXSR — Enumerei as alegações do apelo no relatório (C-30), conforme as razões do apelo (ID 88637491, itens 3.1 a 3.3 e narrativa inicial); a versão anterior trazia só o ônus da prova e os boletos, e o apelo não discute o ônus da prova.</w:t>
      </w:r>
    </w:p>
  </w:comment>
  <w:comment w:id="15" w:author="Assessor GDSXSR" w:date="2026-10-29T19:57:00Z" w:initials="RG">
    <w:p w14:paraId="097A4304" w14:textId="77777777" w:rsidR="003B1726" w:rsidRDefault="00000000">
      <w:r>
        <w:annotationRef/>
      </w:r>
      <w:r>
        <w:t>ASSESSOR GDSXSR — Corrigi o ID das contrarrazões ao apelo: 85547286 não consta dos autos; as contrarrazões de 25/08/2026 são o ID 88637494 (o ID 88637486 são contrarrazões aos embargos). Movi o ID para logo após "Contrarrazões" (perfil APC, n. 2).</w:t>
      </w:r>
    </w:p>
  </w:comment>
  <w:comment w:id="16" w:author="Assessor GDSXSR" w:date="2026-10-29T19:57:00Z" w:initials="RG">
    <w:p w14:paraId="3269B1CB" w14:textId="77777777" w:rsidR="003B1726" w:rsidRDefault="00000000">
      <w:r>
        <w:annotationRef/>
      </w:r>
      <w:r>
        <w:t>ASSESSOR GDSXSR — Datas conferidas nos autos: inicial em 28/03/2025 (ID 88637031); sentença em 03/06/2026 (ID 88637481); embargos de declaração rejeitados em 08/07/2026 (ID 88637488); apelo em 30/07/2026 (ID 88637491). A minuta dizia "complementada por embargos", e o ajuste diz o que os autos mostram (C-3C).</w:t>
      </w:r>
    </w:p>
  </w:comment>
  <w:comment w:id="17" w:author="Assessor GDSXSR" w:date="2026-10-29T19:57:00Z" w:initials="RG">
    <w:p w14:paraId="1BD67B36" w14:textId="77777777" w:rsidR="003B1726" w:rsidRDefault="00000000">
      <w:r>
        <w:annotationRef/>
      </w:r>
      <w:r>
        <w:t>ASSESSOR GDSXSR — Título verbal que diz a decisão sobre o pedido de improcedência, e não o assunto (C-3W b); realce amarelo (C-42). Alegações do apelo enumeradas na abertura do capítulo, com o ID ao final (C-3W c, C-30). Suprimi o parágrafo "Por sua vez, a autora/apelada alega…": as contrarrazões de mérito ficam só no relatório (C-3Z b).</w:t>
      </w:r>
    </w:p>
  </w:comment>
  <w:comment w:id="18" w:author="Gabriel Passos Sesana - GDACA" w:date="2026-09-08T17:30:00Z" w:initials="GP">
    <w:p w14:paraId="47FBA6BE" w14:textId="77777777" w:rsidR="009630FD" w:rsidRDefault="009630FD" w:rsidP="009630FD">
      <w:pPr>
        <w:pStyle w:val="Textodecomentrio"/>
      </w:pPr>
      <w:r>
        <w:rPr>
          <w:rStyle w:val="Refdecomentrio"/>
        </w:rPr>
        <w:annotationRef/>
      </w:r>
      <w:r>
        <w:t>Modelo: ED 0716942-62 (acórdão 1963750)</w:t>
      </w:r>
    </w:p>
  </w:comment>
  <w:comment w:id="19" w:author="Assessor GDSXSR" w:date="2026-10-29T19:57:00Z" w:initials="RG">
    <w:p w14:paraId="0E417E84" w14:textId="77777777" w:rsidR="003B1726" w:rsidRDefault="00000000">
      <w:r>
        <w:annotationRef/>
      </w:r>
      <w:r>
        <w:t>ASSESSOR GDSXSR — Acrescentei o ID de 2º grau do regulamento do plano (88637033), que o classifica como autogestão (C-20); a sentença citava o ID da origem (230783708).</w:t>
      </w:r>
    </w:p>
  </w:comment>
  <w:comment w:id="20" w:author="Assessor GDSXSR" w:date="2026-10-29T19:57:00Z" w:initials="RG">
    <w:p w14:paraId="019F54C4" w14:textId="77777777" w:rsidR="003B1726" w:rsidRDefault="00000000">
      <w:r>
        <w:annotationRef/>
      </w:r>
      <w:r>
        <w:t>ASSESSOR GDSXSR — Transcrevi o CPC 373 I e II, norma que sustenta o capítulo (C-66 a); texto conferido no iajus (Planalto), sem revogação ou alteração do dispositivo.</w:t>
      </w:r>
    </w:p>
  </w:comment>
  <w:comment w:id="21" w:author="Assessor GDSXSR" w:date="2026-10-29T19:57:00Z" w:initials="RG">
    <w:p w14:paraId="58838944" w14:textId="77777777" w:rsidR="003B1726" w:rsidRDefault="00000000">
      <w:r>
        <w:annotationRef/>
      </w:r>
      <w:r>
        <w:t>ASSESSOR GDSXSR — Troquei "carta de quitação" por "carta de portabilidade", nome usado no resto do voto, e movi o ID para o fim do período (C-20). Transcrevi o trecho decisivo da carta, conferido nos autos (ID 88637463, p. 1), e o CC 320, caput e parágrafo único, na redação do Planalto (C-66 a, c).</w:t>
      </w:r>
    </w:p>
  </w:comment>
  <w:comment w:id="22" w:author="Marcos Dwayne Saraiva Costa - GDSXSR" w:date="2026-10-29T17:31:00Z" w:initials="MD">
    <w:p w14:paraId="766568AC" w14:textId="77777777" w:rsidR="00915CEC" w:rsidRDefault="00915CEC" w:rsidP="00915CEC">
      <w:pPr>
        <w:pStyle w:val="Textodecomentrio"/>
      </w:pPr>
      <w:r>
        <w:rPr>
          <w:rStyle w:val="Refdecomentrio"/>
        </w:rPr>
        <w:annotationRef/>
      </w:r>
      <w:r>
        <w:t>Dispõe sobre a regulamentação da portabilidade de carências para beneficiários de planos privados de assistência à saúde</w:t>
      </w:r>
    </w:p>
    <w:p w14:paraId="2B6D8758" w14:textId="77777777" w:rsidR="00915CEC" w:rsidRDefault="00915CEC" w:rsidP="00915CEC">
      <w:pPr>
        <w:pStyle w:val="Textodecomentrio"/>
      </w:pPr>
    </w:p>
    <w:p w14:paraId="23EE145C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Art. 3º Para realizar a portabilidade de carências, devem ser atendidos simultaneamente os seguintes requisitos:</w:t>
      </w:r>
    </w:p>
    <w:p w14:paraId="7F8FDBA5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I - o vínculo do beneficiário com o plano de origem deve estar ativo;</w:t>
      </w:r>
    </w:p>
    <w:p w14:paraId="44D59A01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II - o beneficiário deve estar adimplente junto à operadora do plano de origem;</w:t>
      </w:r>
    </w:p>
  </w:comment>
  <w:comment w:id="23" w:author="Marcos Dwayne Saraiva Costa - GDSXSR" w:date="2026-10-29T17:31:00Z" w:initials="MD">
    <w:p w14:paraId="751818A8" w14:textId="77777777" w:rsidR="00915CEC" w:rsidRDefault="00915CEC" w:rsidP="00915CEC">
      <w:pPr>
        <w:pStyle w:val="Textodecomentrio"/>
      </w:pPr>
      <w:r>
        <w:rPr>
          <w:rStyle w:val="Refdecomentrio"/>
        </w:rPr>
        <w:annotationRef/>
      </w:r>
      <w:r>
        <w:rPr>
          <w:color w:val="0F172A"/>
          <w:highlight w:val="white"/>
        </w:rPr>
        <w:t>Art. 17. A portabilidade de carências deverá ser formalizada diretamente na operadora do plano de destino ou na administradora de benefícios responsável pelo plano de destino, ocasião em que deverá ser disponibilizada a proposta de adesão para assinatura do beneficiário, estando a solicitação de portabilidade sujeita à recusa no prazo de 10 (dez) dias.</w:t>
      </w:r>
    </w:p>
    <w:p w14:paraId="4259F598" w14:textId="77777777" w:rsidR="00915CEC" w:rsidRDefault="00915CEC" w:rsidP="00915CEC">
      <w:pPr>
        <w:pStyle w:val="Textodecomentrio"/>
      </w:pPr>
      <w:r>
        <w:rPr>
          <w:color w:val="0F172A"/>
          <w:highlight w:val="white"/>
        </w:rPr>
        <w:t>Parágrafo único. Caso o beneficiário não atenda aos requisitos previstos nesta Resolução, a operadora do plano de destino ou a administradora de benefícios responsável pelo plano de destino poderá recusar a solicitação de portabilidade de carências, desde que apresente a devida justificativa.</w:t>
      </w:r>
    </w:p>
  </w:comment>
  <w:comment w:id="24" w:author="Assessor GDSXSR" w:date="2026-10-29T19:57:00Z" w:initials="RG">
    <w:p w14:paraId="4935DA08" w14:textId="77777777" w:rsidR="003B1726" w:rsidRDefault="00000000">
      <w:r>
        <w:annotationRef/>
      </w:r>
      <w:r>
        <w:t>ASSESSOR GDSXSR — Cindi o parágrafo de 131 palavras em três (C-11, C-12). Texto literal (C-63) da Resolução Normativa ANS 438/2018: art. 3º, caput: “Para realizar a portabilidade de carências, devem ser atendidos simultaneamente os seguintes requisitos:”; inciso II: “o beneficiário deve estar adimplente junto à operadora do plano de origem;”; art. 17, parágrafo único: “Caso o beneficiário não atenda aos requisitos previstos nesta Resolução, a operadora do plano de destino ou a administradora de benefícios responsável pelo plano de destino poderá recusar a solicitação de portabilidade de carências, desde que apresente a devida justificativa.” Fonte: texto da norma em portal não oficial (legisweb), sem marca de revogação; a vigência no site da ANS não foi conferida (C-64, C-72, C-52).</w:t>
      </w:r>
    </w:p>
  </w:comment>
  <w:comment w:id="25" w:author="Assessor GDSXSR" w:date="2026-10-29T19:57:00Z" w:initials="RG">
    <w:p w14:paraId="31FA5287" w14:textId="77777777" w:rsidR="003B1726" w:rsidRDefault="00000000">
      <w:r>
        <w:annotationRef/>
      </w:r>
      <w:r>
        <w:t>ASSESSOR GDSXSR — Precedente conferido no iajus pelo número do processo (0758754-34.2024.8.07.0016): a ementa transcrita confere, com uma correção — o item 5 do julgado diz "Resolução nº 438/2018/ANS", e a minuta tinha "438/ANS". Retirei o cabeçalho "IV. DISPOSITIVO" e o item 8 (provimento do recurso daquele caso), irrelevantes para a tese, e sublinhei o trecho decisivo (C-62). Pendência: número do acórdão (2005667) e DJe (13/06/2025) não confirmados (ver comentário da ementa).</w:t>
      </w:r>
    </w:p>
  </w:comment>
  <w:comment w:id="26" w:author="Assessor GDSXSR" w:date="2026-10-29T19:57:00Z" w:initials="RG">
    <w:p w14:paraId="6B3CD4EA" w14:textId="77777777" w:rsidR="003B1726" w:rsidRDefault="00000000">
      <w:r>
        <w:annotationRef/>
      </w:r>
      <w:r>
        <w:t>ASSESSOR GDSXSR — Acrescentei parágrafo em bloco sobre os precedentes invocados no apelo (perfil APC). Pendência (C-72, C-52): o AgInt no AREsp 1845231/SP, o TJSP 1002341-89.2021.8.26.0100 e o TJRJ 0045212-32.2020.8.19.0001 não foram localizados no iajus; a descrição se apoia só nas ementas transcritas no apelo (ID 88637491), e a conferência nos portais fica para você. Notificação de 23/05/2023: e-mail de cobrança (ID 88637464) e carta de 11/05/2023 (ID 88637465), conferidos.</w:t>
      </w:r>
    </w:p>
  </w:comment>
  <w:comment w:id="27" w:author="Assessor GDSXSR" w:date="2026-10-29T19:57:00Z" w:initials="RG">
    <w:p w14:paraId="17C106FA" w14:textId="77777777" w:rsidR="003B1726" w:rsidRDefault="00000000">
      <w:r>
        <w:annotationRef/>
      </w:r>
      <w:r>
        <w:t>ASSESSOR GDSXSR — Valor da condenação (C-51): R$ 12.285,76, valor nominal fixado na sentença (ID 88637481), sem atualização; a base é a mesma da sentença. A ré não tem gratuidade (recolheu o preparo, ID 88637490), então não há suspensão da exigibilidade.</w:t>
      </w:r>
    </w:p>
  </w:comment>
  <w:comment w:id="28" w:author="Assessor GDSXSR" w:date="2026-10-29T19:57:00Z" w:initials="RG">
    <w:p w14:paraId="633562EF" w14:textId="77777777" w:rsidR="003B1726" w:rsidRDefault="00000000">
      <w:r>
        <w:annotationRef/>
      </w:r>
      <w:r>
        <w:t>ASSESSOR GDSXSR — Capítulo de custas e honorários da r. sentença, literal (C-51): “Condeno a requerida ao pagamento das custas processuais e dos honorários advocatícios, que fixo em 10% (dez por cento) sobre o valor atualizado da condenação, nos termos do art. 85, § 2º, do Código de Processo Civil.” O percentual de 2% é decisão do Relator e foi mantido.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4C116AAE" w15:paraIdParent="448DA02E" w15:done="0"/>
  <w15:commentEx w15:paraId="4A065D74" w15:paraIdParent="448DA02E" w15:done="0"/>
  <w15:commentEx w15:paraId="24CCF3F6" w15:paraIdParent="448DA02E" w15:done="0"/>
  <w15:commentEx w15:paraId="18E006DB" w15:done="0"/>
  <w15:commentEx w15:paraId="6573B761" w15:done="0"/>
  <w15:commentEx w15:paraId="2584C19A" w15:done="0"/>
  <w15:commentEx w15:paraId="234EEA71" w15:done="0"/>
  <w15:commentEx w15:paraId="454A335D" w15:done="0"/>
  <w15:commentEx w15:paraId="4EE3054E" w15:done="0"/>
  <w15:commentEx w15:paraId="458C65C3" w15:done="0"/>
  <w15:commentEx w15:paraId="213C78FD" w15:done="0"/>
  <w15:commentEx w15:paraId="27FA3CF5" w15:done="0"/>
  <w15:commentEx w15:paraId="46013B93" w15:done="0"/>
  <w15:commentEx w15:paraId="38575590" w15:done="0"/>
  <w15:commentEx w15:paraId="097A4304" w15:done="0"/>
  <w15:commentEx w15:paraId="3269B1CB" w15:done="0"/>
  <w15:commentEx w15:paraId="1BD67B36" w15:done="0"/>
  <w15:commentEx w15:paraId="47FBA6BE" w15:done="0"/>
  <w15:commentEx w15:paraId="0E417E84" w15:done="0"/>
  <w15:commentEx w15:paraId="019F54C4" w15:done="0"/>
  <w15:commentEx w15:paraId="58838944" w15:done="0"/>
  <w15:commentEx w15:paraId="44D59A01" w15:done="0"/>
  <w15:commentEx w15:paraId="4259F598" w15:done="0"/>
  <w15:commentEx w15:paraId="4935DA08" w15:done="0"/>
  <w15:commentEx w15:paraId="31FA5287" w15:done="0"/>
  <w15:commentEx w15:paraId="6B3CD4EA" w15:done="0"/>
  <w15:commentEx w15:paraId="17C106FA" w15:done="0"/>
  <w15:commentEx w15:paraId="633562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219103AB" w16cex:dateUtc="2026-07-15T20:23:00Z"/>
  <w16cex:commentExtensible w16cex:durableId="431758AA" w16cex:dateUtc="2026-09-09T18:25:00Z"/>
  <w16cex:commentExtensible w16cex:durableId="1396DD25" w16cex:dateUtc="2026-10-29T20:33:00Z"/>
  <w16cex:commentExtensible w16cex:durableId="3AF07830" w16cex:dateUtc="2026-10-29T20:28:00Z"/>
  <w16cex:commentExtensible w16cex:durableId="1B6EAF4D" w16cex:dateUtc="2026-10-29T20:27:00Z"/>
  <w16cex:commentExtensible w16cex:durableId="15EFD54A" w16cex:dateUtc="2026-10-29T20:28:00Z"/>
  <w16cex:commentExtensible w16cex:durableId="46013B93">
    <w16cex:extLst>
      <w16:ext w16:uri="{CE6994B0-6A32-4C9F-8C6B-6E91EDA988CE}">
        <cr:reactions xmlns:cr="http://schemas.microsoft.com/office/comments/2020/reactions">
          <cr:reaction reactionType="1">
            <cr:reactionInfo dateUtc="2026-10-29T20:29:14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097A4304">
    <w16cex:extLst>
      <w16:ext w16:uri="{CE6994B0-6A32-4C9F-8C6B-6E91EDA988CE}">
        <cr:reactions xmlns:cr="http://schemas.microsoft.com/office/comments/2020/reactions">
          <cr:reaction reactionType="1">
            <cr:reactionInfo dateUtc="2026-10-29T20:29:29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3269B1CB">
    <w16cex:extLst>
      <w16:ext w16:uri="{CE6994B0-6A32-4C9F-8C6B-6E91EDA988CE}">
        <cr:reactions xmlns:cr="http://schemas.microsoft.com/office/comments/2020/reactions">
          <cr:reaction reactionType="1">
            <cr:reactionInfo dateUtc="2026-10-29T20:29:39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1BD67B36">
    <w16cex:extLst>
      <w16:ext w16:uri="{CE6994B0-6A32-4C9F-8C6B-6E91EDA988CE}">
        <cr:reactions xmlns:cr="http://schemas.microsoft.com/office/comments/2020/reactions">
          <cr:reaction reactionType="1">
            <cr:reactionInfo dateUtc="2026-10-29T20:29:47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03BDC370" w16cex:dateUtc="2026-09-08T20:30:00Z">
    <w16cex:extLst>
      <w16:ext w16:uri="{CE6994B0-6A32-4C9F-8C6B-6E91EDA988CE}">
        <cr:reactions xmlns:cr="http://schemas.microsoft.com/office/comments/2020/reactions">
          <cr:reaction reactionType="1">
            <cr:reactionInfo dateUtc="2026-10-29T20:29:55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7E4F4AA9" w16cex:dateUtc="2026-10-29T20:31:00Z"/>
  <w16cex:commentExtensible w16cex:durableId="44E124C3" w16cex:dateUtc="2026-10-29T20:31:00Z"/>
  <w16cex:commentExtensible w16cex:durableId="31FA5287">
    <w16cex:extLst>
      <w16:ext w16:uri="{CE6994B0-6A32-4C9F-8C6B-6E91EDA988CE}">
        <cr:reactions xmlns:cr="http://schemas.microsoft.com/office/comments/2020/reactions">
          <cr:reaction reactionType="1">
            <cr:reactionInfo dateUtc="2026-10-29T20:31:30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17C106FA">
    <w16cex:extLst>
      <w16:ext w16:uri="{CE6994B0-6A32-4C9F-8C6B-6E91EDA988CE}">
        <cr:reactions xmlns:cr="http://schemas.microsoft.com/office/comments/2020/reactions">
          <cr:reaction reactionType="1">
            <cr:reactionInfo dateUtc="2026-10-29T20:32:3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4C116AAE" w16cid:durableId="219103AB"/>
  <w16cid:commentId w16cid:paraId="4A065D74" w16cid:durableId="431758AA"/>
  <w16cid:commentId w16cid:paraId="24CCF3F6" w16cid:durableId="1396DD25"/>
  <w16cid:commentId w16cid:paraId="18E006DB" w16cid:durableId="18E006DB"/>
  <w16cid:commentId w16cid:paraId="6573B761" w16cid:durableId="6573B761"/>
  <w16cid:commentId w16cid:paraId="2584C19A" w16cid:durableId="2584C19A"/>
  <w16cid:commentId w16cid:paraId="234EEA71" w16cid:durableId="234EEA71"/>
  <w16cid:commentId w16cid:paraId="454A335D" w16cid:durableId="3AF07830"/>
  <w16cid:commentId w16cid:paraId="4EE3054E" w16cid:durableId="1B6EAF4D"/>
  <w16cid:commentId w16cid:paraId="458C65C3" w16cid:durableId="15EFD54A"/>
  <w16cid:commentId w16cid:paraId="213C78FD" w16cid:durableId="213C78FD"/>
  <w16cid:commentId w16cid:paraId="27FA3CF5" w16cid:durableId="27FA3CF5"/>
  <w16cid:commentId w16cid:paraId="46013B93" w16cid:durableId="46013B93"/>
  <w16cid:commentId w16cid:paraId="38575590" w16cid:durableId="38575590"/>
  <w16cid:commentId w16cid:paraId="097A4304" w16cid:durableId="097A4304"/>
  <w16cid:commentId w16cid:paraId="3269B1CB" w16cid:durableId="3269B1CB"/>
  <w16cid:commentId w16cid:paraId="1BD67B36" w16cid:durableId="1BD67B36"/>
  <w16cid:commentId w16cid:paraId="47FBA6BE" w16cid:durableId="03BDC370"/>
  <w16cid:commentId w16cid:paraId="0E417E84" w16cid:durableId="0E417E84"/>
  <w16cid:commentId w16cid:paraId="019F54C4" w16cid:durableId="019F54C4"/>
  <w16cid:commentId w16cid:paraId="58838944" w16cid:durableId="58838944"/>
  <w16cid:commentId w16cid:paraId="44D59A01" w16cid:durableId="7E4F4AA9"/>
  <w16cid:commentId w16cid:paraId="4259F598" w16cid:durableId="44E124C3"/>
  <w16cid:commentId w16cid:paraId="4935DA08" w16cid:durableId="4935DA08"/>
  <w16cid:commentId w16cid:paraId="31FA5287" w16cid:durableId="31FA5287"/>
  <w16cid:commentId w16cid:paraId="6B3CD4EA" w16cid:durableId="6B3CD4EA"/>
  <w16cid:commentId w16cid:paraId="17C106FA" w16cid:durableId="17C106FA"/>
  <w16cid:commentId w16cid:paraId="633562EF" w16cid:durableId="633562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A518" w14:textId="77777777" w:rsidR="005E78DA" w:rsidRDefault="005E78DA" w:rsidP="003A42DE">
      <w:pPr>
        <w:spacing w:after="0" w:line="240" w:lineRule="auto"/>
      </w:pPr>
      <w:r>
        <w:separator/>
      </w:r>
    </w:p>
  </w:endnote>
  <w:endnote w:type="continuationSeparator" w:id="0">
    <w:p w14:paraId="0C57E8CE" w14:textId="77777777" w:rsidR="005E78DA" w:rsidRDefault="005E78DA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BADA5" w14:textId="77777777" w:rsidR="005E78DA" w:rsidRDefault="005E78DA" w:rsidP="003A42DE">
      <w:pPr>
        <w:spacing w:after="0" w:line="240" w:lineRule="auto"/>
      </w:pPr>
      <w:r>
        <w:separator/>
      </w:r>
    </w:p>
  </w:footnote>
  <w:footnote w:type="continuationSeparator" w:id="0">
    <w:p w14:paraId="144851DB" w14:textId="77777777" w:rsidR="005E78DA" w:rsidRDefault="005E78DA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Gabriel Passos Sesana - GDACA">
    <w15:presenceInfo w15:providerId="AD" w15:userId="S::t318556@tjdft.jus.br::98268d75-773c-423e-bbc3-55d5340811be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12A8"/>
    <w:rsid w:val="00012123"/>
    <w:rsid w:val="0002189B"/>
    <w:rsid w:val="0002738F"/>
    <w:rsid w:val="00033421"/>
    <w:rsid w:val="00033AFD"/>
    <w:rsid w:val="00041EF8"/>
    <w:rsid w:val="0004253A"/>
    <w:rsid w:val="00043EAF"/>
    <w:rsid w:val="000511A1"/>
    <w:rsid w:val="0005271C"/>
    <w:rsid w:val="00052AE3"/>
    <w:rsid w:val="00052F25"/>
    <w:rsid w:val="0006080C"/>
    <w:rsid w:val="000619E0"/>
    <w:rsid w:val="00063145"/>
    <w:rsid w:val="00064301"/>
    <w:rsid w:val="00076D7D"/>
    <w:rsid w:val="0009174A"/>
    <w:rsid w:val="00091ABC"/>
    <w:rsid w:val="000949E5"/>
    <w:rsid w:val="00097239"/>
    <w:rsid w:val="00097BBF"/>
    <w:rsid w:val="000A7009"/>
    <w:rsid w:val="000B0FC6"/>
    <w:rsid w:val="000B7AF7"/>
    <w:rsid w:val="000D0D30"/>
    <w:rsid w:val="000D2E62"/>
    <w:rsid w:val="000D59B2"/>
    <w:rsid w:val="000F1358"/>
    <w:rsid w:val="000F1817"/>
    <w:rsid w:val="000F1CB2"/>
    <w:rsid w:val="000F6570"/>
    <w:rsid w:val="001009CC"/>
    <w:rsid w:val="0011527A"/>
    <w:rsid w:val="00115458"/>
    <w:rsid w:val="00115569"/>
    <w:rsid w:val="00116FEE"/>
    <w:rsid w:val="00122133"/>
    <w:rsid w:val="001234B7"/>
    <w:rsid w:val="00125329"/>
    <w:rsid w:val="001254C0"/>
    <w:rsid w:val="00126492"/>
    <w:rsid w:val="00127B92"/>
    <w:rsid w:val="00131A63"/>
    <w:rsid w:val="00137A7E"/>
    <w:rsid w:val="00137BF8"/>
    <w:rsid w:val="00146FCB"/>
    <w:rsid w:val="0015056C"/>
    <w:rsid w:val="00151611"/>
    <w:rsid w:val="001530F2"/>
    <w:rsid w:val="0015424D"/>
    <w:rsid w:val="00155D15"/>
    <w:rsid w:val="00161CD2"/>
    <w:rsid w:val="00166B65"/>
    <w:rsid w:val="001676A4"/>
    <w:rsid w:val="00167F3A"/>
    <w:rsid w:val="00170999"/>
    <w:rsid w:val="001801E9"/>
    <w:rsid w:val="00183B77"/>
    <w:rsid w:val="001A09B8"/>
    <w:rsid w:val="001A22A7"/>
    <w:rsid w:val="001A2AD2"/>
    <w:rsid w:val="001B4E33"/>
    <w:rsid w:val="001C23B1"/>
    <w:rsid w:val="001C466B"/>
    <w:rsid w:val="001D2162"/>
    <w:rsid w:val="001E0D41"/>
    <w:rsid w:val="001E0DAC"/>
    <w:rsid w:val="001E0FEA"/>
    <w:rsid w:val="001E4974"/>
    <w:rsid w:val="001E7903"/>
    <w:rsid w:val="001F7DBA"/>
    <w:rsid w:val="00200A76"/>
    <w:rsid w:val="00203B1D"/>
    <w:rsid w:val="0020478E"/>
    <w:rsid w:val="00206304"/>
    <w:rsid w:val="002126F1"/>
    <w:rsid w:val="00214D24"/>
    <w:rsid w:val="0021526A"/>
    <w:rsid w:val="00225F15"/>
    <w:rsid w:val="002264F2"/>
    <w:rsid w:val="00232EEB"/>
    <w:rsid w:val="002437F6"/>
    <w:rsid w:val="0024665A"/>
    <w:rsid w:val="00253AA1"/>
    <w:rsid w:val="00254B87"/>
    <w:rsid w:val="00254E51"/>
    <w:rsid w:val="00264107"/>
    <w:rsid w:val="00273083"/>
    <w:rsid w:val="0027313A"/>
    <w:rsid w:val="002745A1"/>
    <w:rsid w:val="00274644"/>
    <w:rsid w:val="00277029"/>
    <w:rsid w:val="0028319F"/>
    <w:rsid w:val="0028363E"/>
    <w:rsid w:val="00284625"/>
    <w:rsid w:val="00284BC6"/>
    <w:rsid w:val="00287C4C"/>
    <w:rsid w:val="00291367"/>
    <w:rsid w:val="002926F9"/>
    <w:rsid w:val="00292E82"/>
    <w:rsid w:val="00296DAE"/>
    <w:rsid w:val="002A023C"/>
    <w:rsid w:val="002A2038"/>
    <w:rsid w:val="002A3D11"/>
    <w:rsid w:val="002A5205"/>
    <w:rsid w:val="002B1184"/>
    <w:rsid w:val="002B210E"/>
    <w:rsid w:val="002B35FE"/>
    <w:rsid w:val="002C0DB7"/>
    <w:rsid w:val="002C2464"/>
    <w:rsid w:val="002C42D2"/>
    <w:rsid w:val="002D127E"/>
    <w:rsid w:val="002D2D56"/>
    <w:rsid w:val="002D3FF3"/>
    <w:rsid w:val="002D5E8C"/>
    <w:rsid w:val="002F13AB"/>
    <w:rsid w:val="002F4C59"/>
    <w:rsid w:val="002F7666"/>
    <w:rsid w:val="00302029"/>
    <w:rsid w:val="00302C28"/>
    <w:rsid w:val="00303FAE"/>
    <w:rsid w:val="00305D27"/>
    <w:rsid w:val="0031063D"/>
    <w:rsid w:val="00312291"/>
    <w:rsid w:val="00316B1F"/>
    <w:rsid w:val="00321068"/>
    <w:rsid w:val="00323779"/>
    <w:rsid w:val="00323D27"/>
    <w:rsid w:val="00327D45"/>
    <w:rsid w:val="003343F9"/>
    <w:rsid w:val="0033495F"/>
    <w:rsid w:val="0033735F"/>
    <w:rsid w:val="0034247B"/>
    <w:rsid w:val="00343C5C"/>
    <w:rsid w:val="0034511C"/>
    <w:rsid w:val="00345813"/>
    <w:rsid w:val="00346965"/>
    <w:rsid w:val="00347818"/>
    <w:rsid w:val="00351653"/>
    <w:rsid w:val="003524E5"/>
    <w:rsid w:val="00352D66"/>
    <w:rsid w:val="00354AA2"/>
    <w:rsid w:val="00355C73"/>
    <w:rsid w:val="003624B4"/>
    <w:rsid w:val="00370C48"/>
    <w:rsid w:val="003717FC"/>
    <w:rsid w:val="003749AB"/>
    <w:rsid w:val="0037617E"/>
    <w:rsid w:val="00383E74"/>
    <w:rsid w:val="003A42DE"/>
    <w:rsid w:val="003A4E55"/>
    <w:rsid w:val="003A539B"/>
    <w:rsid w:val="003B1726"/>
    <w:rsid w:val="003B3398"/>
    <w:rsid w:val="003C6B16"/>
    <w:rsid w:val="003D11BE"/>
    <w:rsid w:val="003D11E1"/>
    <w:rsid w:val="003D3FEE"/>
    <w:rsid w:val="003E436D"/>
    <w:rsid w:val="003F32F6"/>
    <w:rsid w:val="003F4892"/>
    <w:rsid w:val="003F48BC"/>
    <w:rsid w:val="00403F12"/>
    <w:rsid w:val="00413928"/>
    <w:rsid w:val="00423538"/>
    <w:rsid w:val="004341B4"/>
    <w:rsid w:val="00441258"/>
    <w:rsid w:val="00445ED9"/>
    <w:rsid w:val="00447991"/>
    <w:rsid w:val="00451A6D"/>
    <w:rsid w:val="00465A25"/>
    <w:rsid w:val="0047216B"/>
    <w:rsid w:val="00474377"/>
    <w:rsid w:val="004762F1"/>
    <w:rsid w:val="00480A33"/>
    <w:rsid w:val="00485185"/>
    <w:rsid w:val="004873E8"/>
    <w:rsid w:val="00495EB5"/>
    <w:rsid w:val="00496EB5"/>
    <w:rsid w:val="004B2A9C"/>
    <w:rsid w:val="004C0465"/>
    <w:rsid w:val="004C15CC"/>
    <w:rsid w:val="004C591E"/>
    <w:rsid w:val="004C7418"/>
    <w:rsid w:val="004D11F3"/>
    <w:rsid w:val="004E7369"/>
    <w:rsid w:val="004F3097"/>
    <w:rsid w:val="004F4FD4"/>
    <w:rsid w:val="00504971"/>
    <w:rsid w:val="00506A7D"/>
    <w:rsid w:val="00506D76"/>
    <w:rsid w:val="005111CC"/>
    <w:rsid w:val="00511630"/>
    <w:rsid w:val="00517F10"/>
    <w:rsid w:val="00523D82"/>
    <w:rsid w:val="00525FCB"/>
    <w:rsid w:val="00530C7C"/>
    <w:rsid w:val="00531A65"/>
    <w:rsid w:val="005320CC"/>
    <w:rsid w:val="00532E4A"/>
    <w:rsid w:val="005435A2"/>
    <w:rsid w:val="005500F2"/>
    <w:rsid w:val="0055172B"/>
    <w:rsid w:val="005571B1"/>
    <w:rsid w:val="00557342"/>
    <w:rsid w:val="00560427"/>
    <w:rsid w:val="00564DA7"/>
    <w:rsid w:val="00573C5D"/>
    <w:rsid w:val="0057620D"/>
    <w:rsid w:val="00576A45"/>
    <w:rsid w:val="0057726B"/>
    <w:rsid w:val="00586EB6"/>
    <w:rsid w:val="005925FC"/>
    <w:rsid w:val="0059689A"/>
    <w:rsid w:val="00597864"/>
    <w:rsid w:val="005A1443"/>
    <w:rsid w:val="005A1581"/>
    <w:rsid w:val="005A1AD9"/>
    <w:rsid w:val="005B3D8D"/>
    <w:rsid w:val="005B7851"/>
    <w:rsid w:val="005B7C2E"/>
    <w:rsid w:val="005C31C4"/>
    <w:rsid w:val="005C69F8"/>
    <w:rsid w:val="005D305E"/>
    <w:rsid w:val="005D4577"/>
    <w:rsid w:val="005E3F4E"/>
    <w:rsid w:val="005E5A03"/>
    <w:rsid w:val="005E78DA"/>
    <w:rsid w:val="005E7C7A"/>
    <w:rsid w:val="005F58C7"/>
    <w:rsid w:val="00601B09"/>
    <w:rsid w:val="0060333D"/>
    <w:rsid w:val="00611216"/>
    <w:rsid w:val="0061262D"/>
    <w:rsid w:val="00615051"/>
    <w:rsid w:val="00615A72"/>
    <w:rsid w:val="00615F11"/>
    <w:rsid w:val="006205E2"/>
    <w:rsid w:val="006226C6"/>
    <w:rsid w:val="006255CC"/>
    <w:rsid w:val="00632EAA"/>
    <w:rsid w:val="00633703"/>
    <w:rsid w:val="0063376A"/>
    <w:rsid w:val="00634358"/>
    <w:rsid w:val="00634A73"/>
    <w:rsid w:val="006351F4"/>
    <w:rsid w:val="00635215"/>
    <w:rsid w:val="00635527"/>
    <w:rsid w:val="00636971"/>
    <w:rsid w:val="00637DEB"/>
    <w:rsid w:val="00641BB6"/>
    <w:rsid w:val="00644E6C"/>
    <w:rsid w:val="006509E2"/>
    <w:rsid w:val="0065266B"/>
    <w:rsid w:val="00652F61"/>
    <w:rsid w:val="00661CF3"/>
    <w:rsid w:val="006634B1"/>
    <w:rsid w:val="006658A2"/>
    <w:rsid w:val="00674B26"/>
    <w:rsid w:val="00676D2E"/>
    <w:rsid w:val="00685D54"/>
    <w:rsid w:val="00686C60"/>
    <w:rsid w:val="00687DB5"/>
    <w:rsid w:val="006921E1"/>
    <w:rsid w:val="006925EC"/>
    <w:rsid w:val="00693B0D"/>
    <w:rsid w:val="006968EA"/>
    <w:rsid w:val="006A20E6"/>
    <w:rsid w:val="006A58AD"/>
    <w:rsid w:val="006B08B9"/>
    <w:rsid w:val="006B2A89"/>
    <w:rsid w:val="006B344E"/>
    <w:rsid w:val="006B37FB"/>
    <w:rsid w:val="006B555B"/>
    <w:rsid w:val="006B6799"/>
    <w:rsid w:val="006C6E29"/>
    <w:rsid w:val="006D07B9"/>
    <w:rsid w:val="006D0993"/>
    <w:rsid w:val="006D3824"/>
    <w:rsid w:val="006D595E"/>
    <w:rsid w:val="006D71F1"/>
    <w:rsid w:val="006E6449"/>
    <w:rsid w:val="006F4523"/>
    <w:rsid w:val="006F725D"/>
    <w:rsid w:val="006F7717"/>
    <w:rsid w:val="00711FE9"/>
    <w:rsid w:val="0071280C"/>
    <w:rsid w:val="00712DAD"/>
    <w:rsid w:val="00716EF2"/>
    <w:rsid w:val="00726567"/>
    <w:rsid w:val="007272DD"/>
    <w:rsid w:val="00730597"/>
    <w:rsid w:val="00730800"/>
    <w:rsid w:val="00732EE4"/>
    <w:rsid w:val="00744BDF"/>
    <w:rsid w:val="00747176"/>
    <w:rsid w:val="00751971"/>
    <w:rsid w:val="0076369E"/>
    <w:rsid w:val="00765709"/>
    <w:rsid w:val="00770E7F"/>
    <w:rsid w:val="00771BB0"/>
    <w:rsid w:val="00775074"/>
    <w:rsid w:val="0077693D"/>
    <w:rsid w:val="0077719E"/>
    <w:rsid w:val="00777828"/>
    <w:rsid w:val="0078019D"/>
    <w:rsid w:val="00782446"/>
    <w:rsid w:val="007844F9"/>
    <w:rsid w:val="00785806"/>
    <w:rsid w:val="007868D7"/>
    <w:rsid w:val="00790563"/>
    <w:rsid w:val="00791D48"/>
    <w:rsid w:val="0079553F"/>
    <w:rsid w:val="007A3F4D"/>
    <w:rsid w:val="007B265E"/>
    <w:rsid w:val="007C0FEF"/>
    <w:rsid w:val="007C196D"/>
    <w:rsid w:val="007C250E"/>
    <w:rsid w:val="007C264C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4468"/>
    <w:rsid w:val="007F7839"/>
    <w:rsid w:val="00800051"/>
    <w:rsid w:val="00804386"/>
    <w:rsid w:val="008134CE"/>
    <w:rsid w:val="008151BB"/>
    <w:rsid w:val="008235A6"/>
    <w:rsid w:val="00825BFF"/>
    <w:rsid w:val="00830B18"/>
    <w:rsid w:val="008407E1"/>
    <w:rsid w:val="008509A1"/>
    <w:rsid w:val="0085425F"/>
    <w:rsid w:val="00855D1C"/>
    <w:rsid w:val="008568A8"/>
    <w:rsid w:val="00857DD7"/>
    <w:rsid w:val="00863202"/>
    <w:rsid w:val="0086390F"/>
    <w:rsid w:val="00864389"/>
    <w:rsid w:val="008713D5"/>
    <w:rsid w:val="00874B10"/>
    <w:rsid w:val="008763B7"/>
    <w:rsid w:val="00877CCC"/>
    <w:rsid w:val="00877F2B"/>
    <w:rsid w:val="008809C2"/>
    <w:rsid w:val="00882188"/>
    <w:rsid w:val="00886ABA"/>
    <w:rsid w:val="008966E3"/>
    <w:rsid w:val="008A01E9"/>
    <w:rsid w:val="008A4445"/>
    <w:rsid w:val="008A49BC"/>
    <w:rsid w:val="008A56A3"/>
    <w:rsid w:val="008B20AB"/>
    <w:rsid w:val="008B45C4"/>
    <w:rsid w:val="008B4A41"/>
    <w:rsid w:val="008B62DA"/>
    <w:rsid w:val="008C29EA"/>
    <w:rsid w:val="008C306F"/>
    <w:rsid w:val="008C34E5"/>
    <w:rsid w:val="008C4183"/>
    <w:rsid w:val="008C641E"/>
    <w:rsid w:val="008D0C9F"/>
    <w:rsid w:val="008D4483"/>
    <w:rsid w:val="008D721A"/>
    <w:rsid w:val="008D7960"/>
    <w:rsid w:val="008E25DD"/>
    <w:rsid w:val="008E3A8C"/>
    <w:rsid w:val="008E5F86"/>
    <w:rsid w:val="008F1E98"/>
    <w:rsid w:val="008F43F4"/>
    <w:rsid w:val="008F4440"/>
    <w:rsid w:val="00900491"/>
    <w:rsid w:val="00904541"/>
    <w:rsid w:val="009056F9"/>
    <w:rsid w:val="009113EA"/>
    <w:rsid w:val="00911601"/>
    <w:rsid w:val="00915CEC"/>
    <w:rsid w:val="0092365E"/>
    <w:rsid w:val="0092538F"/>
    <w:rsid w:val="00927DC5"/>
    <w:rsid w:val="009300C5"/>
    <w:rsid w:val="00931BEC"/>
    <w:rsid w:val="00933600"/>
    <w:rsid w:val="00937017"/>
    <w:rsid w:val="009431B2"/>
    <w:rsid w:val="00945DCA"/>
    <w:rsid w:val="00945F73"/>
    <w:rsid w:val="00946FF7"/>
    <w:rsid w:val="009506E0"/>
    <w:rsid w:val="00951CAD"/>
    <w:rsid w:val="00962A91"/>
    <w:rsid w:val="009630FD"/>
    <w:rsid w:val="0096474A"/>
    <w:rsid w:val="00966A46"/>
    <w:rsid w:val="00972EF3"/>
    <w:rsid w:val="0097780C"/>
    <w:rsid w:val="009778A4"/>
    <w:rsid w:val="00981285"/>
    <w:rsid w:val="009904A4"/>
    <w:rsid w:val="0099680F"/>
    <w:rsid w:val="009A136D"/>
    <w:rsid w:val="009A37F4"/>
    <w:rsid w:val="009B02D8"/>
    <w:rsid w:val="009B41DE"/>
    <w:rsid w:val="009B7564"/>
    <w:rsid w:val="009C1026"/>
    <w:rsid w:val="009C116C"/>
    <w:rsid w:val="009C16BF"/>
    <w:rsid w:val="009C4045"/>
    <w:rsid w:val="009C6B23"/>
    <w:rsid w:val="009C7443"/>
    <w:rsid w:val="009D0BA0"/>
    <w:rsid w:val="009D1137"/>
    <w:rsid w:val="009E1D8D"/>
    <w:rsid w:val="009E28C0"/>
    <w:rsid w:val="009E3373"/>
    <w:rsid w:val="009E3BE9"/>
    <w:rsid w:val="009F2BB1"/>
    <w:rsid w:val="009F2F64"/>
    <w:rsid w:val="009F36E1"/>
    <w:rsid w:val="009F684C"/>
    <w:rsid w:val="009F759D"/>
    <w:rsid w:val="00A025C2"/>
    <w:rsid w:val="00A03057"/>
    <w:rsid w:val="00A05467"/>
    <w:rsid w:val="00A15528"/>
    <w:rsid w:val="00A2661C"/>
    <w:rsid w:val="00A31C13"/>
    <w:rsid w:val="00A32384"/>
    <w:rsid w:val="00A330C4"/>
    <w:rsid w:val="00A343DE"/>
    <w:rsid w:val="00A3449E"/>
    <w:rsid w:val="00A3595E"/>
    <w:rsid w:val="00A4195B"/>
    <w:rsid w:val="00A44A87"/>
    <w:rsid w:val="00A453A2"/>
    <w:rsid w:val="00A4720D"/>
    <w:rsid w:val="00A552B9"/>
    <w:rsid w:val="00A627C7"/>
    <w:rsid w:val="00A6481B"/>
    <w:rsid w:val="00A72414"/>
    <w:rsid w:val="00A77289"/>
    <w:rsid w:val="00A773CE"/>
    <w:rsid w:val="00A7778D"/>
    <w:rsid w:val="00A80091"/>
    <w:rsid w:val="00A80852"/>
    <w:rsid w:val="00A80FDB"/>
    <w:rsid w:val="00A8134A"/>
    <w:rsid w:val="00A83864"/>
    <w:rsid w:val="00A85EE2"/>
    <w:rsid w:val="00A87227"/>
    <w:rsid w:val="00A9296F"/>
    <w:rsid w:val="00A958AF"/>
    <w:rsid w:val="00A96CB3"/>
    <w:rsid w:val="00A97525"/>
    <w:rsid w:val="00AA1C23"/>
    <w:rsid w:val="00AA5CDB"/>
    <w:rsid w:val="00AA6D92"/>
    <w:rsid w:val="00AA7E81"/>
    <w:rsid w:val="00AB0BE9"/>
    <w:rsid w:val="00AB1DE4"/>
    <w:rsid w:val="00AB7E65"/>
    <w:rsid w:val="00AC12FA"/>
    <w:rsid w:val="00AC20E1"/>
    <w:rsid w:val="00AD204F"/>
    <w:rsid w:val="00AD3DBB"/>
    <w:rsid w:val="00AE47D7"/>
    <w:rsid w:val="00AE56A6"/>
    <w:rsid w:val="00AF1F15"/>
    <w:rsid w:val="00AF2476"/>
    <w:rsid w:val="00AF587B"/>
    <w:rsid w:val="00B030BB"/>
    <w:rsid w:val="00B04942"/>
    <w:rsid w:val="00B17310"/>
    <w:rsid w:val="00B238CB"/>
    <w:rsid w:val="00B30DAE"/>
    <w:rsid w:val="00B329E6"/>
    <w:rsid w:val="00B330A0"/>
    <w:rsid w:val="00B37DF5"/>
    <w:rsid w:val="00B41866"/>
    <w:rsid w:val="00B42E63"/>
    <w:rsid w:val="00B55BA5"/>
    <w:rsid w:val="00B5663B"/>
    <w:rsid w:val="00B5678F"/>
    <w:rsid w:val="00B606B1"/>
    <w:rsid w:val="00B60851"/>
    <w:rsid w:val="00B6575C"/>
    <w:rsid w:val="00B73FAD"/>
    <w:rsid w:val="00B74FB6"/>
    <w:rsid w:val="00B75D6D"/>
    <w:rsid w:val="00B75DC5"/>
    <w:rsid w:val="00B95CB8"/>
    <w:rsid w:val="00BA3360"/>
    <w:rsid w:val="00BA34F8"/>
    <w:rsid w:val="00BA541C"/>
    <w:rsid w:val="00BA65D0"/>
    <w:rsid w:val="00BA700C"/>
    <w:rsid w:val="00BB2608"/>
    <w:rsid w:val="00BB6749"/>
    <w:rsid w:val="00BB7B55"/>
    <w:rsid w:val="00BC647C"/>
    <w:rsid w:val="00BD56C3"/>
    <w:rsid w:val="00BD757A"/>
    <w:rsid w:val="00BE376C"/>
    <w:rsid w:val="00BE5A12"/>
    <w:rsid w:val="00BE5F9C"/>
    <w:rsid w:val="00BE75D7"/>
    <w:rsid w:val="00BF1494"/>
    <w:rsid w:val="00BF173F"/>
    <w:rsid w:val="00BF4637"/>
    <w:rsid w:val="00BF4903"/>
    <w:rsid w:val="00BF7139"/>
    <w:rsid w:val="00C00DEA"/>
    <w:rsid w:val="00C01659"/>
    <w:rsid w:val="00C02821"/>
    <w:rsid w:val="00C114AD"/>
    <w:rsid w:val="00C11601"/>
    <w:rsid w:val="00C12218"/>
    <w:rsid w:val="00C138A9"/>
    <w:rsid w:val="00C21B40"/>
    <w:rsid w:val="00C22469"/>
    <w:rsid w:val="00C22A70"/>
    <w:rsid w:val="00C249B8"/>
    <w:rsid w:val="00C33B77"/>
    <w:rsid w:val="00C341CF"/>
    <w:rsid w:val="00C35BE5"/>
    <w:rsid w:val="00C374FA"/>
    <w:rsid w:val="00C40A19"/>
    <w:rsid w:val="00C4378B"/>
    <w:rsid w:val="00C44921"/>
    <w:rsid w:val="00C4687B"/>
    <w:rsid w:val="00C54C8C"/>
    <w:rsid w:val="00C57E17"/>
    <w:rsid w:val="00C6664A"/>
    <w:rsid w:val="00C67598"/>
    <w:rsid w:val="00C711EA"/>
    <w:rsid w:val="00C76D71"/>
    <w:rsid w:val="00C77CFD"/>
    <w:rsid w:val="00C94119"/>
    <w:rsid w:val="00C971BE"/>
    <w:rsid w:val="00C979A4"/>
    <w:rsid w:val="00CA324E"/>
    <w:rsid w:val="00CB0848"/>
    <w:rsid w:val="00CB4E4C"/>
    <w:rsid w:val="00CB6D91"/>
    <w:rsid w:val="00CB7FF8"/>
    <w:rsid w:val="00CC3D56"/>
    <w:rsid w:val="00CC44FD"/>
    <w:rsid w:val="00CC7150"/>
    <w:rsid w:val="00CC7378"/>
    <w:rsid w:val="00CD2C92"/>
    <w:rsid w:val="00CE17BC"/>
    <w:rsid w:val="00CE2D6D"/>
    <w:rsid w:val="00CF0581"/>
    <w:rsid w:val="00CF247F"/>
    <w:rsid w:val="00D01E8A"/>
    <w:rsid w:val="00D04BD8"/>
    <w:rsid w:val="00D04D0A"/>
    <w:rsid w:val="00D07310"/>
    <w:rsid w:val="00D101EF"/>
    <w:rsid w:val="00D1067B"/>
    <w:rsid w:val="00D11340"/>
    <w:rsid w:val="00D12D71"/>
    <w:rsid w:val="00D135AB"/>
    <w:rsid w:val="00D14CE7"/>
    <w:rsid w:val="00D14D52"/>
    <w:rsid w:val="00D16EE6"/>
    <w:rsid w:val="00D17E79"/>
    <w:rsid w:val="00D21983"/>
    <w:rsid w:val="00D33EE9"/>
    <w:rsid w:val="00D34492"/>
    <w:rsid w:val="00D4104B"/>
    <w:rsid w:val="00D415F8"/>
    <w:rsid w:val="00D42B4A"/>
    <w:rsid w:val="00D47ED1"/>
    <w:rsid w:val="00D516B2"/>
    <w:rsid w:val="00D51D0D"/>
    <w:rsid w:val="00D52E56"/>
    <w:rsid w:val="00D57E55"/>
    <w:rsid w:val="00D63B3E"/>
    <w:rsid w:val="00D65DB2"/>
    <w:rsid w:val="00D66295"/>
    <w:rsid w:val="00D709D0"/>
    <w:rsid w:val="00D7279C"/>
    <w:rsid w:val="00D80481"/>
    <w:rsid w:val="00D80EBC"/>
    <w:rsid w:val="00D8318A"/>
    <w:rsid w:val="00D8334B"/>
    <w:rsid w:val="00D834FA"/>
    <w:rsid w:val="00D84490"/>
    <w:rsid w:val="00D85E07"/>
    <w:rsid w:val="00D93FCD"/>
    <w:rsid w:val="00DA5484"/>
    <w:rsid w:val="00DB1301"/>
    <w:rsid w:val="00DB342D"/>
    <w:rsid w:val="00DC71DB"/>
    <w:rsid w:val="00DE5D1E"/>
    <w:rsid w:val="00DF0654"/>
    <w:rsid w:val="00DF1B9C"/>
    <w:rsid w:val="00DF2670"/>
    <w:rsid w:val="00DF2730"/>
    <w:rsid w:val="00DF2FD3"/>
    <w:rsid w:val="00DF5AD8"/>
    <w:rsid w:val="00E04A1D"/>
    <w:rsid w:val="00E07B96"/>
    <w:rsid w:val="00E211F5"/>
    <w:rsid w:val="00E26735"/>
    <w:rsid w:val="00E30825"/>
    <w:rsid w:val="00E3769F"/>
    <w:rsid w:val="00E40579"/>
    <w:rsid w:val="00E437CF"/>
    <w:rsid w:val="00E44FF9"/>
    <w:rsid w:val="00E51ABD"/>
    <w:rsid w:val="00E53472"/>
    <w:rsid w:val="00E53CAF"/>
    <w:rsid w:val="00E57AF3"/>
    <w:rsid w:val="00E611E9"/>
    <w:rsid w:val="00E63CC0"/>
    <w:rsid w:val="00E647A0"/>
    <w:rsid w:val="00E64DB7"/>
    <w:rsid w:val="00E742F2"/>
    <w:rsid w:val="00E74EC1"/>
    <w:rsid w:val="00E806F5"/>
    <w:rsid w:val="00E807C6"/>
    <w:rsid w:val="00E86190"/>
    <w:rsid w:val="00E87018"/>
    <w:rsid w:val="00E87B28"/>
    <w:rsid w:val="00E91CD1"/>
    <w:rsid w:val="00E93232"/>
    <w:rsid w:val="00E93F33"/>
    <w:rsid w:val="00E963CE"/>
    <w:rsid w:val="00E96D12"/>
    <w:rsid w:val="00E97CB9"/>
    <w:rsid w:val="00EA2F74"/>
    <w:rsid w:val="00EB0BF4"/>
    <w:rsid w:val="00EB3378"/>
    <w:rsid w:val="00EB3F6A"/>
    <w:rsid w:val="00EB54B5"/>
    <w:rsid w:val="00EC5732"/>
    <w:rsid w:val="00EC7CF3"/>
    <w:rsid w:val="00ED0A9E"/>
    <w:rsid w:val="00ED44BA"/>
    <w:rsid w:val="00ED5E8E"/>
    <w:rsid w:val="00EE027D"/>
    <w:rsid w:val="00EE760E"/>
    <w:rsid w:val="00EF2715"/>
    <w:rsid w:val="00EF361D"/>
    <w:rsid w:val="00F041BA"/>
    <w:rsid w:val="00F07B06"/>
    <w:rsid w:val="00F10D23"/>
    <w:rsid w:val="00F12768"/>
    <w:rsid w:val="00F143F5"/>
    <w:rsid w:val="00F1627D"/>
    <w:rsid w:val="00F20A80"/>
    <w:rsid w:val="00F21A4B"/>
    <w:rsid w:val="00F3251E"/>
    <w:rsid w:val="00F32608"/>
    <w:rsid w:val="00F340D4"/>
    <w:rsid w:val="00F350A1"/>
    <w:rsid w:val="00F3776A"/>
    <w:rsid w:val="00F43DDE"/>
    <w:rsid w:val="00F51BA9"/>
    <w:rsid w:val="00F51F47"/>
    <w:rsid w:val="00F547F1"/>
    <w:rsid w:val="00F626C0"/>
    <w:rsid w:val="00F639CF"/>
    <w:rsid w:val="00F63CDB"/>
    <w:rsid w:val="00F6466E"/>
    <w:rsid w:val="00F66640"/>
    <w:rsid w:val="00F767FE"/>
    <w:rsid w:val="00F77295"/>
    <w:rsid w:val="00F82AC6"/>
    <w:rsid w:val="00F8323C"/>
    <w:rsid w:val="00F84974"/>
    <w:rsid w:val="00F87022"/>
    <w:rsid w:val="00F90DC1"/>
    <w:rsid w:val="00F9351B"/>
    <w:rsid w:val="00FA22AF"/>
    <w:rsid w:val="00FB0354"/>
    <w:rsid w:val="00FB4D3E"/>
    <w:rsid w:val="00FB4E6E"/>
    <w:rsid w:val="00FC0273"/>
    <w:rsid w:val="00FC0C0F"/>
    <w:rsid w:val="00FC2DF0"/>
    <w:rsid w:val="00FC613E"/>
    <w:rsid w:val="00FC6B80"/>
    <w:rsid w:val="00FD5831"/>
    <w:rsid w:val="00FD6FD5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59AC89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E9247A0"/>
    <w:rsid w:val="2F1C19A9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713A7A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F9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37BF8"/>
    <w:rsid w:val="001E2AC0"/>
    <w:rsid w:val="0024665A"/>
    <w:rsid w:val="00277029"/>
    <w:rsid w:val="002F13AB"/>
    <w:rsid w:val="003B38E0"/>
    <w:rsid w:val="003B6213"/>
    <w:rsid w:val="004214D0"/>
    <w:rsid w:val="00465A25"/>
    <w:rsid w:val="004C209E"/>
    <w:rsid w:val="004C591E"/>
    <w:rsid w:val="005055C9"/>
    <w:rsid w:val="00523D82"/>
    <w:rsid w:val="005320CC"/>
    <w:rsid w:val="00617896"/>
    <w:rsid w:val="006E2ABC"/>
    <w:rsid w:val="00730800"/>
    <w:rsid w:val="0077693D"/>
    <w:rsid w:val="0079553F"/>
    <w:rsid w:val="007D5396"/>
    <w:rsid w:val="007E66CB"/>
    <w:rsid w:val="008C4978"/>
    <w:rsid w:val="00962A91"/>
    <w:rsid w:val="009A37F4"/>
    <w:rsid w:val="00A3449E"/>
    <w:rsid w:val="00A552B9"/>
    <w:rsid w:val="00C11601"/>
    <w:rsid w:val="00C30190"/>
    <w:rsid w:val="00C66C1A"/>
    <w:rsid w:val="00DF3A61"/>
    <w:rsid w:val="00DF51C9"/>
    <w:rsid w:val="00E87B28"/>
    <w:rsid w:val="00EF0744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Props1.xml><?xml version="1.0" encoding="utf-8"?>
<ds:datastoreItem xmlns:ds="http://schemas.openxmlformats.org/officeDocument/2006/customXml" ds:itemID="{7127A72F-8272-4370-AF52-7C68F7652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4906</Words>
  <Characters>26496</Characters>
  <Application>Microsoft Office Word</Application>
  <DocSecurity>0</DocSecurity>
  <Lines>220</Lines>
  <Paragraphs>62</Paragraphs>
  <ScaleCrop>false</ScaleCrop>
  <Company/>
  <LinksUpToDate>false</LinksUpToDate>
  <CharactersWithSpaces>31340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5</cp:revision>
  <dcterms:created xsi:type="dcterms:W3CDTF">2026-09-11T19:17:00Z</dcterms:created>
  <dcterms:modified xsi:type="dcterms:W3CDTF">2026-10-29T20:33:00Z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</Properties>
</file>