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14:paraId="4680266B" w14:textId="77777777" w:rsidTr="650595E1">
        <w:trPr>
          <w:gridAfter w:val="1"/>
          <w:wAfter w:w="219" w:type="dxa"/>
        </w:trPr>
        <w:tc>
          <w:tcPr>
            <w:tcW w:w="2822" w:type="dxa"/>
            <w:hideMark/>
          </w:tcPr>
          <w:p w14:paraId="6DE29C9C" w14:textId="77777777" w:rsidR="00264107" w:rsidRDefault="002641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gridSpan w:val="3"/>
            <w:hideMark/>
          </w:tcPr>
          <w:p w14:paraId="299F0D40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2DA0D3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 xml:space="preserve">Tribunal de Justiça do Distrito Federal e dos </w:t>
            </w:r>
            <w:commentRangeStart w:id="0"/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Territórios</w:t>
            </w:r>
            <w:commentRangeEnd w:id="0"/>
            <w:r w:rsidR="008419F7" w:rsidRPr="2DA0D32B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r w:rsidRPr="2DA0D32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  <w:tr w:rsidR="004236F7" w:rsidRPr="009F36E1" w14:paraId="506E1C45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1B672758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5F5D25D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380D4BD" w14:textId="77777777" w:rsidR="004236F7" w:rsidRPr="009F36E1" w:rsidRDefault="00000000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="004236F7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4236F7" w:rsidRPr="009F36E1" w14:paraId="722A4191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B3F531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376372E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cs="Arial"/>
                <w:sz w:val="28"/>
                <w:szCs w:val="28"/>
              </w:r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Content>
              <w:p w14:paraId="7D3B975A" w14:textId="77777777" w:rsidR="004236F7" w:rsidRPr="009F36E1" w:rsidRDefault="004236F7">
                <w:pPr>
                  <w:jc w:val="both"/>
                  <w:rPr>
                    <w:rFonts w:cs="Arial"/>
                    <w:sz w:val="28"/>
                    <w:szCs w:val="28"/>
                  </w:rPr>
                </w:pPr>
                <w:r>
                  <w:rPr>
                    <w:rFonts w:cs="Arial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4236F7" w:rsidRPr="009F36E1" w14:paraId="185BA19B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A224AD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709DFAFC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77B2906D" w14:textId="1A4DA40A" w:rsidR="004236F7" w:rsidRPr="009F36E1" w:rsidRDefault="00582A1C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582A1C">
              <w:rPr>
                <w:rFonts w:ascii="Arial" w:hAnsi="Arial" w:cs="Arial"/>
                <w:sz w:val="28"/>
                <w:szCs w:val="28"/>
              </w:rPr>
              <w:t>0731393-22.2026.8.07.0000</w:t>
            </w:r>
          </w:p>
        </w:tc>
      </w:tr>
      <w:tr w:rsidR="004236F7" w:rsidRPr="009F36E1" w14:paraId="4B19599A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0E538277" w14:textId="77777777" w:rsidR="004236F7" w:rsidRPr="00F63CDB" w:rsidRDefault="00000000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="004236F7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34C0C9D3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30B7F23" w14:textId="4EE0B88F" w:rsidR="004236F7" w:rsidRPr="009F36E1" w:rsidRDefault="00582A1C" w:rsidP="650595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582A1C">
              <w:rPr>
                <w:rFonts w:ascii="Arial" w:hAnsi="Arial" w:cs="Arial"/>
                <w:sz w:val="28"/>
                <w:szCs w:val="28"/>
              </w:rPr>
              <w:t>RICARDO AGUIAR MARTINS, VERONICA AGUIAR MARTINS</w:t>
            </w:r>
          </w:p>
        </w:tc>
      </w:tr>
      <w:tr w:rsidR="004236F7" w:rsidRPr="009F36E1" w14:paraId="01956A99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68F3466" w14:textId="77777777" w:rsidR="004236F7" w:rsidRPr="009F36E1" w:rsidRDefault="00000000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="004236F7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236F7">
              <w:rPr>
                <w:rFonts w:ascii="Arial" w:hAnsi="Arial" w:cs="Arial"/>
                <w:sz w:val="28"/>
                <w:szCs w:val="28"/>
              </w:rPr>
              <w:t>(</w:t>
            </w:r>
            <w:r w:rsidR="004236F7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5EDA038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4C226F0" w14:textId="77777777" w:rsidR="00582A1C" w:rsidRPr="00582A1C" w:rsidRDefault="00582A1C" w:rsidP="00582A1C">
            <w:pPr>
              <w:ind w:right="-74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582A1C">
              <w:rPr>
                <w:rFonts w:ascii="Arial" w:hAnsi="Arial" w:cs="Arial"/>
                <w:sz w:val="28"/>
                <w:szCs w:val="28"/>
              </w:rPr>
              <w:t>NAVARRA S.A.</w:t>
            </w:r>
          </w:p>
          <w:p w14:paraId="6CC5F6AE" w14:textId="775C7583" w:rsidR="004236F7" w:rsidRPr="009F36E1" w:rsidRDefault="004236F7" w:rsidP="00582A1C">
            <w:pPr>
              <w:ind w:right="-74"/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236F7" w:rsidRPr="009F36E1" w14:paraId="04C2C9E0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C272CF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65F4370D" w14:textId="77777777" w:rsidR="004236F7" w:rsidRPr="009F36E1" w:rsidRDefault="004236F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4F0CBAE" w14:textId="77777777" w:rsidR="004236F7" w:rsidRPr="009F36E1" w:rsidRDefault="004236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jc w:val="left"/>
      </w:pPr>
      <w:r>
        <w:rPr>
          <w:rFonts w:ascii="Arial" w:hAnsi="Arial" w:cs="Arial"/>
          <w:b/>
          <w:i w:val="0"/>
          <w:sz w:val="28"/>
        </w:rPr>
        <w:t>EMENTA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sz w:val="28"/>
        </w:rPr>
        <w:t>AGRAVO DE INSTRUMENTO. DIREITO PROCESSUAL CIVIL. EXECUÇÃO DE TÍTULO EXTRAJUDICIAL. PENHORA DE VEÍCULO. ORDEM LEGAL DE PENHORA. NOVA PESQUISA PELO SISBAJUD NA MODALIDADE “TEIMOSINHA”. MENOR ONEROSIDADE. RECURSO NÃO PROVIDO.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/>
          <w:i w:val="0"/>
          <w:sz w:val="28"/>
        </w:rPr>
        <w:t>I. Caso em exame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sz w:val="28"/>
        </w:rPr>
        <w:t>1. Execução de título extrajudicial ajuizada por Navarra S.A. contra duas pessoas naturais, visando à satisfação de crédito (R$ 134.094,99).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sz w:val="28"/>
        </w:rPr>
        <w:t>2. A decisão agravada indeferiu o pedido de chamamento do feito à ordem dos executados e manteve a penhora do veículo VW Amarok, com restrição de transferência via RENAJUD, determinando o prosseguimento da penhora e da avaliação.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sz w:val="28"/>
        </w:rPr>
        <w:t>3. Os executados agravam requerendo o levantamento da restrição e a prévia pesquisa de ativos financeiros pelo SISBAJUD, na modalidade “teimosinha”, ao argumento de que o veículo é utilizado para fins pessoais e profissionais.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/>
          <w:i w:val="0"/>
          <w:sz w:val="28"/>
        </w:rPr>
        <w:t>II. Questão em discussão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sz w:val="28"/>
        </w:rPr>
        <w:t>4. Há duas questões em discussão: (i) saber se a penhora do veículo deve ser desconstituída em razão da ordem legal de preferência e da ausência de prévia pesquisa de ativos financeiros pelo SISBAJUD, na modalidade “teimosinha”; e (ii) saber se a constrição viola o princípio da menor onerosidade por recair sobre veículo utilizado pelos executados para fins pessoais e profissionais.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/>
          <w:i w:val="0"/>
          <w:sz w:val="28"/>
        </w:rPr>
        <w:t>III. Razões de decidir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sz w:val="28"/>
        </w:rPr>
        <w:t>5. A preferência do dinheiro na ordem legal não impede a penhora de veículo quando as buscas anteriores por ativos financeiros foram infrutíferas, pois o juiz pode alterar a ordem conforme as circunstâncias do caso concreto (CPC 835 § 1º).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sz w:val="28"/>
        </w:rPr>
        <w:t>6. O decurso de menos de quatro meses entre o indeferimento da reiteração da pesquisa SISBAJUD (26/11/2025) e a penhora do veículo (23/03/2026), sem elemento concreto de alteração patrimonial, não justifica a prévia pesquisa na modalidade “teimosinha”.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sz w:val="28"/>
        </w:rPr>
        <w:t>7. O executado que alega ser a medida mais gravosa deve indicar meio mais eficaz e menos oneroso, o que não ocorre quando o único meio indicado é nova pesquisa SISBAJUD, sem garantia de êxito (CPC 805 par. único).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sz w:val="28"/>
        </w:rPr>
        <w:t>8. A constrição não se torna ilegítima apenas porque recai sobre bem utilizado pelo devedor em sua rotina, e o agravo não indica a atividade profissional exercida nem documento que comprove ser o veículo indispensável.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/>
          <w:i w:val="0"/>
          <w:sz w:val="28"/>
        </w:rPr>
        <w:t>IV. Dispositivo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sz w:val="28"/>
        </w:rPr>
        <w:t>9. Negou-se provimento ao agravo de instrumento dos executados.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sz w:val="28"/>
          <w:u w:val="single"/>
        </w:rPr>
        <w:t>_</w:t>
      </w:r>
      <w:r>
        <w:rPr>
          <w:rFonts w:ascii="Arial" w:hAnsi="Arial" w:cs="Arial"/>
          <w:b w:val="0"/>
          <w:i w:val="0"/>
          <w:sz w:val="28"/>
        </w:rPr>
        <w:t>_</w:t>
      </w:r>
    </w:p>
    <w:p>
      <w:pPr>
        <w:spacing w:line="360" w:lineRule="auto" w:before="0" w:after="0"/>
        <w:jc w:val="both"/>
      </w:pPr>
      <w:r>
        <w:rPr>
          <w:sz w:val="26"/>
        </w:rPr>
      </w:r>
      <w:r>
        <w:rPr>
          <w:rFonts w:ascii="Arial" w:hAnsi="Arial"/>
          <w:i/>
          <w:sz w:val="26"/>
        </w:rPr>
        <w:t>Dispositivos relevantes citados:</w:t>
      </w:r>
      <w:r>
        <w:rPr>
          <w:rFonts w:ascii="Arial" w:hAnsi="Arial"/>
          <w:sz w:val="26"/>
        </w:rPr>
        <w:t xml:space="preserve"> CPC, arts. 805, parágrafo único, e 835, § 1º.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/>
          <w:i w:val="0"/>
          <w:color w:val="EE0000"/>
          <w:sz w:val="28"/>
          <w:highlight w:val="yellow"/>
        </w:rPr>
        <w:t>RESUMO DO AGRAVO EM SENTIDO CONTRÁRIO AO VOTO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I. RAZÕES RECURSAIS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1. Decurso de tempo e SISBAJUD na modalidade “teimosinha”</w:t>
      </w:r>
    </w:p>
    <w:p>
      <w:pPr>
        <w:spacing w:line="360" w:lineRule="auto" w:before="0" w:after="0"/>
        <w:ind w:left="720" w:hanging="357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Os agravantes sustentam que decorreu prazo razoável desde a última pesquisa de ativos financeiros, que a modalidade “teimosinha” é mais eficaz do que o bloqueio convencional e que o STJ autoriza a renovação da pesquisa com o decurso do tempo (AREsp 3.121.146).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2. Ordem legal de preferência</w:t>
      </w:r>
    </w:p>
    <w:p>
      <w:pPr>
        <w:spacing w:line="360" w:lineRule="auto" w:before="0" w:after="0"/>
        <w:ind w:left="720" w:hanging="357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Afirmam que a penhora do veículo, bem de menor preferência, foi mantida sem esgotar a busca por dinheiro, prioritário na ordem legal (CPC 835 I e § 1º).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3. Menor onerosidade e essencialidade do veículo</w:t>
      </w:r>
    </w:p>
    <w:p>
      <w:pPr>
        <w:spacing w:line="360" w:lineRule="auto" w:before="0" w:after="0"/>
        <w:ind w:left="720" w:hanging="357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Alegam que o VW Amarok é utilizado para fins pessoais e profissionais, indispensável à geração de renda e à locomoção, e que a penhora viola a menor onerosidade (CPC 805).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4. Risco de dano</w:t>
      </w:r>
    </w:p>
    <w:p>
      <w:pPr>
        <w:spacing w:line="360" w:lineRule="auto" w:before="0" w:after="0"/>
        <w:ind w:left="720" w:hanging="357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Sustentam que a penhora, a avaliação e a remoção do veículo os privariam de sua ferramenta de trabalho, ao passo que a restrição RENAJUD já garante o juízo.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II. PEDIDO</w:t>
      </w:r>
    </w:p>
    <w:p>
      <w:pPr>
        <w:spacing w:line="360" w:lineRule="auto" w:before="0" w:after="0"/>
        <w:ind w:left="720" w:hanging="357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Requerem o efeito suspensivo e, no mérito, a reforma da decisão para levantar a restrição RENAJUD e determinar a prévia pesquisa de ativos financeiros pelo SISBAJUD, na modalidade “teimosinha”, por 30 dias.</w:t>
      </w:r>
    </w:p>
    <w:p>
      <w:pPr>
        <w:pageBreakBefore/>
        <w:spacing w:line="360" w:lineRule="auto" w:before="0" w:after="0"/>
        <w:jc w:val="center"/>
      </w:pPr>
      <w:r>
        <w:rPr>
          <w:rFonts w:ascii="Arial" w:hAnsi="Arial" w:cs="Arial"/>
          <w:b/>
          <w:i w:val="0"/>
          <w:sz w:val="28"/>
        </w:rPr>
        <w:t>RELATÓRIO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Adoto o relatório da liminar (ID 86922432):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left="2268" w:firstLine="1134"/>
        <w:jc w:val="both"/>
      </w:pPr>
      <w:r>
        <w:rPr>
          <w:rFonts w:ascii="Arial" w:hAnsi="Arial" w:cs="Arial"/>
          <w:b w:val="0"/>
          <w:i/>
          <w:sz w:val="26"/>
        </w:rPr>
        <w:t>“Trata-se, na origem, de execução de título extrajudicial ajuizada por Navarra S.A. em desfavor de Ricardo Aguiar Martins e Verônica Aguiar Martins Coutinho (R$ 134.094,99).</w:t>
      </w:r>
    </w:p>
    <w:p>
      <w:pPr>
        <w:spacing w:line="360" w:lineRule="auto" w:before="0" w:after="0"/>
        <w:ind w:left="2268" w:firstLine="1134"/>
        <w:jc w:val="both"/>
      </w:pPr>
      <w:r>
        <w:rPr>
          <w:rFonts w:ascii="Arial" w:hAnsi="Arial" w:cs="Arial"/>
          <w:b w:val="0"/>
          <w:i/>
          <w:sz w:val="26"/>
        </w:rPr>
        <w:t>A decisão agravada indeferiu o pedido de chamamento do feito à ordem formulado pelos executados e manteve a decisão anterior que havia deferido a penhora do veículo VW Amarok, placa OVV5068, com restrição de transferência via RENAJUD e expedição de mandado de penhora e avaliação. O Juízo de origem considerou que já haviam sido realizadas diligências patrimoniais infrutíferas, inclusive pesquisa SISBAJUD, e que a ordem legal de penhora não impede a constrição de outros bens quando inexistentes ativos financeiros localizados, sobretudo diante da necessidade de preservação da efetividade da execução (ID 281642983, origem).</w:t>
      </w:r>
    </w:p>
    <w:p>
      <w:pPr>
        <w:spacing w:line="360" w:lineRule="auto" w:before="0" w:after="0"/>
        <w:ind w:left="2268" w:firstLine="1134"/>
        <w:jc w:val="both"/>
      </w:pPr>
      <w:r>
        <w:rPr>
          <w:rFonts w:ascii="Arial" w:hAnsi="Arial" w:cs="Arial"/>
          <w:b w:val="0"/>
          <w:i/>
          <w:sz w:val="26"/>
        </w:rPr>
        <w:t xml:space="preserve">Os executados interpõem agravo de instrumento alegando, em síntese, que: </w:t>
      </w:r>
      <w:r>
        <w:rPr>
          <w:rFonts w:ascii="Arial" w:hAnsi="Arial" w:cs="Arial"/>
          <w:b/>
          <w:i/>
          <w:sz w:val="26"/>
        </w:rPr>
        <w:t>1)</w:t>
      </w:r>
      <w:r>
        <w:rPr>
          <w:rFonts w:ascii="Arial" w:hAnsi="Arial" w:cs="Arial"/>
          <w:b w:val="0"/>
          <w:i/>
          <w:sz w:val="26"/>
        </w:rPr>
        <w:t xml:space="preserve"> houve decurso de tempo razoável desde a última pesquisa de ativos financeiros e seria viável nova tentativa pelo SISBAJUD na modalidade ‘teimosinha’; </w:t>
      </w:r>
      <w:r>
        <w:rPr>
          <w:rFonts w:ascii="Arial" w:hAnsi="Arial" w:cs="Arial"/>
          <w:b/>
          <w:i/>
          <w:sz w:val="26"/>
        </w:rPr>
        <w:t>2)</w:t>
      </w:r>
      <w:r>
        <w:rPr>
          <w:rFonts w:ascii="Arial" w:hAnsi="Arial" w:cs="Arial"/>
          <w:b w:val="0"/>
          <w:i/>
          <w:sz w:val="26"/>
        </w:rPr>
        <w:t xml:space="preserve"> a penhora do veículo VW Amarok viola a ordem legal de preferência prevista no art. 835 do CPC, pois incide sobre bem de menor preferência antes de esgotada a busca por dinheiro; </w:t>
      </w:r>
      <w:r>
        <w:rPr>
          <w:rFonts w:ascii="Arial" w:hAnsi="Arial" w:cs="Arial"/>
          <w:b/>
          <w:i/>
          <w:sz w:val="26"/>
        </w:rPr>
        <w:t>3)</w:t>
      </w:r>
      <w:r>
        <w:rPr>
          <w:rFonts w:ascii="Arial" w:hAnsi="Arial" w:cs="Arial"/>
          <w:b w:val="0"/>
          <w:i/>
          <w:sz w:val="26"/>
        </w:rPr>
        <w:t xml:space="preserve"> a constrição afronta o princípio da menor onerosidade, previsto no art. 805 do CPC, porque o veículo seria utilizado para fins pessoais e profissionais; </w:t>
      </w:r>
      <w:r>
        <w:rPr>
          <w:rFonts w:ascii="Arial" w:hAnsi="Arial" w:cs="Arial"/>
          <w:b/>
          <w:i/>
          <w:sz w:val="26"/>
        </w:rPr>
        <w:t>4)</w:t>
      </w:r>
      <w:r>
        <w:rPr>
          <w:rFonts w:ascii="Arial" w:hAnsi="Arial" w:cs="Arial"/>
          <w:b w:val="0"/>
          <w:i/>
          <w:sz w:val="26"/>
        </w:rPr>
        <w:t xml:space="preserve"> a manutenção da penhora comprometeria a locomoção e a atividade econômica dos executados; </w:t>
      </w:r>
      <w:r>
        <w:rPr>
          <w:rFonts w:ascii="Arial" w:hAnsi="Arial" w:cs="Arial"/>
          <w:b/>
          <w:i/>
          <w:sz w:val="26"/>
        </w:rPr>
        <w:t>5)</w:t>
      </w:r>
      <w:r>
        <w:rPr>
          <w:rFonts w:ascii="Arial" w:hAnsi="Arial" w:cs="Arial"/>
          <w:b w:val="0"/>
          <w:i/>
          <w:sz w:val="26"/>
        </w:rPr>
        <w:t xml:space="preserve"> estão presentes a probabilidade do direito e o perigo de dano, diante do risco de prosseguimento dos atos de penhora, avaliação e remoção do veículo.</w:t>
      </w:r>
    </w:p>
    <w:p>
      <w:pPr>
        <w:spacing w:line="360" w:lineRule="auto" w:before="0" w:after="0"/>
        <w:ind w:left="2268" w:firstLine="1134"/>
        <w:jc w:val="both"/>
      </w:pPr>
      <w:r>
        <w:rPr>
          <w:rFonts w:ascii="Arial" w:hAnsi="Arial" w:cs="Arial"/>
          <w:b w:val="0"/>
          <w:i/>
          <w:sz w:val="26"/>
        </w:rPr>
        <w:t>Requerem a concessão de efeito suspensivo para sustar imediatamente o mandado de penhora, avaliação e remoção do veículo VW Amarok, placa OVV5068. No mérito, pretendem a reforma da decisão agravada, com o levantamento da restrição de transferência lançada via RENAJUD e a prévia realização de pesquisa de ativos financeiros pelo SISBAJUD, na modalidade continuada, pelo prazo de 30 dias (ID 86833446).”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Indeferi o pedido de efeito suspensivo (ID 86922432).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commentRangeStart w:id="8"/>
      <w:r>
        <w:rPr>
          <w:rFonts w:ascii="Arial" w:hAnsi="Arial" w:cs="Arial"/>
          <w:b w:val="0"/>
          <w:i w:val="0"/>
          <w:sz w:val="28"/>
        </w:rPr>
        <w:t>Sem contrarrazões (ID 88052692).</w:t>
      </w:r>
      <w:commentRangeEnd w:id="8"/>
      <w:r>
        <w:rPr>
          <w:rStyle w:val="CommentReference"/>
        </w:rPr>
        <w:commentReference w:id="8"/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É o relatório.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jc w:val="center"/>
      </w:pPr>
      <w:r>
        <w:rPr>
          <w:rFonts w:ascii="Arial" w:hAnsi="Arial" w:cs="Arial"/>
          <w:b/>
          <w:i w:val="0"/>
          <w:sz w:val="28"/>
        </w:rPr>
        <w:t>VOTO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/>
          <w:i w:val="0"/>
          <w:sz w:val="28"/>
        </w:rPr>
        <w:t>O Senhor Desembargador SÉRGIO ROCHA – Relator.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jc w:val="center"/>
      </w:pPr>
      <w:r>
        <w:rPr>
          <w:rFonts w:ascii="Arial" w:hAnsi="Arial" w:cs="Arial"/>
          <w:b/>
          <w:i w:val="0"/>
          <w:sz w:val="28"/>
        </w:rPr>
        <w:t>AGRAVO DE INSTRUMENTO DOS EXECUTADOS, RICARDO AGUIAR MARTINS E VERÔNICA AGUIAR MARTINS COUTINHO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Presentes os pressupostos de admissibilidade, conheço do agravo de instrumento.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jc w:val="center"/>
      </w:pPr>
      <w:r>
        <w:rPr>
          <w:rFonts w:ascii="Arial" w:hAnsi="Arial" w:cs="Arial"/>
          <w:b w:val="0"/>
          <w:i w:val="0"/>
          <w:sz w:val="28"/>
          <w:highlight w:val="yellow"/>
        </w:rPr>
        <w:t>DA POSSIBILIDADE DA PENHORA DO VEÍCULO ANTES DE NOVA PESQUISA PELO SISBAJUD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Os executados/agravantes alegam que: </w:t>
      </w:r>
      <w:r>
        <w:rPr>
          <w:rFonts w:ascii="Arial" w:hAnsi="Arial" w:cs="Arial"/>
          <w:b/>
          <w:i w:val="0"/>
          <w:sz w:val="28"/>
        </w:rPr>
        <w:t>1)</w:t>
      </w:r>
      <w:r>
        <w:rPr>
          <w:rFonts w:ascii="Arial" w:hAnsi="Arial" w:cs="Arial"/>
          <w:b w:val="0"/>
          <w:i w:val="0"/>
          <w:sz w:val="28"/>
        </w:rPr>
        <w:t xml:space="preserve"> houve decurso de tempo razoável desde a última pesquisa de ativos financeiros, e seria viável nova tentativa pelo SISBAJUD na modalidade “teimosinha”; </w:t>
      </w:r>
      <w:r>
        <w:rPr>
          <w:rFonts w:ascii="Arial" w:hAnsi="Arial" w:cs="Arial"/>
          <w:b/>
          <w:i w:val="0"/>
          <w:sz w:val="28"/>
        </w:rPr>
        <w:t>2)</w:t>
      </w:r>
      <w:r>
        <w:rPr>
          <w:rFonts w:ascii="Arial" w:hAnsi="Arial" w:cs="Arial"/>
          <w:b w:val="0"/>
          <w:i w:val="0"/>
          <w:sz w:val="28"/>
        </w:rPr>
        <w:t xml:space="preserve"> a penhora do veículo VW Amarok viola a ordem legal de preferência, pois incide sobre bem de menor preferência antes de esgotada a busca por dinheiro (CPC 835); </w:t>
      </w:r>
      <w:r>
        <w:rPr>
          <w:rFonts w:ascii="Arial" w:hAnsi="Arial" w:cs="Arial"/>
          <w:b/>
          <w:i w:val="0"/>
          <w:sz w:val="28"/>
        </w:rPr>
        <w:t>3)</w:t>
      </w:r>
      <w:r>
        <w:rPr>
          <w:rFonts w:ascii="Arial" w:hAnsi="Arial" w:cs="Arial"/>
          <w:b w:val="0"/>
          <w:i w:val="0"/>
          <w:sz w:val="28"/>
        </w:rPr>
        <w:t xml:space="preserve"> a constrição afronta a menor onerosidade (CPC 805), porque o veículo é utilizado para fins pessoais e profissionais; </w:t>
      </w:r>
      <w:r>
        <w:rPr>
          <w:rFonts w:ascii="Arial" w:hAnsi="Arial" w:cs="Arial"/>
          <w:b/>
          <w:i w:val="0"/>
          <w:sz w:val="28"/>
        </w:rPr>
        <w:t>4)</w:t>
      </w:r>
      <w:r>
        <w:rPr>
          <w:rFonts w:ascii="Arial" w:hAnsi="Arial" w:cs="Arial"/>
          <w:b w:val="0"/>
          <w:i w:val="0"/>
          <w:sz w:val="28"/>
        </w:rPr>
        <w:t xml:space="preserve"> a manutenção da penhora compromete a locomoção e a atividade econômica dos executados; </w:t>
      </w:r>
      <w:r>
        <w:rPr>
          <w:rFonts w:ascii="Arial" w:hAnsi="Arial" w:cs="Arial"/>
          <w:b/>
          <w:i w:val="0"/>
          <w:sz w:val="28"/>
        </w:rPr>
        <w:t>5)</w:t>
      </w:r>
      <w:r>
        <w:rPr>
          <w:rFonts w:ascii="Arial" w:hAnsi="Arial" w:cs="Arial"/>
          <w:b w:val="0"/>
          <w:i w:val="0"/>
          <w:sz w:val="28"/>
        </w:rPr>
        <w:t xml:space="preserve"> estão presentes a probabilidade do direito e o perigo de dano (ID 86833446).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Requerem a reforma da r. decisão para levantar a restrição RENAJUD e determinar a prévia pesquisa de ativos financeiros pelo SISBAJUD, na modalidade “teimosinha”, por 30 dias.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r>
        <w:rPr>
          <w:rFonts w:ascii="Arial" w:hAnsi="Arial" w:cs="Arial"/>
          <w:b w:val="0"/>
          <w:i w:val="0"/>
          <w:sz w:val="28"/>
          <w:highlight w:val="yellow"/>
        </w:rPr>
        <w:t>Sem razão.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Mantenho as razões expostas na decisão liminar que indeferiu o pedido de efeito suspensivo (ID 86922432):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left="2268" w:firstLine="1134"/>
        <w:jc w:val="both"/>
      </w:pPr>
      <w:r>
        <w:rPr>
          <w:rFonts w:ascii="Arial" w:hAnsi="Arial" w:cs="Arial"/>
          <w:b w:val="0"/>
          <w:i/>
          <w:sz w:val="26"/>
        </w:rPr>
        <w:t>“Não vislumbro a probabilidade do direito alegado, ao menos nesta sede de cognição sumária.</w:t>
      </w:r>
    </w:p>
    <w:p>
      <w:pPr>
        <w:spacing w:line="360" w:lineRule="auto" w:before="0" w:after="0"/>
        <w:ind w:left="2268" w:firstLine="1134"/>
        <w:jc w:val="both"/>
      </w:pPr>
      <w:r>
        <w:rPr>
          <w:rFonts w:ascii="Arial" w:hAnsi="Arial" w:cs="Arial"/>
          <w:b w:val="0"/>
          <w:i/>
          <w:sz w:val="26"/>
        </w:rPr>
        <w:t>Constou da r. decisão agravada, in verbis:</w:t>
      </w:r>
    </w:p>
    <w:p>
      <w:pPr>
        <w:spacing w:line="360" w:lineRule="auto" w:before="0" w:after="0"/>
        <w:ind w:left="3402" w:firstLine="0"/>
        <w:jc w:val="both"/>
      </w:pPr>
      <w:r>
        <w:rPr>
          <w:rFonts w:ascii="Arial" w:hAnsi="Arial" w:cs="Arial"/>
          <w:b w:val="0"/>
          <w:i/>
          <w:sz w:val="26"/>
        </w:rPr>
        <w:t>‘(...) No caso, a decisão de ID 269485437 deferiu a penhora do veículo VW Amarok, placa OVV5068, com restrição de transferência via RENAJUD e expedição de mandado de penhora e avaliação. A medida foi adotada no contexto de execução em curso há tempo considerável, após a realização de diligências patrimoniais anteriores sem êxito suficiente para satisfação do crédito.</w:t>
      </w:r>
    </w:p>
    <w:p>
      <w:pPr>
        <w:spacing w:line="360" w:lineRule="auto" w:before="0" w:after="0"/>
        <w:ind w:left="3402" w:firstLine="0"/>
        <w:jc w:val="both"/>
      </w:pPr>
      <w:r>
        <w:rPr>
          <w:rFonts w:ascii="Arial" w:hAnsi="Arial" w:cs="Arial"/>
          <w:b w:val="0"/>
          <w:i/>
          <w:sz w:val="26"/>
        </w:rPr>
        <w:t>Embora o dinheiro ocupe posição preferencial na ordem legal de penhora prevista no art. 835 do CPC, essa ordem não impede a constrição de outros bens quando inexistentes ativos financeiros localizados ou quando as buscas já realizadas não tenham sido efetivas. A execução deve observar a menor onerosidade possível ao devedor, nos termos do art. 805 do CPC, mas também deve se desenvolver no interesse do credor, conforme art. 797 do CPC, não se admitindo que o princípio seja utilizado para inviabilizar a efetividade da tutela executiva.</w:t>
      </w:r>
    </w:p>
    <w:p>
      <w:pPr>
        <w:spacing w:line="360" w:lineRule="auto" w:before="0" w:after="0"/>
        <w:ind w:left="3402" w:firstLine="0"/>
        <w:jc w:val="both"/>
      </w:pPr>
      <w:r>
        <w:rPr>
          <w:rFonts w:ascii="Arial" w:hAnsi="Arial" w:cs="Arial"/>
          <w:b w:val="0"/>
          <w:i/>
          <w:sz w:val="26"/>
        </w:rPr>
        <w:t>Além disso, os executados não indicaram bem ou meio executivo menos gravoso e igualmente eficaz para garantir o juízo ou satisfazer o crédito. A simples alegação de necessidade de nova tentativa de bloqueio financeiro, desacompanhada de elementos concretos que indiquem alteração patrimonial relevante, não justifica a suspensão da penhora já deferida. (…)’ (ID 281642983, origem) – Grifei.</w:t>
      </w:r>
    </w:p>
    <w:p>
      <w:pPr>
        <w:spacing w:line="360" w:lineRule="auto" w:before="0" w:after="0"/>
        <w:ind w:left="2268" w:firstLine="1134"/>
        <w:jc w:val="both"/>
      </w:pPr>
      <w:r>
        <w:rPr>
          <w:rFonts w:ascii="Arial" w:hAnsi="Arial" w:cs="Arial"/>
          <w:b w:val="0"/>
          <w:i/>
          <w:sz w:val="26"/>
        </w:rPr>
        <w:t>Com efeito, o art. 805 do CPC não assegura ao devedor a escolha unilateral do meio executivo, nem impede a prática de atos constritivos quando inexistente indicação de alternativa menos gravosa e igualmente eficaz.</w:t>
      </w:r>
    </w:p>
    <w:p>
      <w:pPr>
        <w:spacing w:line="360" w:lineRule="auto" w:before="0" w:after="0"/>
        <w:ind w:left="2268" w:firstLine="1134"/>
        <w:jc w:val="both"/>
      </w:pPr>
      <w:r>
        <w:rPr>
          <w:rFonts w:ascii="Arial" w:hAnsi="Arial" w:cs="Arial"/>
          <w:b w:val="0"/>
          <w:i/>
          <w:sz w:val="26"/>
        </w:rPr>
        <w:t>No caso, os agravantes defendem a realização de nova pesquisa eletrônica, mas não indicam bem específico ou meio executivo concretamente apto a garantir o juízo ou satisfazer o crédito com a mesma efetividade da penhora já determinada.</w:t>
      </w:r>
    </w:p>
    <w:p>
      <w:pPr>
        <w:spacing w:line="360" w:lineRule="auto" w:before="0" w:after="0"/>
        <w:ind w:left="2268" w:firstLine="1134"/>
        <w:jc w:val="both"/>
      </w:pPr>
      <w:r>
        <w:rPr>
          <w:rFonts w:ascii="Arial" w:hAnsi="Arial" w:cs="Arial"/>
          <w:b w:val="0"/>
          <w:i/>
          <w:sz w:val="26"/>
        </w:rPr>
        <w:t>Não há nenhuma garantia de que a realização de nova pesquisa de bens via SISBAJUD, na modalidade ‘teimosinha’, encontrará ativos passíveis de penhora.</w:t>
      </w:r>
    </w:p>
    <w:p>
      <w:pPr>
        <w:spacing w:line="360" w:lineRule="auto" w:before="0" w:after="0"/>
        <w:ind w:left="2268" w:firstLine="1134"/>
        <w:jc w:val="both"/>
      </w:pPr>
      <w:r>
        <w:rPr>
          <w:rFonts w:ascii="Arial" w:hAnsi="Arial" w:cs="Arial"/>
          <w:b w:val="0"/>
          <w:i/>
          <w:sz w:val="26"/>
        </w:rPr>
        <w:t>Além disso, a constrição patrimonial, típica do processo executivo, não se torna ilegítima apenas porque recai sobre bem utilizado pelo devedor em sua rotina ordinária.</w:t>
      </w:r>
    </w:p>
    <w:p>
      <w:pPr>
        <w:spacing w:line="360" w:lineRule="auto" w:before="0" w:after="0"/>
        <w:ind w:left="2268" w:firstLine="1134"/>
        <w:jc w:val="both"/>
      </w:pPr>
      <w:r>
        <w:rPr>
          <w:rFonts w:ascii="Arial" w:hAnsi="Arial" w:cs="Arial"/>
          <w:b w:val="0"/>
          <w:i/>
          <w:sz w:val="26"/>
        </w:rPr>
        <w:t>Se os agravantes realmente pretendessem impedir a busca e apreensão do veículo objeto da penhora, deveriam depositar em juízo o valor da dívida ou, ao menos, apresentar proposta de acordo com garantia real de pagamento, em atenção à boa-fé (CPC 5º); porém, nada requereram nesse sentido.</w:t>
      </w:r>
    </w:p>
    <w:p>
      <w:pPr>
        <w:spacing w:line="360" w:lineRule="auto" w:before="0" w:after="0"/>
        <w:ind w:left="2268" w:firstLine="1134"/>
        <w:jc w:val="both"/>
      </w:pPr>
      <w:r>
        <w:rPr>
          <w:rFonts w:ascii="Arial" w:hAnsi="Arial" w:cs="Arial"/>
          <w:b w:val="0"/>
          <w:i/>
          <w:sz w:val="26"/>
        </w:rPr>
        <w:t>Quanto ao perigo de dano, embora se reconheça o risco dos agravantes de perderem a posse do veículo pessoal utilizado para locomoção, tal circunstância não se sobrepõe, neste momento, à ausência de probabilidade do direito para a concessão da liminar pleiteada.</w:t>
      </w:r>
    </w:p>
    <w:p>
      <w:pPr>
        <w:spacing w:line="360" w:lineRule="auto" w:before="0" w:after="0"/>
        <w:ind w:left="2268" w:firstLine="1134"/>
        <w:jc w:val="both"/>
      </w:pPr>
      <w:r>
        <w:rPr>
          <w:rFonts w:ascii="Arial" w:hAnsi="Arial" w:cs="Arial"/>
          <w:b w:val="0"/>
          <w:i/>
          <w:sz w:val="26"/>
        </w:rPr>
        <w:t>Eventual conclusão em sentido contrário demanda uma análise mais detida da questão e recomenda a instauração do prévio contraditório.”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commentRangeStart w:id="9"/>
      <w:r>
        <w:rPr>
          <w:rFonts w:ascii="Arial" w:hAnsi="Arial" w:cs="Arial"/>
          <w:b w:val="0"/>
          <w:i w:val="0"/>
          <w:sz w:val="28"/>
        </w:rPr>
        <w:t xml:space="preserve">Quanto ao decurso de tempo, o próprio agravo informa que o pedido de reiteração da pesquisa SISBAJUD formulado pela credora foi indeferido em 26/11/2025 e que a penhora do veículo foi deferida em 23/03/2026, </w:t>
      </w:r>
      <w:r>
        <w:rPr>
          <w:rFonts w:ascii="Arial" w:hAnsi="Arial" w:cs="Arial"/>
          <w:b w:val="0"/>
          <w:i w:val="0"/>
          <w:sz w:val="28"/>
          <w:highlight w:val="yellow"/>
        </w:rPr>
        <w:t>menos de quatro meses depois, sem que os agravantes apontem elemento concreto de alteração patrimonial nesse período (ID 86833446).</w:t>
      </w:r>
      <w:commentRangeEnd w:id="9"/>
      <w:r>
        <w:rPr>
          <w:rStyle w:val="CommentReference"/>
        </w:rPr>
        <w:commentReference w:id="9"/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Dispõem os arts. 835 e 805 do CPC: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left="2268" w:firstLine="0"/>
        <w:jc w:val="both"/>
      </w:pPr>
      <w:r>
        <w:rPr>
          <w:rFonts w:ascii="Arial" w:hAnsi="Arial" w:cs="Arial"/>
          <w:b w:val="0"/>
          <w:i/>
          <w:sz w:val="26"/>
        </w:rPr>
        <w:t>“Art. 835. A penhora observará, preferencialmente, a seguinte ordem:</w:t>
      </w:r>
    </w:p>
    <w:p>
      <w:pPr>
        <w:spacing w:line="360" w:lineRule="auto" w:before="0" w:after="0"/>
        <w:ind w:left="2268" w:firstLine="0"/>
        <w:jc w:val="both"/>
      </w:pPr>
      <w:r>
        <w:rPr>
          <w:rFonts w:ascii="Arial" w:hAnsi="Arial" w:cs="Arial"/>
          <w:b w:val="0"/>
          <w:i/>
          <w:sz w:val="26"/>
        </w:rPr>
        <w:t>I - dinheiro, em espécie ou em depósito ou aplicação em instituição financeira;</w:t>
      </w:r>
    </w:p>
    <w:p>
      <w:pPr>
        <w:spacing w:line="360" w:lineRule="auto" w:before="0" w:after="0"/>
        <w:ind w:left="2268" w:firstLine="0"/>
        <w:jc w:val="both"/>
      </w:pPr>
      <w:r>
        <w:rPr>
          <w:rFonts w:ascii="Arial" w:hAnsi="Arial" w:cs="Arial"/>
          <w:b w:val="0"/>
          <w:i/>
          <w:sz w:val="26"/>
        </w:rPr>
        <w:t>(...)</w:t>
      </w:r>
    </w:p>
    <w:p>
      <w:pPr>
        <w:spacing w:line="360" w:lineRule="auto" w:before="0" w:after="0"/>
        <w:ind w:left="2268" w:firstLine="0"/>
        <w:jc w:val="both"/>
      </w:pPr>
      <w:r>
        <w:rPr>
          <w:rFonts w:ascii="Arial" w:hAnsi="Arial" w:cs="Arial"/>
          <w:b w:val="0"/>
          <w:i/>
          <w:sz w:val="26"/>
        </w:rPr>
        <w:t>IV - veículos de via terrestre;</w:t>
      </w:r>
    </w:p>
    <w:p>
      <w:pPr>
        <w:spacing w:line="360" w:lineRule="auto" w:before="0" w:after="0"/>
        <w:ind w:left="2268" w:firstLine="0"/>
        <w:jc w:val="both"/>
      </w:pPr>
      <w:r>
        <w:rPr>
          <w:rFonts w:ascii="Arial" w:hAnsi="Arial" w:cs="Arial"/>
          <w:b w:val="0"/>
          <w:i/>
          <w:sz w:val="26"/>
        </w:rPr>
        <w:t>(...)</w:t>
      </w:r>
    </w:p>
    <w:p>
      <w:pPr>
        <w:spacing w:line="360" w:lineRule="auto" w:before="0" w:after="0"/>
        <w:ind w:left="2268" w:firstLine="0"/>
        <w:jc w:val="both"/>
      </w:pPr>
      <w:r>
        <w:rPr>
          <w:rFonts w:ascii="Arial" w:hAnsi="Arial" w:cs="Arial"/>
          <w:b w:val="0"/>
          <w:i/>
          <w:sz w:val="26"/>
        </w:rPr>
        <w:t xml:space="preserve">§ 1º </w:t>
      </w:r>
      <w:r>
        <w:rPr>
          <w:rFonts w:ascii="Arial" w:hAnsi="Arial" w:cs="Arial"/>
          <w:b w:val="0"/>
          <w:i/>
          <w:sz w:val="26"/>
          <w:u w:val="single"/>
        </w:rPr>
        <w:t>É prioritária a penhora em dinheiro, podendo o juiz, nas demais hipóteses, alterar a ordem prevista no caput de acordo com as circunstâncias do caso concreto.</w:t>
      </w:r>
    </w:p>
    <w:p>
      <w:pPr>
        <w:spacing w:line="360" w:lineRule="auto" w:before="0" w:after="0"/>
        <w:ind w:left="2268" w:firstLine="0"/>
        <w:jc w:val="both"/>
      </w:pPr>
      <w:r>
        <w:rPr>
          <w:rFonts w:ascii="Arial" w:hAnsi="Arial" w:cs="Arial"/>
          <w:b w:val="0"/>
          <w:i/>
          <w:sz w:val="26"/>
        </w:rPr>
        <w:t>Art. 805. (...)</w:t>
      </w:r>
    </w:p>
    <w:p>
      <w:pPr>
        <w:spacing w:line="360" w:lineRule="auto" w:before="0" w:after="0"/>
        <w:ind w:left="2268" w:firstLine="0"/>
        <w:jc w:val="both"/>
      </w:pPr>
      <w:r>
        <w:rPr>
          <w:rFonts w:ascii="Arial" w:hAnsi="Arial" w:cs="Arial"/>
          <w:b w:val="0"/>
          <w:i/>
          <w:sz w:val="26"/>
        </w:rPr>
        <w:t xml:space="preserve">Parágrafo único. Ao executado que alegar ser a medida executiva mais gravosa </w:t>
      </w:r>
      <w:r>
        <w:rPr>
          <w:rFonts w:ascii="Arial" w:hAnsi="Arial" w:cs="Arial"/>
          <w:b w:val="0"/>
          <w:i/>
          <w:sz w:val="26"/>
          <w:u w:val="single"/>
        </w:rPr>
        <w:t>incumbe indicar outros meios mais eficazes e menos onerosos, sob pena de manutenção dos atos executivos já determinados.</w:t>
      </w:r>
      <w:r>
        <w:rPr>
          <w:rFonts w:ascii="Arial" w:hAnsi="Arial" w:cs="Arial"/>
          <w:b w:val="0"/>
          <w:i/>
          <w:sz w:val="26"/>
        </w:rPr>
        <w:t>” – Grifei.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commentRangeStart w:id="10"/>
      <w:r>
        <w:rPr>
          <w:rFonts w:ascii="Arial" w:hAnsi="Arial" w:cs="Arial"/>
          <w:b w:val="0"/>
          <w:i w:val="0"/>
          <w:sz w:val="28"/>
        </w:rPr>
        <w:t>No caso, o único meio indicado pelos agravantes é a nova pesquisa pelo SISBAJUD, sem garantia de êxito, e o agravo não informa a atividade profissional exercida nem aponta documento que comprove ser o veículo indispensável ao seu exercício (ID 86833446).</w:t>
      </w:r>
      <w:commentRangeEnd w:id="10"/>
      <w:r>
        <w:rPr>
          <w:rStyle w:val="CommentReference"/>
        </w:rPr>
        <w:commentReference w:id="10"/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Desse modo, ausente elemento novo capaz de infirmar os fundamentos já expostos, </w:t>
      </w:r>
      <w:r>
        <w:rPr>
          <w:rFonts w:ascii="Arial" w:hAnsi="Arial" w:cs="Arial"/>
          <w:b w:val="0"/>
          <w:i w:val="0"/>
          <w:sz w:val="28"/>
          <w:highlight w:val="yellow"/>
        </w:rPr>
        <w:t>deve ser mantida a r. decisão agravada que indeferiu o pedido de chamamento do feito à ordem e manteve a penhora do veículo VW Amarok, placa OVV5068 (ID 281642983, origem).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jc w:val="center"/>
      </w:pPr>
      <w:r>
        <w:rPr>
          <w:rFonts w:ascii="Arial" w:hAnsi="Arial" w:cs="Arial"/>
          <w:b/>
          <w:i w:val="0"/>
          <w:sz w:val="28"/>
        </w:rPr>
        <w:t>DISPOSITIVO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Ante o exposto, </w:t>
      </w:r>
      <w:r>
        <w:rPr>
          <w:rFonts w:ascii="Arial" w:hAnsi="Arial" w:cs="Arial"/>
          <w:b/>
          <w:i w:val="0"/>
          <w:sz w:val="28"/>
        </w:rPr>
        <w:t>nego provimento</w:t>
      </w:r>
      <w:r>
        <w:rPr>
          <w:rFonts w:ascii="Arial" w:hAnsi="Arial" w:cs="Arial"/>
          <w:b w:val="0"/>
          <w:i w:val="0"/>
          <w:sz w:val="28"/>
        </w:rPr>
        <w:t xml:space="preserve"> ao agravo de instrumento dos executados, RICARDO AGUIAR MARTINS e VERÔNICA AGUIAR MARTINS COUTINHO.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É como voto.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jc w:val="center"/>
      </w:pPr>
      <w:r>
        <w:rPr>
          <w:rFonts w:ascii="Arial" w:hAnsi="Arial" w:cs="Arial"/>
          <w:b/>
          <w:i w:val="0"/>
          <w:color w:val="00B050"/>
          <w:sz w:val="27"/>
        </w:rPr>
        <w:t>DECISÃO AGRAVADA (ID 281642983, origem)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Poder Judiciário da União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TRIBUNAL DE JUSTIÇA DO DISTRITO FEDERAL E DOS TERRITÓRIOS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2ª Vara de Execução de Títulos Extrajudiciais e Conflitos Arbitrais de Brasília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Classe judicial: EXECUÇÃO DE TÍTULO EXTRAJUDICIAL (12154)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EXEQUENTE: NAVARRA S.A.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EXECUTADO: RICARDO AGUIAR MARTINS, VERONICA AGUIAR MARTINS COUTINHO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DECISÃO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Trata-se de pedido de chamamento do feito à ordem formulado pelos executados no ID 273823469, no qual sustentam, em síntese, a necessidade de prévia tentativa de bloqueio de ativos financeiros via SISBAJUD antes do prosseguimento da penhora do veículo VW Amarok, placa OVV5068, objeto da decisão de ID 269485437.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 exequente manifestou-se no ID 276782286, requerendo a manutenção da constrição, sob o argumento de que já foram realizadas diligências patrimoniais infrutíferas, inclusive pesquisa SISBAJUD, razão pela qual a penhora do veículo constitui medida regular e adequada ao prosseguimento da execução.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O pedido dos executados não merece acolhimento.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No caso, a decisão de ID 269485437 deferiu a penhora do veículo VW Amarok, placa OVV5068, com restrição de transferência via RENAJUD e expedição de mandado de penhora e avaliação. A medida foi adotada no contexto de execução em curso há tempo considerável, após a realização de diligências patrimoniais anteriores sem êxito suficiente para satisfação do crédito.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Embora o dinheiro ocupe posição preferencial na ordem legal de penhora prevista no art. 835 do CPC, essa ordem não impede a constrição de outros bens quando inexistentes ativos financeiros localizados ou quando as buscas já realizadas não tenham sido efetivas. A execução deve observar a menor onerosidade possível ao devedor, nos termos do art. 805 do CPC, mas também deve se desenvolver no interesse do credor, conforme art. 797 do CPC, não se admitindo que o princípio seja utilizado para inviabilizar a efetividade da tutela executiva.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Além disso, os executados não indicaram bem ou meio executivo menos gravoso e igualmente eficaz para garantir o juízo ou satisfazer o crédito. A simples alegação de necessidade de nova tentativa de bloqueio financeiro, desacompanhada de elementos concretos que indiquem alteração patrimonial relevante, não justifica a suspensão da penhora já deferida.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Assim, não há nulidade ou irregularidade processual a ser corrigida.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Diante do exposto, INDEFIRO os pedidos formulados no ID 273823469 e mantenho a decisão de ID 269485437.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Prossiga-se com a penhora e avaliação do veículo VW Amarok, placa OVV5068, mantendo-se a restrição RENAJUD já lançada.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Caso o mandado anteriormente expedido ainda não tenha sido cumprido, cumpra-se. Se necessário, expeça-se novo mandado de penhora e avaliação.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Após a juntada do auto, intime-se a parte executada, na forma do art. 841 do CPC, e, em seguida, dê-se vista à exequente para requerer o que entender cabível quanto ao prosseguimento dos atos expropriatórios.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Intimem-se.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DOCUMENTO DATADO E ASSINADO ELETRONICAMENTE CONFORME CERTIFICAÇÃO DIGITAL</w:t>
      </w:r>
    </w:p>
    <w:p>
      <w:pPr>
        <w:spacing w:line="360" w:lineRule="auto" w:before="0" w:after="0"/>
        <w:ind w:firstLine="2268"/>
        <w:jc w:val="both"/>
      </w:pPr>
      <w:r>
        <w:rPr>
          <w:sz w:val="28"/>
        </w:rPr>
      </w:r>
    </w:p>
    <w:p>
      <w:pPr>
        <w:spacing w:line="360" w:lineRule="auto" w:before="0" w:after="0"/>
        <w:jc w:val="center"/>
      </w:pPr>
      <w:commentRangeStart w:id="11"/>
      <w:r>
        <w:rPr>
          <w:rFonts w:ascii="Arial" w:hAnsi="Arial" w:cs="Arial"/>
          <w:b/>
          <w:i w:val="0"/>
          <w:color w:val="800080"/>
          <w:sz w:val="27"/>
        </w:rPr>
        <w:t>PRECEDENTES CONTRÁRIOS AO VOTO</w:t>
      </w:r>
      <w:commentRangeEnd w:id="11"/>
      <w:r>
        <w:rPr>
          <w:rStyle w:val="CommentReference"/>
        </w:rPr>
        <w:commentReference w:id="11"/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800080"/>
          <w:sz w:val="27"/>
        </w:rPr>
        <w:t>PROCESSUAL CIVIL. AGRAVO EM RECURSO ESPECIAL. EXECUÇÃO DE TÍTULO EXTRAJUDICIAL. SISBAJUD. RENOVAÇÃO DE PESQUISA. DECURSO DE LAPSO TEMPORAL. PROVIMENTO. AGRAVO CONHECIDO PARA DAR PROVIMENTO AO RECURSO ESPECIAL. 1. Afastado o óbice da Súmula 7/STJ, pois os marcos temporais constam expressamente do acórdão recorrido, sem necessidade de revolvimento de fatos e provas. 2. O decurso de quase cinco anos entre a última pesquisa e o novo requerimento constitui fundamento autônomo para autorizar a renovação da busca via SISBAJUD, dispensada a prova de alteração patrimonial do executado. 3. Agravo conhecido para dar provimento ao recurso especial.</w:t>
      </w:r>
    </w:p>
    <w:p>
      <w:pPr>
        <w:spacing w:line="360" w:lineRule="auto" w:before="0" w:after="0"/>
        <w:jc w:val="both"/>
      </w:pPr>
      <w:r>
        <w:rPr>
          <w:rFonts w:ascii="Arial" w:hAnsi="Arial" w:cs="Arial"/>
          <w:b w:val="0"/>
          <w:i w:val="0"/>
          <w:color w:val="800080"/>
          <w:sz w:val="27"/>
        </w:rPr>
        <w:t>(AREsp n. 3.121.146 (2025/0472180-2), relator Ministro Moura Ribeiro, Terceira Turma, julgado em 1/6/2026, DJEN de 9/6/2026.)</w:t>
      </w:r>
    </w:p>
    <w:sectPr w:rsidR="00551C19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os Dwayne Saraiva Costa - GDSXSR" w:date="2026-10-28T16:19:00Z" w:initials="MD">
    <w:p w14:paraId="3ECCE0DE" w14:textId="77777777" w:rsidR="008419F7" w:rsidRDefault="008419F7" w:rsidP="008419F7">
      <w:pPr>
        <w:pStyle w:val="Textodecomentrio"/>
      </w:pPr>
      <w:r>
        <w:rPr>
          <w:rStyle w:val="Refdecomentrio"/>
        </w:rPr>
        <w:annotationRef/>
      </w:r>
      <w:r>
        <w:t>Conclusão: 15/10/26</w:t>
      </w:r>
    </w:p>
    <w:p w14:paraId="54DB73B2" w14:textId="77777777" w:rsidR="008419F7" w:rsidRDefault="008419F7" w:rsidP="008419F7">
      <w:pPr>
        <w:pStyle w:val="Textodecomentrio"/>
      </w:pPr>
      <w:r>
        <w:t>Entrega: 28/10/26</w:t>
      </w:r>
    </w:p>
    <w:p w14:paraId="01F265B6" w14:textId="77777777" w:rsidR="008419F7" w:rsidRDefault="008419F7" w:rsidP="008419F7">
      <w:pPr>
        <w:pStyle w:val="Textodecomentrio"/>
      </w:pPr>
      <w:r>
        <w:t>Certeza: 10</w:t>
      </w:r>
    </w:p>
    <w:p w14:paraId="4B3495C3" w14:textId="77777777" w:rsidR="008419F7" w:rsidRDefault="008419F7" w:rsidP="008419F7">
      <w:pPr>
        <w:pStyle w:val="Textodecomentrio"/>
      </w:pPr>
    </w:p>
    <w:p w14:paraId="3B623ED9" w14:textId="77777777" w:rsidR="008419F7" w:rsidRDefault="008419F7" w:rsidP="008419F7">
      <w:pPr>
        <w:pStyle w:val="Textodecomentrio"/>
      </w:pPr>
      <w:r>
        <w:t>Liminar do tiago</w:t>
      </w:r>
    </w:p>
    <w:p w14:paraId="4311CF9E" w14:textId="77777777" w:rsidR="008419F7" w:rsidRDefault="008419F7" w:rsidP="008419F7">
      <w:pPr>
        <w:pStyle w:val="Textodecomentrio"/>
      </w:pPr>
    </w:p>
    <w:p w14:paraId="1D56B080" w14:textId="77777777" w:rsidR="008419F7" w:rsidRDefault="008419F7" w:rsidP="008419F7">
      <w:pPr>
        <w:pStyle w:val="Textodecomentrio"/>
      </w:pPr>
      <w:r>
        <w:t xml:space="preserve">Revisado </w:t>
      </w:r>
    </w:p>
    <w:p w14:paraId="21BDD8A6" w14:textId="77777777" w:rsidR="008419F7" w:rsidRDefault="008419F7" w:rsidP="008419F7">
      <w:pPr>
        <w:pStyle w:val="Textodecomentrio"/>
      </w:pPr>
    </w:p>
    <w:p w14:paraId="3F1AC1A8" w14:textId="77777777" w:rsidR="008419F7" w:rsidRDefault="008419F7" w:rsidP="008419F7">
      <w:pPr>
        <w:pStyle w:val="Textodecomentrio"/>
      </w:pPr>
      <w:r>
        <w:t>Voto feito no Claude Code.</w:t>
      </w:r>
    </w:p>
  </w:comment>
  <w:comment w:id="2" w:author="Marcos Dwayne Saraiva Costa - GDSXSR" w:date="2026-10-28T16:15:00Z" w:initials="MD">
    <w:p w14:paraId="79A33951" w14:textId="77777777" w:rsidR="008419F7" w:rsidRDefault="008419F7" w:rsidP="008419F7">
      <w:pPr>
        <w:pStyle w:val="Textodecomentrio"/>
      </w:pPr>
      <w:r>
        <w:rPr>
          <w:rStyle w:val="Refdecomentrio"/>
        </w:rPr>
        <w:annotationRef/>
      </w:r>
      <w:r>
        <w:rPr>
          <w:color w:val="424F54"/>
          <w:highlight w:val="white"/>
        </w:rPr>
        <w:t>I - A necessidade de esgotamento das diligências como requisito para a penhora de faturamento foi afastada após a reforma do CPC/1973 pela Lei 11.382/2006;</w:t>
      </w:r>
    </w:p>
    <w:p w14:paraId="05DAC021" w14:textId="77777777" w:rsidR="008419F7" w:rsidRDefault="008419F7" w:rsidP="008419F7">
      <w:pPr>
        <w:pStyle w:val="Textodecomentrio"/>
      </w:pPr>
      <w:r>
        <w:rPr>
          <w:color w:val="424F54"/>
          <w:highlight w:val="white"/>
        </w:rPr>
        <w:t>II - No regime do CPC/2015, a penhora de faturamento, listada em décimo lugar na ordem preferencial de bens passíveis de constrição judicial, poderá ser deferida após a demonstração da inexistência dos bens classificados em posição superior, ou, alternativamente, se houver constatação, pelo juiz, de que tais bens são de difícil alienação; finalmente, a constrição judicial sobre o faturamento empresarial poderá ocorrer sem a observância da ordem de classificação estabelecida em lei, se a autoridade judicial, conforme as circunstâncias do caso concreto, assim o entender (art. 835, § 1º, do CPC/2015), justificando-a por decisão devidamente fundamentada;</w:t>
      </w:r>
    </w:p>
    <w:p w14:paraId="34097473" w14:textId="77777777" w:rsidR="008419F7" w:rsidRDefault="008419F7" w:rsidP="008419F7">
      <w:pPr>
        <w:pStyle w:val="Textodecomentrio"/>
      </w:pPr>
      <w:r>
        <w:rPr>
          <w:color w:val="424F54"/>
          <w:highlight w:val="white"/>
        </w:rPr>
        <w:t>III - A penhora de faturamento não pode ser equiparada à constrição sobre dinheiro;</w:t>
      </w:r>
    </w:p>
    <w:p w14:paraId="1095CC61" w14:textId="77777777" w:rsidR="008419F7" w:rsidRDefault="008419F7" w:rsidP="008419F7">
      <w:pPr>
        <w:pStyle w:val="Textodecomentrio"/>
      </w:pPr>
      <w:r>
        <w:rPr>
          <w:color w:val="424F54"/>
          <w:highlight w:val="white"/>
        </w:rPr>
        <w:t>IV - Na aplicação do princípio da menor onerosidade (art. 805, parágrafo único, do CPC/2015; art. 620, do CPC/1973): a) autoridade judicial deverá estabelecer percentual que não inviabilize o prosseguimento das atividades empresariais; e b) a decisão deve se reportar aos elementos probatórios concretos trazidos pelo devedor, não sendo lícito à autoridade judicial empregar o referido princípio em abstrato ou com base em simples alegações genéricas do executado.</w:t>
      </w:r>
    </w:p>
  </w:comment>
  <w:comment w:id="1" w:author="Minuta GDSXSR" w:date="2026-10-28T18:03:00Z" w:initials="MG">
    <w:p w14:paraId="4B0EB699" w14:textId="77777777" w:rsidR="00551C19" w:rsidRDefault="00000000">
      <w:r>
        <w:annotationRef/>
      </w:r>
      <w:r>
        <w:t>MINUTA GDSXSR — Texto literal (C-63): CPC, art. 866: “Art. 866. Se o executado não tiver outros bens penhoráveis ou se, tendo-os, esses forem de difícil alienação ou insuficientes para saldar o crédito executado, o juiz poderá ordenar a penhora de percentual de faturamento de empresa. § 1º O juiz fixará percentual que propicie a satisfação do crédito exequendo em tempo razoável, mas que não torne inviável o exercício da atividade empresarial.” (fonte: iajus, ler_documento, Lei 13.105/2015, texto vigente devolvido em 28/10/2026). Pendência (C-64): a consulta de alterações do art. 866 no iajus recusou a entrada; não conferi o histórico de alterações no Planalto.</w:t>
      </w:r>
    </w:p>
  </w:comment>
  <w:comment w:id="3" w:author="Minuta GDSXSR" w:date="2026-10-28T18:03:00Z" w:initials="MG">
    <w:p w14:paraId="0E7FE99F" w14:textId="77777777" w:rsidR="00551C19" w:rsidRDefault="00000000">
      <w:r>
        <w:annotationRef/>
      </w:r>
      <w:r>
        <w:t>MINUTA GDSXSR — Resumo em vermelho (C-39) feito a partir das razões do agravo (ID 89603134). Valores conferidos nos balanços juntados (ID 89603139 e 89603140): receita operacional bruta R$ 912.590,00; prejuízo do exercício R$ 72.236,65; passivo circulante R$ 1.040.641,80; patrimônio líquido negativo R$ 1.078.161,16.</w:t>
      </w:r>
    </w:p>
  </w:comment>
  <w:comment w:id="4" w:author="Minuta GDSXSR" w:date="2026-10-28T18:03:00Z" w:initials="MG">
    <w:p w14:paraId="5C322AAA" w14:textId="77777777" w:rsidR="00551C19" w:rsidRDefault="00000000">
      <w:r>
        <w:annotationRef/>
      </w:r>
      <w:r>
        <w:t>MINUTA GDSXSR — Pendência (C-24, C-52): peças do processo de origem 0706636-58.2026.8.07.0001 não recebidas. Faltam a proposta de honorários e o plano de constrição do administrador (ID 286206473 e 286206474), a decisão que deferiu a penhora do faturamento (ID 282441098) e o andamento posterior a 24/08/2026. O plano é descrito aqui só pelo que a liminar registrou (ID 89728784). Se o Juízo de origem já homologou o plano, fixou percentual ou mandou reter valores, o voto precisa ser refeito.</w:t>
      </w:r>
    </w:p>
  </w:comment>
  <w:comment w:id="5" w:author="Minuta GDSXSR" w:date="2026-10-28T18:03:00Z" w:initials="MG">
    <w:p w14:paraId="0B9B948D" w14:textId="77777777" w:rsidR="00551C19" w:rsidRDefault="00000000">
      <w:r>
        <w:annotationRef/>
      </w:r>
      <w:r>
        <w:t>MINUTA GDSXSR — Transcrevi a fundamentação inteira da liminar, com a decisão agravada em bloco próprio e o ID de origem (C-17 v42). Normalizei só espaços e quebras de colagem do PDF; o texto não foi alterado (C-66).</w:t>
      </w:r>
    </w:p>
  </w:comment>
  <w:comment w:id="6" w:author="Minuta GDSXSR" w:date="2026-10-28T18:03:00Z" w:initials="MG">
    <w:p w14:paraId="6A9EA210" w14:textId="77777777" w:rsidR="00551C19" w:rsidRDefault="00000000">
      <w:r>
        <w:annotationRef/>
      </w:r>
      <w:r>
        <w:t>MINUTA GDSXSR — Texto literal (C-61, C-63): Tema Repetitivo 769/STJ, item IV, conforme o registro do iajus (tese vigente), transcrito no corpo. Pendência (C-52, C-72): o iajus confirmou a tese e a vigência, mas não devolveu órgão julgador, leading case nem DJe. Usei Primeira Seção e REsps n. 1.835.864/SP, 1.666.542/SP e 1.835.865/SP, Rel. Min. Herman Benjamin, j. 18/04/2024, como consta da liminar e de fonte secundária (Trilhante). A página do STJ não abriu na busca na web. O DJe fica a completar no SCON/STJ (a fonte secundária indica 09/05/2024, não conferido).</w:t>
      </w:r>
    </w:p>
  </w:comment>
  <w:comment w:id="7" w:author="Minuta GDSXSR" w:date="2026-10-28T18:03:00Z" w:initials="MG">
    <w:p w14:paraId="62BC2C88" w14:textId="77777777" w:rsidR="00551C19" w:rsidRDefault="00000000">
      <w:r>
        <w:annotationRef/>
      </w:r>
      <w:r>
        <w:t>MINUTA GDSXSR — Não fixei honorários recursais: o perfil AGI (3) os exclui em regra, e a exceção da desconsideração da personalidade jurídica não é o caso. As contrarrazões pedem custas e honorários sucumbenciais das agravantes (ID 90025093); o pedido não consta do dispositivo (C-3F).</w:t>
      </w:r>
    </w:p>
  </w:comment>
  <w:comment w:id="8" w:author="Minuta GDSXSR" w:initials="MG" w:date="2026-10-29T18:31:47Z">
    <w:p>
      <w:pPr>
        <w:pStyle w:val="CommentText"/>
      </w:pPr>
      <w:r>
        <w:rPr>
          <w:rStyle w:val="CommentReference"/>
        </w:rPr>
        <w:annotationRef/>
      </w:r>
      <w:r>
        <w:t>MINUTA GDSXSR — Conferido na certidão de ID 88052692: decorreu em 13/08/2026 o prazo da agravada, Navarra S.A., para responder à decisão de ID 86922432.</w:t>
      </w:r>
    </w:p>
  </w:comment>
  <w:comment w:id="9" w:author="Minuta GDSXSR" w:initials="MG" w:date="2026-10-29T18:31:47Z">
    <w:p>
      <w:pPr>
        <w:pStyle w:val="CommentText"/>
      </w:pPr>
      <w:r>
        <w:rPr>
          <w:rStyle w:val="CommentReference"/>
        </w:rPr>
        <w:annotationRef/>
      </w:r>
      <w:r>
        <w:t>MINUTA GDSXSR — PENDÊNCIA (C-52): as datas de 26/11/2025 e 23/03/2026 vêm do próprio agravo (ID 86833446, págs. 5 e 7); a decisão que indeferiu a reiteração não veio nos autos recebidos e o agravo cita a última pesquisa SISBAJUD só por "ID 249067" (incompleto). Conferir no processo de origem (0720826-02.2021.8.07.0001) a data da última pesquisa SISBAJUD e a decisão de 26/11/2025. Se a última pesquisa tiver mais de um ano na data da penhora, a premissa deste parágrafo e o item 6 da ementa mudam (linha da Turma: renovação após cerca de um ano, perfil AGI 5.1).</w:t>
      </w:r>
    </w:p>
  </w:comment>
  <w:comment w:id="10" w:author="Minuta GDSXSR" w:initials="MG" w:date="2026-10-29T18:31:47Z">
    <w:p>
      <w:pPr>
        <w:pStyle w:val="CommentText"/>
      </w:pPr>
      <w:r>
        <w:rPr>
          <w:rStyle w:val="CommentReference"/>
        </w:rPr>
        <w:annotationRef/>
      </w:r>
      <w:r>
        <w:t>MINUTA GDSXSR — PENDÊNCIA (C-52): afirmação limitada ao que consta do agravo (ID 86833446), que não traz anexos além da decisão agravada. Conferir na petição de chamamento do feito à ordem (ID 273823469, origem) se os executados indicaram a atividade profissional ou juntaram documento sobre o uso do veículo; se juntaram, o parágrafo é ajustado.</w:t>
      </w:r>
    </w:p>
  </w:comment>
  <w:comment w:id="11" w:author="Minuta GDSXSR" w:initials="MG" w:date="2026-10-29T18:31:47Z">
    <w:p>
      <w:pPr>
        <w:pStyle w:val="CommentText"/>
      </w:pPr>
      <w:r>
        <w:rPr>
          <w:rStyle w:val="CommentReference"/>
        </w:rPr>
        <w:annotationRef/>
      </w:r>
      <w:r>
        <w:t>MINUTA GDSXSR — Jurisprudência invocada pelo agravo em sentido favorável à renovação da pesquisa SISBAJUD, colocada ao final em violeta (C-46, C-53), sem parágrafo de distinção no voto e fora de "Jurisprudência relevante citada". Ementa conferida no iajus (STJ, AREsp 3121146, Terceira Turma, Min. Moura Ribeiro, julgado em 01/06/2026). PENDÊNCIA (C-52): o iajus devolveu só a ementa (inteiro teor indisponível) e não informa a data de publicação nem a UF de origem; o DJEN de 09/06/2026 e o "DF" constam apenas da transcrição feita no agravo, e o portal do STJ (SCON) recusou o acesso automático. Conferir no SCON antes da sessão. O acórdão trata de quase cinco anos entre a última pesquisa e o novo requerimento, intervalo que o voto não confirma neste caso (ver pendência da data da última pesquisa).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1AC1A8" w15:done="0"/>
  <w15:commentEx w15:paraId="1095CC61" w15:done="0"/>
  <w15:commentEx w15:paraId="4B0EB699" w15:done="0"/>
  <w15:commentEx w15:paraId="0E7FE99F" w15:done="0"/>
  <w15:commentEx w15:paraId="5C322AAA" w15:done="0"/>
  <w15:commentEx w15:paraId="0B9B948D" w15:done="0"/>
  <w15:commentEx w15:paraId="6A9EA210" w15:done="0"/>
  <w15:commentEx w15:paraId="62BC2C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rd="http://schemas.microsoft.com/office/reactions/2026/reactionDetail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cei rd w16du wp14">
  <w16cex:commentExtensible w16cex:durableId="5E7810EC" w16cex:dateUtc="2026-10-28T19:19:00Z"/>
  <w16cex:commentExtensible w16cex:durableId="53D9BAC5" w16cex:dateUtc="2026-10-28T19:15:00Z"/>
  <w16cex:commentExtensible w16cex:durableId="0B9B948D">
    <w16cex:extLst>
      <w16:ext w16:uri="{CE6994B0-6A32-4C9F-8C6B-6E91EDA988CE}">
        <cr:reactions xmlns:cr="http://schemas.microsoft.com/office/comments/2020/reactions">
          <cr:reaction reactionType="1">
            <cr:reactionInfo dateUtc="2026-10-28T19:16:53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6A9EA210">
    <w16cex:extLst>
      <w16:ext w16:uri="{CE6994B0-6A32-4C9F-8C6B-6E91EDA988CE}">
        <cr:reactions xmlns:cr="http://schemas.microsoft.com/office/comments/2020/reactions">
          <cr:reaction reactionType="1">
            <cr:reactionInfo dateUtc="2026-10-28T19:17:11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  <w16cex:commentExtensible w16cex:durableId="62BC2C88">
    <w16cex:extLst>
      <w16:ext w16:uri="{CE6994B0-6A32-4C9F-8C6B-6E91EDA988CE}">
        <cr:reactions xmlns:cr="http://schemas.microsoft.com/office/comments/2020/reactions">
          <cr:reaction reactionType="1">
            <cr:reactionInfo dateUtc="2026-10-28T19:18:28Z">
              <cr:user userId="S::t321760@tjdft.jus.br::71ef89ef-9eb5-4780-8a4d-3f3a792db9c6" userProvider="AD" userName="Marcos Dwayne Saraiva Costa - GDSXSR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1AC1A8" w16cid:durableId="5E7810EC"/>
  <w16cid:commentId w16cid:paraId="1095CC61" w16cid:durableId="53D9BAC5"/>
  <w16cid:commentId w16cid:paraId="4B0EB699" w16cid:durableId="4B0EB699"/>
  <w16cid:commentId w16cid:paraId="0E7FE99F" w16cid:durableId="0E7FE99F"/>
  <w16cid:commentId w16cid:paraId="5C322AAA" w16cid:durableId="5C322AAA"/>
  <w16cid:commentId w16cid:paraId="0B9B948D" w16cid:durableId="0B9B948D"/>
  <w16cid:commentId w16cid:paraId="6A9EA210" w16cid:durableId="6A9EA210"/>
  <w16cid:commentId w16cid:paraId="62BC2C88" w16cid:durableId="62BC2C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FCB8F" w14:textId="77777777" w:rsidR="001C4650" w:rsidRDefault="001C4650" w:rsidP="003A42DE">
      <w:pPr>
        <w:spacing w:after="0" w:line="240" w:lineRule="auto"/>
      </w:pPr>
      <w:r>
        <w:separator/>
      </w:r>
    </w:p>
  </w:endnote>
  <w:endnote w:type="continuationSeparator" w:id="0">
    <w:p w14:paraId="3CA75AF8" w14:textId="77777777" w:rsidR="001C4650" w:rsidRDefault="001C4650" w:rsidP="003A42DE">
      <w:pPr>
        <w:spacing w:after="0" w:line="240" w:lineRule="auto"/>
      </w:pPr>
      <w:r>
        <w:continuationSeparator/>
      </w:r>
    </w:p>
  </w:endnote>
  <w:endnote w:type="continuationNotice" w:id="1">
    <w:p w14:paraId="3C82B98A" w14:textId="77777777" w:rsidR="001C4650" w:rsidRDefault="001C46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8A1B8" w14:textId="77777777" w:rsidR="001C4650" w:rsidRDefault="001C4650" w:rsidP="003A42DE">
      <w:pPr>
        <w:spacing w:after="0" w:line="240" w:lineRule="auto"/>
      </w:pPr>
      <w:r>
        <w:separator/>
      </w:r>
    </w:p>
  </w:footnote>
  <w:footnote w:type="continuationSeparator" w:id="0">
    <w:p w14:paraId="221CAF1A" w14:textId="77777777" w:rsidR="001C4650" w:rsidRDefault="001C4650" w:rsidP="003A42DE">
      <w:pPr>
        <w:spacing w:after="0" w:line="240" w:lineRule="auto"/>
      </w:pPr>
      <w:r>
        <w:continuationSeparator/>
      </w:r>
    </w:p>
  </w:footnote>
  <w:footnote w:type="continuationNotice" w:id="1">
    <w:p w14:paraId="6E9F4179" w14:textId="77777777" w:rsidR="001C4650" w:rsidRDefault="001C465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627319827">
    <w:abstractNumId w:val="1"/>
  </w:num>
  <w:num w:numId="2" w16cid:durableId="1397048173">
    <w:abstractNumId w:val="0"/>
  </w:num>
  <w:num w:numId="3" w16cid:durableId="191832456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5FE1"/>
    <w:rsid w:val="00012123"/>
    <w:rsid w:val="0002189B"/>
    <w:rsid w:val="00022D84"/>
    <w:rsid w:val="0002738F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A7009"/>
    <w:rsid w:val="000B0FC6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055EE"/>
    <w:rsid w:val="0011527A"/>
    <w:rsid w:val="00115458"/>
    <w:rsid w:val="00115569"/>
    <w:rsid w:val="00122133"/>
    <w:rsid w:val="00125329"/>
    <w:rsid w:val="00126B66"/>
    <w:rsid w:val="00131A63"/>
    <w:rsid w:val="00134765"/>
    <w:rsid w:val="00137A7E"/>
    <w:rsid w:val="00143475"/>
    <w:rsid w:val="001514DA"/>
    <w:rsid w:val="00151611"/>
    <w:rsid w:val="00161CD2"/>
    <w:rsid w:val="001653BF"/>
    <w:rsid w:val="00173733"/>
    <w:rsid w:val="001801E9"/>
    <w:rsid w:val="00182C91"/>
    <w:rsid w:val="00183178"/>
    <w:rsid w:val="00183B77"/>
    <w:rsid w:val="00183D34"/>
    <w:rsid w:val="00187D84"/>
    <w:rsid w:val="001A09B8"/>
    <w:rsid w:val="001B5F56"/>
    <w:rsid w:val="001C3A23"/>
    <w:rsid w:val="001C4650"/>
    <w:rsid w:val="001C466B"/>
    <w:rsid w:val="001D2162"/>
    <w:rsid w:val="001D300D"/>
    <w:rsid w:val="001D385D"/>
    <w:rsid w:val="001E4974"/>
    <w:rsid w:val="001E7903"/>
    <w:rsid w:val="001F7AC2"/>
    <w:rsid w:val="00200670"/>
    <w:rsid w:val="00203242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242EE"/>
    <w:rsid w:val="00231427"/>
    <w:rsid w:val="00232EEB"/>
    <w:rsid w:val="00252006"/>
    <w:rsid w:val="00253393"/>
    <w:rsid w:val="00254E51"/>
    <w:rsid w:val="0026070B"/>
    <w:rsid w:val="00264107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6CCD"/>
    <w:rsid w:val="002C2464"/>
    <w:rsid w:val="002C42D2"/>
    <w:rsid w:val="002C6CFC"/>
    <w:rsid w:val="002D0BA1"/>
    <w:rsid w:val="002D127E"/>
    <w:rsid w:val="002D2D56"/>
    <w:rsid w:val="002D3FF3"/>
    <w:rsid w:val="002F13AB"/>
    <w:rsid w:val="00303FAE"/>
    <w:rsid w:val="0031063D"/>
    <w:rsid w:val="00312291"/>
    <w:rsid w:val="00312DDE"/>
    <w:rsid w:val="00314FAC"/>
    <w:rsid w:val="00316B1F"/>
    <w:rsid w:val="00321068"/>
    <w:rsid w:val="00323779"/>
    <w:rsid w:val="00323D27"/>
    <w:rsid w:val="0033305F"/>
    <w:rsid w:val="00337362"/>
    <w:rsid w:val="0034511C"/>
    <w:rsid w:val="00347818"/>
    <w:rsid w:val="00351653"/>
    <w:rsid w:val="00351BF2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410E"/>
    <w:rsid w:val="00396413"/>
    <w:rsid w:val="003A42DE"/>
    <w:rsid w:val="003A4E55"/>
    <w:rsid w:val="003B3398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3312"/>
    <w:rsid w:val="004B14BB"/>
    <w:rsid w:val="004B2A9C"/>
    <w:rsid w:val="004C0465"/>
    <w:rsid w:val="004C33F1"/>
    <w:rsid w:val="004C591E"/>
    <w:rsid w:val="004C7418"/>
    <w:rsid w:val="004D3E2F"/>
    <w:rsid w:val="004E27C1"/>
    <w:rsid w:val="004E61E1"/>
    <w:rsid w:val="004E6253"/>
    <w:rsid w:val="004F262B"/>
    <w:rsid w:val="004F58CC"/>
    <w:rsid w:val="00502781"/>
    <w:rsid w:val="00506A7D"/>
    <w:rsid w:val="00506D76"/>
    <w:rsid w:val="00517F10"/>
    <w:rsid w:val="00520126"/>
    <w:rsid w:val="00530C7C"/>
    <w:rsid w:val="00534782"/>
    <w:rsid w:val="00537AE0"/>
    <w:rsid w:val="00542FD5"/>
    <w:rsid w:val="00544796"/>
    <w:rsid w:val="0054511D"/>
    <w:rsid w:val="00550DE0"/>
    <w:rsid w:val="00551C19"/>
    <w:rsid w:val="00557342"/>
    <w:rsid w:val="00560427"/>
    <w:rsid w:val="005654BC"/>
    <w:rsid w:val="0057351F"/>
    <w:rsid w:val="00573C5D"/>
    <w:rsid w:val="00576A45"/>
    <w:rsid w:val="0057726B"/>
    <w:rsid w:val="00582A1C"/>
    <w:rsid w:val="00586CF2"/>
    <w:rsid w:val="00586EB6"/>
    <w:rsid w:val="005925FC"/>
    <w:rsid w:val="005953DB"/>
    <w:rsid w:val="0059689A"/>
    <w:rsid w:val="00597864"/>
    <w:rsid w:val="005A1AD9"/>
    <w:rsid w:val="005A3FD6"/>
    <w:rsid w:val="005B1C70"/>
    <w:rsid w:val="005B3A9E"/>
    <w:rsid w:val="005B7851"/>
    <w:rsid w:val="005C2DC2"/>
    <w:rsid w:val="005C31C4"/>
    <w:rsid w:val="005C69F8"/>
    <w:rsid w:val="005D438E"/>
    <w:rsid w:val="005D6271"/>
    <w:rsid w:val="005E3F4E"/>
    <w:rsid w:val="006016E9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5626"/>
    <w:rsid w:val="006658A2"/>
    <w:rsid w:val="00672FEA"/>
    <w:rsid w:val="00684AF2"/>
    <w:rsid w:val="00684EAC"/>
    <w:rsid w:val="006921E1"/>
    <w:rsid w:val="00693B0D"/>
    <w:rsid w:val="006B2691"/>
    <w:rsid w:val="006B2A89"/>
    <w:rsid w:val="006B2CF6"/>
    <w:rsid w:val="006B555B"/>
    <w:rsid w:val="006C2F8C"/>
    <w:rsid w:val="006C6C58"/>
    <w:rsid w:val="006C6E29"/>
    <w:rsid w:val="006D07B9"/>
    <w:rsid w:val="006D0993"/>
    <w:rsid w:val="006D3824"/>
    <w:rsid w:val="006F10C9"/>
    <w:rsid w:val="006F725D"/>
    <w:rsid w:val="00711FE9"/>
    <w:rsid w:val="007135BF"/>
    <w:rsid w:val="00726567"/>
    <w:rsid w:val="00730800"/>
    <w:rsid w:val="007378F8"/>
    <w:rsid w:val="00744BDF"/>
    <w:rsid w:val="00745507"/>
    <w:rsid w:val="00745995"/>
    <w:rsid w:val="00751B6A"/>
    <w:rsid w:val="00755F58"/>
    <w:rsid w:val="007623B9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D48"/>
    <w:rsid w:val="00794CD6"/>
    <w:rsid w:val="007A1438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505D"/>
    <w:rsid w:val="008151BB"/>
    <w:rsid w:val="00816916"/>
    <w:rsid w:val="008235A6"/>
    <w:rsid w:val="00825BFF"/>
    <w:rsid w:val="00830957"/>
    <w:rsid w:val="008419F7"/>
    <w:rsid w:val="0085425F"/>
    <w:rsid w:val="0086390F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996"/>
    <w:rsid w:val="008D6884"/>
    <w:rsid w:val="008D721A"/>
    <w:rsid w:val="008E143C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31B2"/>
    <w:rsid w:val="00945DCA"/>
    <w:rsid w:val="00946FF7"/>
    <w:rsid w:val="009506E0"/>
    <w:rsid w:val="00951CAD"/>
    <w:rsid w:val="009571DF"/>
    <w:rsid w:val="00957E6B"/>
    <w:rsid w:val="00960398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371E"/>
    <w:rsid w:val="0099680F"/>
    <w:rsid w:val="009A136D"/>
    <w:rsid w:val="009B1E72"/>
    <w:rsid w:val="009B5A73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E1D8D"/>
    <w:rsid w:val="009E3373"/>
    <w:rsid w:val="009E3BE9"/>
    <w:rsid w:val="009F18C2"/>
    <w:rsid w:val="009F2BB1"/>
    <w:rsid w:val="009F36E1"/>
    <w:rsid w:val="009F46EA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41999"/>
    <w:rsid w:val="00A430EB"/>
    <w:rsid w:val="00A47396"/>
    <w:rsid w:val="00A573A3"/>
    <w:rsid w:val="00A6481B"/>
    <w:rsid w:val="00A70E5C"/>
    <w:rsid w:val="00A72414"/>
    <w:rsid w:val="00A7422B"/>
    <w:rsid w:val="00A743A0"/>
    <w:rsid w:val="00A773CE"/>
    <w:rsid w:val="00A80091"/>
    <w:rsid w:val="00A83F1F"/>
    <w:rsid w:val="00A87227"/>
    <w:rsid w:val="00A958AF"/>
    <w:rsid w:val="00A96CB3"/>
    <w:rsid w:val="00A97525"/>
    <w:rsid w:val="00AA7E81"/>
    <w:rsid w:val="00AB1DE4"/>
    <w:rsid w:val="00AB26AC"/>
    <w:rsid w:val="00AB773B"/>
    <w:rsid w:val="00AB7E65"/>
    <w:rsid w:val="00AC20E1"/>
    <w:rsid w:val="00AD1D33"/>
    <w:rsid w:val="00AD24D8"/>
    <w:rsid w:val="00AD31EF"/>
    <w:rsid w:val="00AD5FD5"/>
    <w:rsid w:val="00AE0F7F"/>
    <w:rsid w:val="00AE2669"/>
    <w:rsid w:val="00AF1B4E"/>
    <w:rsid w:val="00B00941"/>
    <w:rsid w:val="00B04942"/>
    <w:rsid w:val="00B0675D"/>
    <w:rsid w:val="00B12207"/>
    <w:rsid w:val="00B1604B"/>
    <w:rsid w:val="00B17310"/>
    <w:rsid w:val="00B248B7"/>
    <w:rsid w:val="00B25170"/>
    <w:rsid w:val="00B30DAE"/>
    <w:rsid w:val="00B3408D"/>
    <w:rsid w:val="00B37857"/>
    <w:rsid w:val="00B41866"/>
    <w:rsid w:val="00B525A4"/>
    <w:rsid w:val="00B5663B"/>
    <w:rsid w:val="00B606B1"/>
    <w:rsid w:val="00B60851"/>
    <w:rsid w:val="00B62DB5"/>
    <w:rsid w:val="00B641BB"/>
    <w:rsid w:val="00B73FAD"/>
    <w:rsid w:val="00B74F57"/>
    <w:rsid w:val="00B75D6D"/>
    <w:rsid w:val="00B90CEF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D03AB"/>
    <w:rsid w:val="00BE143B"/>
    <w:rsid w:val="00BE75D7"/>
    <w:rsid w:val="00BF1494"/>
    <w:rsid w:val="00BF173F"/>
    <w:rsid w:val="00BF4903"/>
    <w:rsid w:val="00C01659"/>
    <w:rsid w:val="00C06269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119"/>
    <w:rsid w:val="00C952EA"/>
    <w:rsid w:val="00CA06BB"/>
    <w:rsid w:val="00CA324E"/>
    <w:rsid w:val="00CA7EC3"/>
    <w:rsid w:val="00CB0848"/>
    <w:rsid w:val="00CB4E4C"/>
    <w:rsid w:val="00CB6E7F"/>
    <w:rsid w:val="00CB7FF8"/>
    <w:rsid w:val="00CC0AA1"/>
    <w:rsid w:val="00CC7150"/>
    <w:rsid w:val="00CD0AA9"/>
    <w:rsid w:val="00CD23C3"/>
    <w:rsid w:val="00CD417F"/>
    <w:rsid w:val="00CF0581"/>
    <w:rsid w:val="00CF247F"/>
    <w:rsid w:val="00CF6AE6"/>
    <w:rsid w:val="00CF75DB"/>
    <w:rsid w:val="00CF7709"/>
    <w:rsid w:val="00D0142B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4492"/>
    <w:rsid w:val="00D4104B"/>
    <w:rsid w:val="00D41D6E"/>
    <w:rsid w:val="00D42A8F"/>
    <w:rsid w:val="00D42B4A"/>
    <w:rsid w:val="00D516B2"/>
    <w:rsid w:val="00D67264"/>
    <w:rsid w:val="00D72189"/>
    <w:rsid w:val="00D75CF3"/>
    <w:rsid w:val="00D80EBC"/>
    <w:rsid w:val="00D84490"/>
    <w:rsid w:val="00D85E07"/>
    <w:rsid w:val="00D9046F"/>
    <w:rsid w:val="00D954E7"/>
    <w:rsid w:val="00DA13F0"/>
    <w:rsid w:val="00DA7998"/>
    <w:rsid w:val="00DB1301"/>
    <w:rsid w:val="00DB342D"/>
    <w:rsid w:val="00DC71DB"/>
    <w:rsid w:val="00DD433D"/>
    <w:rsid w:val="00DE599B"/>
    <w:rsid w:val="00DF0654"/>
    <w:rsid w:val="00DF2670"/>
    <w:rsid w:val="00DF2730"/>
    <w:rsid w:val="00E002AC"/>
    <w:rsid w:val="00E00326"/>
    <w:rsid w:val="00E211F5"/>
    <w:rsid w:val="00E235EE"/>
    <w:rsid w:val="00E24DAF"/>
    <w:rsid w:val="00E26735"/>
    <w:rsid w:val="00E42C50"/>
    <w:rsid w:val="00E437CF"/>
    <w:rsid w:val="00E4507B"/>
    <w:rsid w:val="00E47E65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4E8A"/>
    <w:rsid w:val="00E85A12"/>
    <w:rsid w:val="00E86190"/>
    <w:rsid w:val="00E864A4"/>
    <w:rsid w:val="00E91CD1"/>
    <w:rsid w:val="00E963CE"/>
    <w:rsid w:val="00E96D12"/>
    <w:rsid w:val="00E97CB9"/>
    <w:rsid w:val="00EA02BC"/>
    <w:rsid w:val="00EB1788"/>
    <w:rsid w:val="00EB3378"/>
    <w:rsid w:val="00EB3703"/>
    <w:rsid w:val="00EB3F6A"/>
    <w:rsid w:val="00EB54B5"/>
    <w:rsid w:val="00EB68CA"/>
    <w:rsid w:val="00EC5732"/>
    <w:rsid w:val="00ED0A9E"/>
    <w:rsid w:val="00ED3952"/>
    <w:rsid w:val="00ED44BA"/>
    <w:rsid w:val="00ED5E8E"/>
    <w:rsid w:val="00EE027D"/>
    <w:rsid w:val="00EE55D5"/>
    <w:rsid w:val="00EE6E0C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26E497E"/>
    <w:rsid w:val="0309018F"/>
    <w:rsid w:val="0406F2B1"/>
    <w:rsid w:val="04EB9BAA"/>
    <w:rsid w:val="05C072E5"/>
    <w:rsid w:val="061EE5CE"/>
    <w:rsid w:val="066636ED"/>
    <w:rsid w:val="0741BAA1"/>
    <w:rsid w:val="07BAB62F"/>
    <w:rsid w:val="08624999"/>
    <w:rsid w:val="08795635"/>
    <w:rsid w:val="08BDBA2B"/>
    <w:rsid w:val="0A795B63"/>
    <w:rsid w:val="0A8ECADD"/>
    <w:rsid w:val="0BFCE006"/>
    <w:rsid w:val="0D003B5C"/>
    <w:rsid w:val="0E60C260"/>
    <w:rsid w:val="0E71A7A9"/>
    <w:rsid w:val="0ECBDBCC"/>
    <w:rsid w:val="0F16BAD4"/>
    <w:rsid w:val="0F49A558"/>
    <w:rsid w:val="0F4CCC86"/>
    <w:rsid w:val="105F35C5"/>
    <w:rsid w:val="106E20DE"/>
    <w:rsid w:val="10DFE56C"/>
    <w:rsid w:val="10E575B9"/>
    <w:rsid w:val="10E89CE7"/>
    <w:rsid w:val="1281461A"/>
    <w:rsid w:val="14261E79"/>
    <w:rsid w:val="147CBA5F"/>
    <w:rsid w:val="14B0854E"/>
    <w:rsid w:val="15075F5D"/>
    <w:rsid w:val="1522DC33"/>
    <w:rsid w:val="159010E4"/>
    <w:rsid w:val="161D075D"/>
    <w:rsid w:val="169085A1"/>
    <w:rsid w:val="169A247F"/>
    <w:rsid w:val="16AFD0FD"/>
    <w:rsid w:val="17071F12"/>
    <w:rsid w:val="1754F7B4"/>
    <w:rsid w:val="18BBA766"/>
    <w:rsid w:val="194071AB"/>
    <w:rsid w:val="19EFFB15"/>
    <w:rsid w:val="1B897297"/>
    <w:rsid w:val="1BB1DE98"/>
    <w:rsid w:val="1BBE419B"/>
    <w:rsid w:val="1CA82C99"/>
    <w:rsid w:val="1CCDCA00"/>
    <w:rsid w:val="1CF4E54D"/>
    <w:rsid w:val="1D0C8FA4"/>
    <w:rsid w:val="1DE275A0"/>
    <w:rsid w:val="1FAFCC66"/>
    <w:rsid w:val="22242253"/>
    <w:rsid w:val="2259356D"/>
    <w:rsid w:val="232923D0"/>
    <w:rsid w:val="248F4127"/>
    <w:rsid w:val="249E222A"/>
    <w:rsid w:val="255B7F74"/>
    <w:rsid w:val="26A9A53C"/>
    <w:rsid w:val="27623DE6"/>
    <w:rsid w:val="27FF6AAD"/>
    <w:rsid w:val="28500164"/>
    <w:rsid w:val="29FC1AE8"/>
    <w:rsid w:val="2AE1B6B7"/>
    <w:rsid w:val="2AE79E71"/>
    <w:rsid w:val="2AF5D78B"/>
    <w:rsid w:val="2B008F55"/>
    <w:rsid w:val="2BDF0338"/>
    <w:rsid w:val="2DA0D32B"/>
    <w:rsid w:val="2DD61D48"/>
    <w:rsid w:val="2F1C19A9"/>
    <w:rsid w:val="2F6C8503"/>
    <w:rsid w:val="303A7B14"/>
    <w:rsid w:val="30508782"/>
    <w:rsid w:val="30587508"/>
    <w:rsid w:val="31EC57E3"/>
    <w:rsid w:val="348DB4EB"/>
    <w:rsid w:val="34DED053"/>
    <w:rsid w:val="3601BA69"/>
    <w:rsid w:val="367267F9"/>
    <w:rsid w:val="36CA94C4"/>
    <w:rsid w:val="370C73D9"/>
    <w:rsid w:val="37408DCC"/>
    <w:rsid w:val="37BE17C0"/>
    <w:rsid w:val="38EEAB87"/>
    <w:rsid w:val="39AE4A8D"/>
    <w:rsid w:val="39FF574E"/>
    <w:rsid w:val="3AD2045E"/>
    <w:rsid w:val="3B9BF52E"/>
    <w:rsid w:val="3BB47562"/>
    <w:rsid w:val="3C5D9607"/>
    <w:rsid w:val="3CB9A540"/>
    <w:rsid w:val="3D1A2DB7"/>
    <w:rsid w:val="3D8580A5"/>
    <w:rsid w:val="3DE70794"/>
    <w:rsid w:val="3DEAD688"/>
    <w:rsid w:val="3E1D45DC"/>
    <w:rsid w:val="3FBD6A61"/>
    <w:rsid w:val="3FD06354"/>
    <w:rsid w:val="3FFE3DCC"/>
    <w:rsid w:val="41E1021E"/>
    <w:rsid w:val="420D9061"/>
    <w:rsid w:val="4228454C"/>
    <w:rsid w:val="42F63EA0"/>
    <w:rsid w:val="4380C41B"/>
    <w:rsid w:val="43A63994"/>
    <w:rsid w:val="43A67A0B"/>
    <w:rsid w:val="44688134"/>
    <w:rsid w:val="44FB294E"/>
    <w:rsid w:val="45D7D81A"/>
    <w:rsid w:val="45EE95F0"/>
    <w:rsid w:val="4614B705"/>
    <w:rsid w:val="463AD933"/>
    <w:rsid w:val="46C7D927"/>
    <w:rsid w:val="46DE1ACD"/>
    <w:rsid w:val="47FFA841"/>
    <w:rsid w:val="486374E3"/>
    <w:rsid w:val="4962903A"/>
    <w:rsid w:val="49AAD572"/>
    <w:rsid w:val="4AF457DF"/>
    <w:rsid w:val="4B409B22"/>
    <w:rsid w:val="4D3433F4"/>
    <w:rsid w:val="4D45AE2A"/>
    <w:rsid w:val="4D5D3872"/>
    <w:rsid w:val="4E4DFBED"/>
    <w:rsid w:val="4EB5970F"/>
    <w:rsid w:val="508888C8"/>
    <w:rsid w:val="515F5732"/>
    <w:rsid w:val="5212BFAD"/>
    <w:rsid w:val="52E52664"/>
    <w:rsid w:val="53A37578"/>
    <w:rsid w:val="54AAEF1D"/>
    <w:rsid w:val="57608C97"/>
    <w:rsid w:val="5774762B"/>
    <w:rsid w:val="58BC1B45"/>
    <w:rsid w:val="595140BA"/>
    <w:rsid w:val="5B188E3D"/>
    <w:rsid w:val="5D37D7FE"/>
    <w:rsid w:val="5DC7BB1E"/>
    <w:rsid w:val="5E27D90B"/>
    <w:rsid w:val="5E6879DC"/>
    <w:rsid w:val="5F1409FE"/>
    <w:rsid w:val="606F78C0"/>
    <w:rsid w:val="60D920B7"/>
    <w:rsid w:val="61757AFC"/>
    <w:rsid w:val="620B4921"/>
    <w:rsid w:val="62AAAE4B"/>
    <w:rsid w:val="63342658"/>
    <w:rsid w:val="63C11CD1"/>
    <w:rsid w:val="63C2EF9E"/>
    <w:rsid w:val="64275D2D"/>
    <w:rsid w:val="643043B2"/>
    <w:rsid w:val="6465318A"/>
    <w:rsid w:val="64971A8F"/>
    <w:rsid w:val="64B2D6F6"/>
    <w:rsid w:val="64BEBE7C"/>
    <w:rsid w:val="650595E1"/>
    <w:rsid w:val="6542E9E3"/>
    <w:rsid w:val="65A9FB65"/>
    <w:rsid w:val="65C26DF6"/>
    <w:rsid w:val="666768FE"/>
    <w:rsid w:val="667AE318"/>
    <w:rsid w:val="6708FB6D"/>
    <w:rsid w:val="675A84C2"/>
    <w:rsid w:val="67CD610C"/>
    <w:rsid w:val="68A32AA9"/>
    <w:rsid w:val="6A1CED46"/>
    <w:rsid w:val="6BAC55FA"/>
    <w:rsid w:val="6BB8BDA7"/>
    <w:rsid w:val="6BC51F58"/>
    <w:rsid w:val="6CAA19FA"/>
    <w:rsid w:val="6D09AFC2"/>
    <w:rsid w:val="6D53E1DA"/>
    <w:rsid w:val="6D8F90B1"/>
    <w:rsid w:val="6E776DB3"/>
    <w:rsid w:val="6EE9C512"/>
    <w:rsid w:val="6FB44F01"/>
    <w:rsid w:val="712DA350"/>
    <w:rsid w:val="7306BEE6"/>
    <w:rsid w:val="730E8E67"/>
    <w:rsid w:val="74B9330C"/>
    <w:rsid w:val="7557E461"/>
    <w:rsid w:val="756F79F5"/>
    <w:rsid w:val="772D2BEE"/>
    <w:rsid w:val="77A54DBC"/>
    <w:rsid w:val="78C9106D"/>
    <w:rsid w:val="79F68BA2"/>
    <w:rsid w:val="7C0D5C19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858305B-C878-40B3-90A6-E1F3DAC8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B3398"/>
    <w:rPr>
      <w:b/>
      <w:bCs/>
    </w:rPr>
  </w:style>
  <w:style w:type="character" w:styleId="nfase">
    <w:name w:val="Emphasis"/>
    <w:basedOn w:val="Fontepargpadro"/>
    <w:uiPriority w:val="20"/>
    <w:qFormat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447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447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351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w:rsidR="00773803" w:rsidRDefault="00773803" w:rsidP="00773803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w:rsidR="00773803" w:rsidRDefault="00773803" w:rsidP="00773803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w:rsidR="00773803" w:rsidRDefault="00773803" w:rsidP="00773803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w:rsidR="00773803" w:rsidRDefault="00773803" w:rsidP="00773803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B0F6A"/>
    <w:rsid w:val="001E2AC0"/>
    <w:rsid w:val="00277029"/>
    <w:rsid w:val="002F13AB"/>
    <w:rsid w:val="003060EF"/>
    <w:rsid w:val="003D50C8"/>
    <w:rsid w:val="00465A25"/>
    <w:rsid w:val="004756EB"/>
    <w:rsid w:val="004C591E"/>
    <w:rsid w:val="00502781"/>
    <w:rsid w:val="00515AB3"/>
    <w:rsid w:val="00534782"/>
    <w:rsid w:val="005953DB"/>
    <w:rsid w:val="00617F93"/>
    <w:rsid w:val="00730800"/>
    <w:rsid w:val="00773803"/>
    <w:rsid w:val="0077693D"/>
    <w:rsid w:val="00816916"/>
    <w:rsid w:val="00855F86"/>
    <w:rsid w:val="008C4978"/>
    <w:rsid w:val="009C5448"/>
    <w:rsid w:val="00A24E6D"/>
    <w:rsid w:val="00AB26AC"/>
    <w:rsid w:val="00AD59B1"/>
    <w:rsid w:val="00B9403F"/>
    <w:rsid w:val="00C34425"/>
    <w:rsid w:val="00C7198A"/>
    <w:rsid w:val="00CA7EC3"/>
    <w:rsid w:val="00CB636A"/>
    <w:rsid w:val="00D0262C"/>
    <w:rsid w:val="00DE22E5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B12E41880BC24983CB850F07F82DEA" ma:contentTypeVersion="9" ma:contentTypeDescription="Crie um novo documento." ma:contentTypeScope="" ma:versionID="b1f138974602e1a37f2222163eb426de">
  <xsd:schema xmlns:xsd="http://www.w3.org/2001/XMLSchema" xmlns:xs="http://www.w3.org/2001/XMLSchema" xmlns:p="http://schemas.microsoft.com/office/2006/metadata/properties" xmlns:ns3="be19ff19-df24-4dc9-a02b-c335bca63b3e" targetNamespace="http://schemas.microsoft.com/office/2006/metadata/properties" ma:root="true" ma:fieldsID="424fff15148b846b632d628983052a1f" ns3:_="">
    <xsd:import namespace="be19ff19-df24-4dc9-a02b-c335bca63b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9ff19-df24-4dc9-a02b-c335bca63b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19ff19-df24-4dc9-a02b-c335bca63b3e" xsi:nil="true"/>
  </documentManagement>
</p:properties>
</file>

<file path=customXml/itemProps1.xml><?xml version="1.0" encoding="utf-8"?>
<ds:datastoreItem xmlns:ds="http://schemas.openxmlformats.org/officeDocument/2006/customXml" ds:itemID="{C2873F6E-C6C7-4197-AD2D-E814ECEB26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19ff19-df24-4dc9-a02b-c335bca63b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be19ff19-df24-4dc9-a02b-c335bca63b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19</Pages>
  <Words>3451</Words>
  <Characters>18636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Marcos Dwayne Saraiva Costa - GDSXSR</cp:lastModifiedBy>
  <cp:revision>5</cp:revision>
  <dcterms:created xsi:type="dcterms:W3CDTF">2026-10-07T20:53:00Z</dcterms:created>
  <dcterms:modified xsi:type="dcterms:W3CDTF">2026-10-28T19:19:00Z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0x010100E3B12E41880BC24983CB850F07F82DEA</vt:lpwstr>
  </property>
  <property fmtid="{D5CDD505-2E9C-101B-9397-08002B2CF9AE}" pid="3" name="MediaServiceImageTags">
    <vt:lpwstr/>
  </property>
</Properties>
</file>