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rsidTr="65CCD4F6" w14:paraId="4680266B" w14:textId="77777777">
        <w:trPr>
          <w:gridAfter w:val="1"/>
          <w:wAfter w:w="219" w:type="dxa"/>
        </w:trPr>
        <w:tc>
          <w:tcPr>
            <w:tcW w:w="2822" w:type="dxa"/>
            <w:tcMar/>
            <w:hideMark/>
          </w:tcPr>
          <w:p w:rsidR="00264107" w:rsidRDefault="00264107" w14:paraId="6DE29C9C" w14:textId="7777777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tcMar/>
            <w:hideMark/>
          </w:tcPr>
          <w:p w:rsidR="00264107"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2DA0D32B" w:rsidRDefault="00264107"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rsidR="00264107"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1D02AE0D" w:rsidRDefault="00264107" w14:paraId="15750CFE" w14:textId="77777777">
            <w:pPr>
              <w:pStyle w:val="paragraph"/>
              <w:spacing w:before="0" w:beforeAutospacing="off" w:after="0" w:afterAutospacing="off"/>
              <w:ind w:left="255"/>
              <w:jc w:val="both"/>
              <w:textAlignment w:val="baseline"/>
              <w:rPr>
                <w:rFonts w:ascii="Segoe UI" w:hAnsi="Segoe UI" w:cs="Segoe UI"/>
                <w:sz w:val="18"/>
                <w:szCs w:val="18"/>
              </w:rPr>
            </w:pPr>
            <w:r w:rsidRPr="1D02AE0D" w:rsidR="00264107">
              <w:rPr>
                <w:rStyle w:val="normaltextrun"/>
                <w:rFonts w:ascii="Calibri" w:hAnsi="Calibri" w:cs="Calibri"/>
                <w:color w:val="595959" w:themeColor="text1" w:themeTint="A6" w:themeShade="FF"/>
                <w:sz w:val="20"/>
                <w:szCs w:val="20"/>
              </w:rPr>
              <w:t xml:space="preserve">GABINETE DO DESEMBARGADOR SÉRGIO </w:t>
            </w:r>
            <w:commentRangeStart w:id="1514408936"/>
            <w:r w:rsidRPr="1D02AE0D" w:rsidR="00264107">
              <w:rPr>
                <w:rStyle w:val="normaltextrun"/>
                <w:rFonts w:ascii="Calibri" w:hAnsi="Calibri" w:cs="Calibri"/>
                <w:color w:val="595959" w:themeColor="text1" w:themeTint="A6" w:themeShade="FF"/>
                <w:sz w:val="20"/>
                <w:szCs w:val="20"/>
              </w:rPr>
              <w:t>ROCHA</w:t>
            </w:r>
            <w:r w:rsidRPr="1D02AE0D" w:rsidR="00264107">
              <w:rPr>
                <w:rStyle w:val="eop"/>
                <w:rFonts w:ascii="Calibri" w:hAnsi="Calibri" w:cs="Calibri"/>
                <w:color w:val="595959" w:themeColor="text1" w:themeTint="A6" w:themeShade="FF"/>
                <w:sz w:val="20"/>
                <w:szCs w:val="20"/>
              </w:rPr>
              <w:t> </w:t>
            </w:r>
            <w:commentRangeEnd w:id="1514408936"/>
            <w:r>
              <w:rPr>
                <w:rStyle w:val="CommentReference"/>
              </w:rPr>
              <w:commentReference w:id="1514408936"/>
            </w:r>
          </w:p>
        </w:tc>
      </w:tr>
      <w:tr w:rsidRPr="009F36E1" w:rsidR="004236F7" w:rsidTr="65CCD4F6" w14:paraId="506E1C45"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4236F7" w14:paraId="1B672758" w14:textId="77777777">
            <w:pPr>
              <w:rPr>
                <w:rFonts w:ascii="Arial" w:hAnsi="Arial" w:cs="Arial"/>
                <w:sz w:val="28"/>
                <w:szCs w:val="28"/>
              </w:rPr>
            </w:pPr>
            <w:r w:rsidRPr="009F36E1">
              <w:rPr>
                <w:rFonts w:ascii="Arial" w:hAnsi="Arial" w:cs="Arial"/>
                <w:sz w:val="28"/>
                <w:szCs w:val="28"/>
              </w:rPr>
              <w:t>Órgão</w:t>
            </w:r>
          </w:p>
        </w:tc>
        <w:tc>
          <w:tcPr>
            <w:tcW w:w="447" w:type="dxa"/>
            <w:tcMar/>
            <w:vAlign w:val="center"/>
          </w:tcPr>
          <w:p w:rsidRPr="009F36E1" w:rsidR="004236F7" w:rsidRDefault="004236F7" w14:paraId="5F5D25D2"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RDefault="00000000" w14:paraId="1380D4BD"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4236F7">
                  <w:rPr>
                    <w:rFonts w:ascii="Arial" w:hAnsi="Arial" w:cs="Arial"/>
                    <w:sz w:val="28"/>
                    <w:szCs w:val="28"/>
                  </w:rPr>
                  <w:t>4ª Turma Cível</w:t>
                </w:r>
              </w:sdtContent>
            </w:sdt>
          </w:p>
        </w:tc>
      </w:tr>
      <w:tr w:rsidRPr="009F36E1" w:rsidR="004236F7" w:rsidTr="65CCD4F6" w14:paraId="722A4191" w14:textId="77777777">
        <w:tblPrEx>
          <w:tblCellMar>
            <w:left w:w="108" w:type="dxa"/>
            <w:right w:w="108" w:type="dxa"/>
          </w:tblCellMar>
          <w:tblLook w:val="0000" w:firstRow="0" w:lastRow="0" w:firstColumn="0" w:lastColumn="0" w:noHBand="0" w:noVBand="0"/>
        </w:tblPrEx>
        <w:trPr>
          <w:cantSplit/>
          <w:trHeight w:val="585"/>
        </w:trPr>
        <w:tc>
          <w:tcPr>
            <w:tcW w:w="3686" w:type="dxa"/>
            <w:gridSpan w:val="2"/>
            <w:tcMar/>
            <w:vAlign w:val="center"/>
          </w:tcPr>
          <w:p w:rsidRPr="009F36E1" w:rsidR="004236F7" w:rsidRDefault="004236F7" w14:paraId="2B3F5317" w14:textId="77777777">
            <w:pPr>
              <w:rPr>
                <w:rFonts w:ascii="Arial" w:hAnsi="Arial" w:cs="Arial"/>
                <w:sz w:val="28"/>
                <w:szCs w:val="28"/>
              </w:rPr>
            </w:pPr>
            <w:r w:rsidRPr="009F36E1">
              <w:rPr>
                <w:rFonts w:ascii="Arial" w:hAnsi="Arial" w:cs="Arial"/>
                <w:sz w:val="28"/>
                <w:szCs w:val="28"/>
              </w:rPr>
              <w:t>Classe</w:t>
            </w:r>
          </w:p>
        </w:tc>
        <w:tc>
          <w:tcPr>
            <w:tcW w:w="447" w:type="dxa"/>
            <w:tcMar/>
            <w:vAlign w:val="center"/>
          </w:tcPr>
          <w:p w:rsidRPr="009F36E1" w:rsidR="004236F7" w:rsidRDefault="004236F7" w14:paraId="376372E5"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sdt>
            <w:sdt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rPr>
                <w:rFonts w:cs="Arial"/>
                <w:i w:val="0"/>
                <w:iCs w:val="0"/>
                <w:sz w:val="28"/>
                <w:szCs w:val="28"/>
              </w:rPr>
            </w:sdtPr>
            <w:sdtContent>
              <w:p w:rsidRPr="009F36E1" w:rsidR="004236F7" w:rsidRDefault="004236F7" w14:paraId="7D3B975A" w14:textId="77777777">
                <w:pPr>
                  <w:pStyle w:val="Citao"/>
                  <w:ind w:left="0" w:firstLine="0"/>
                  <w:jc w:val="both"/>
                  <w:rPr>
                    <w:rFonts w:cs="Arial"/>
                    <w:i w:val="0"/>
                    <w:iCs w:val="0"/>
                    <w:sz w:val="28"/>
                    <w:szCs w:val="28"/>
                  </w:rPr>
                </w:pPr>
                <w:r>
                  <w:rPr>
                    <w:rFonts w:cs="Arial"/>
                    <w:i w:val="0"/>
                    <w:iCs w:val="0"/>
                    <w:sz w:val="28"/>
                    <w:szCs w:val="28"/>
                  </w:rPr>
                  <w:t>Agravo de Instrumento</w:t>
                </w:r>
              </w:p>
            </w:sdtContent>
            <w:sdtEndPr>
              <w:rPr>
                <w:rFonts w:cs="Arial"/>
                <w:i w:val="0"/>
                <w:iCs w:val="0"/>
                <w:sz w:val="28"/>
                <w:szCs w:val="28"/>
              </w:rPr>
            </w:sdtEndPr>
          </w:sdt>
        </w:tc>
      </w:tr>
      <w:tr w:rsidRPr="009F36E1" w:rsidR="004236F7" w:rsidTr="65CCD4F6" w14:paraId="185BA19B"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4236F7" w14:paraId="5A224AD7" w14:textId="77777777">
            <w:pPr>
              <w:rPr>
                <w:rFonts w:ascii="Arial" w:hAnsi="Arial" w:cs="Arial"/>
                <w:sz w:val="28"/>
                <w:szCs w:val="28"/>
              </w:rPr>
            </w:pPr>
            <w:r w:rsidRPr="009F36E1">
              <w:rPr>
                <w:rFonts w:ascii="Arial" w:hAnsi="Arial" w:cs="Arial"/>
                <w:sz w:val="28"/>
                <w:szCs w:val="28"/>
              </w:rPr>
              <w:t>Processo nº</w:t>
            </w:r>
          </w:p>
        </w:tc>
        <w:tc>
          <w:tcPr>
            <w:tcW w:w="447" w:type="dxa"/>
            <w:tcMar/>
            <w:vAlign w:val="center"/>
          </w:tcPr>
          <w:p w:rsidRPr="009F36E1" w:rsidR="004236F7" w:rsidRDefault="004236F7" w14:paraId="709DFAFC"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RDefault="004236F7" w14:paraId="77B2906D" w14:textId="709019E3">
            <w:pPr>
              <w:ind w:right="-675"/>
            </w:pPr>
            <w:r w:rsidRPr="1D02AE0D" w:rsidR="79C2F2AF">
              <w:rPr>
                <w:rFonts w:ascii="Arial" w:hAnsi="Arial" w:cs="Arial"/>
                <w:sz w:val="28"/>
                <w:szCs w:val="28"/>
              </w:rPr>
              <w:t>0731328-27.2026.8.07.0000</w:t>
            </w:r>
          </w:p>
        </w:tc>
      </w:tr>
      <w:tr w:rsidRPr="009F36E1" w:rsidR="004236F7" w:rsidTr="65CCD4F6" w14:paraId="4B19599A"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F63CDB" w:rsidR="004236F7" w:rsidRDefault="00000000" w14:paraId="0E538277"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4236F7">
                  <w:rPr>
                    <w:rFonts w:ascii="Arial" w:hAnsi="Arial" w:eastAsia="Times New Roman" w:cs="Arial"/>
                    <w:sz w:val="28"/>
                    <w:szCs w:val="28"/>
                    <w:lang w:eastAsia="zh-CN"/>
                  </w:rPr>
                  <w:t>Agravante</w:t>
                </w:r>
              </w:sdtContent>
            </w:sdt>
            <w:r w:rsidRPr="00F63CDB" w:rsidR="004236F7">
              <w:rPr>
                <w:rFonts w:ascii="Arial" w:hAnsi="Arial" w:cs="Arial"/>
                <w:sz w:val="28"/>
                <w:szCs w:val="28"/>
              </w:rPr>
              <w:t xml:space="preserve"> (s)</w:t>
            </w:r>
          </w:p>
        </w:tc>
        <w:tc>
          <w:tcPr>
            <w:tcW w:w="447" w:type="dxa"/>
            <w:tcMar/>
            <w:vAlign w:val="center"/>
          </w:tcPr>
          <w:p w:rsidRPr="009F36E1" w:rsidR="004236F7" w:rsidRDefault="004236F7" w14:paraId="34C0C9D3"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P="650595E1" w:rsidRDefault="004236F7" w14:paraId="630B7F23" w14:textId="0BFB1D5C">
            <w:pPr>
              <w:jc w:val="both"/>
            </w:pPr>
            <w:r w:rsidRPr="1D02AE0D" w:rsidR="6973583F">
              <w:rPr>
                <w:rFonts w:ascii="Arial" w:hAnsi="Arial" w:cs="Arial"/>
                <w:sz w:val="28"/>
                <w:szCs w:val="28"/>
              </w:rPr>
              <w:t>Marcello Henrique Rodrigues Silva</w:t>
            </w:r>
          </w:p>
        </w:tc>
      </w:tr>
      <w:tr w:rsidRPr="009F36E1" w:rsidR="004236F7" w:rsidTr="65CCD4F6" w14:paraId="01956A99"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000000" w14:paraId="268F3466" w14:textId="77777777">
            <w:pPr>
              <w:jc w:val="both"/>
              <w:rPr>
                <w:rFonts w:ascii="Arial" w:hAnsi="Arial" w:cs="Arial"/>
                <w:sz w:val="28"/>
                <w:szCs w:val="28"/>
              </w:rPr>
            </w:pPr>
            <w:sdt>
              <w:sdtPr>
                <w:rPr>
                  <w:rFonts w:ascii="Arial" w:hAnsi="Arial" w:eastAsia="Times New Roman"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4236F7">
                  <w:rPr>
                    <w:rFonts w:ascii="Arial" w:hAnsi="Arial" w:eastAsia="Times New Roman" w:cs="Arial"/>
                    <w:sz w:val="28"/>
                    <w:szCs w:val="28"/>
                    <w:lang w:eastAsia="zh-CN"/>
                  </w:rPr>
                  <w:t>Agravado</w:t>
                </w:r>
              </w:sdtContent>
            </w:sdt>
            <w:r w:rsidRPr="009F36E1" w:rsidR="004236F7">
              <w:rPr>
                <w:rFonts w:ascii="Arial" w:hAnsi="Arial" w:cs="Arial"/>
                <w:sz w:val="28"/>
                <w:szCs w:val="28"/>
              </w:rPr>
              <w:t xml:space="preserve"> </w:t>
            </w:r>
            <w:r w:rsidR="004236F7">
              <w:rPr>
                <w:rFonts w:ascii="Arial" w:hAnsi="Arial" w:cs="Arial"/>
                <w:sz w:val="28"/>
                <w:szCs w:val="28"/>
              </w:rPr>
              <w:t>(</w:t>
            </w:r>
            <w:r w:rsidRPr="009F36E1" w:rsidR="004236F7">
              <w:rPr>
                <w:rFonts w:ascii="Arial" w:hAnsi="Arial" w:cs="Arial"/>
                <w:sz w:val="28"/>
                <w:szCs w:val="28"/>
              </w:rPr>
              <w:t>a)(s)</w:t>
            </w:r>
          </w:p>
        </w:tc>
        <w:tc>
          <w:tcPr>
            <w:tcW w:w="447" w:type="dxa"/>
            <w:tcMar/>
            <w:vAlign w:val="center"/>
          </w:tcPr>
          <w:p w:rsidRPr="009F36E1" w:rsidR="004236F7" w:rsidRDefault="004236F7" w14:paraId="5EDA0385" w14:textId="77777777">
            <w:pPr>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P="650595E1" w:rsidRDefault="004236F7" w14:paraId="6CC5F6AE" w14:textId="2BD44AA2">
            <w:pPr>
              <w:ind w:right="-74"/>
              <w:jc w:val="both"/>
            </w:pPr>
            <w:r w:rsidRPr="1D02AE0D" w:rsidR="160C8D89">
              <w:rPr>
                <w:rFonts w:ascii="Arial" w:hAnsi="Arial" w:cs="Arial"/>
                <w:sz w:val="28"/>
                <w:szCs w:val="28"/>
              </w:rPr>
              <w:t xml:space="preserve">Givaldo Santana dos Reis</w:t>
            </w:r>
            <w:r w:rsidRPr="1D02AE0D" w:rsidR="160C8D89">
              <w:rPr>
                <w:rFonts w:ascii="Arial" w:hAnsi="Arial" w:cs="Arial"/>
                <w:sz w:val="28"/>
                <w:szCs w:val="28"/>
              </w:rPr>
              <w:t/>
            </w:r>
            <w:r w:rsidRPr="1D02AE0D" w:rsidR="160C8D89">
              <w:rPr>
                <w:rFonts w:ascii="Arial" w:hAnsi="Arial" w:cs="Arial"/>
                <w:sz w:val="28"/>
                <w:szCs w:val="28"/>
              </w:rPr>
              <w:t xml:space="preserve"/>
            </w:r>
          </w:p>
        </w:tc>
      </w:tr>
      <w:tr w:rsidRPr="009F36E1" w:rsidR="004236F7" w:rsidTr="65CCD4F6" w14:paraId="04C2C9E0" w14:textId="77777777">
        <w:tblPrEx>
          <w:tblCellMar>
            <w:left w:w="108" w:type="dxa"/>
            <w:right w:w="108" w:type="dxa"/>
          </w:tblCellMar>
          <w:tblLook w:val="0000" w:firstRow="0" w:lastRow="0" w:firstColumn="0" w:lastColumn="0" w:noHBand="0" w:noVBand="0"/>
        </w:tblPrEx>
        <w:trPr>
          <w:cantSplit/>
          <w:trHeight w:val="397"/>
        </w:trPr>
        <w:tc>
          <w:tcPr>
            <w:tcW w:w="3686" w:type="dxa"/>
            <w:gridSpan w:val="2"/>
            <w:tcMar/>
            <w:vAlign w:val="center"/>
          </w:tcPr>
          <w:p w:rsidRPr="009F36E1" w:rsidR="004236F7" w:rsidRDefault="004236F7" w14:paraId="5C272CF2" w14:textId="77777777">
            <w:pPr>
              <w:rPr>
                <w:rFonts w:ascii="Arial" w:hAnsi="Arial" w:cs="Arial"/>
                <w:sz w:val="28"/>
                <w:szCs w:val="28"/>
              </w:rPr>
            </w:pPr>
            <w:r w:rsidRPr="009F36E1">
              <w:rPr>
                <w:rFonts w:ascii="Arial" w:hAnsi="Arial" w:cs="Arial"/>
                <w:sz w:val="28"/>
                <w:szCs w:val="28"/>
              </w:rPr>
              <w:t>Relator(a)</w:t>
            </w:r>
          </w:p>
        </w:tc>
        <w:tc>
          <w:tcPr>
            <w:tcW w:w="447" w:type="dxa"/>
            <w:tcMar/>
            <w:vAlign w:val="center"/>
          </w:tcPr>
          <w:p w:rsidRPr="009F36E1" w:rsidR="004236F7" w:rsidRDefault="004236F7" w14:paraId="65F4370D" w14:textId="77777777">
            <w:pPr>
              <w:ind w:right="-11"/>
              <w:rPr>
                <w:rFonts w:ascii="Arial" w:hAnsi="Arial" w:cs="Arial"/>
                <w:sz w:val="28"/>
                <w:szCs w:val="28"/>
              </w:rPr>
            </w:pPr>
            <w:r w:rsidRPr="009F36E1">
              <w:rPr>
                <w:rFonts w:ascii="Arial" w:hAnsi="Arial" w:cs="Arial"/>
                <w:sz w:val="28"/>
                <w:szCs w:val="28"/>
              </w:rPr>
              <w:t>:</w:t>
            </w:r>
          </w:p>
        </w:tc>
        <w:tc>
          <w:tcPr>
            <w:tcW w:w="4590" w:type="dxa"/>
            <w:gridSpan w:val="2"/>
            <w:tcMar/>
            <w:vAlign w:val="center"/>
          </w:tcPr>
          <w:p w:rsidRPr="009F36E1" w:rsidR="004236F7" w:rsidRDefault="004236F7" w14:paraId="64F0CBAE" w14:textId="77777777">
            <w:pPr>
              <w:rPr>
                <w:rFonts w:ascii="Arial" w:hAnsi="Arial" w:cs="Arial"/>
                <w:b/>
                <w:sz w:val="28"/>
                <w:szCs w:val="28"/>
              </w:rPr>
            </w:pPr>
            <w:r w:rsidRPr="009F36E1">
              <w:rPr>
                <w:rFonts w:ascii="Arial" w:hAnsi="Arial" w:cs="Arial"/>
                <w:b/>
                <w:bCs/>
                <w:sz w:val="28"/>
                <w:szCs w:val="28"/>
              </w:rPr>
              <w:t>Des. Sérgio Rocha</w:t>
            </w:r>
          </w:p>
        </w:tc>
      </w:tr>
    </w:tbl>
    <w:p>
      <w:pPr>
        <w:spacing w:line="360" w:lineRule="auto" w:after="0"/>
        <w:ind/>
      </w:pPr>
      <w:r>
        <w:rPr>
          <w:sz w:val="28"/>
        </w:rPr>
      </w:r>
    </w:p>
    <w:p>
      <w:pPr>
        <w:keepNext/>
        <w:spacing w:line="360" w:lineRule="auto" w:after="0" w:before="0"/>
        <w:jc w:val="left"/>
      </w:pPr>
      <w:r>
        <w:rPr>
          <w:rFonts w:ascii="Arial" w:hAnsi="Arial" w:cs="Arial"/>
          <w:b/>
          <w:i w:val="0"/>
          <w:sz w:val="28"/>
        </w:rPr>
        <w:t>EMENTA</w:t>
      </w:r>
    </w:p>
    <w:p>
      <w:pPr>
        <w:spacing w:line="360" w:lineRule="auto" w:after="0" w:before="0"/>
        <w:jc w:val="both"/>
      </w:pPr>
      <w:commentRangeStart w:id="0"/>
      <w:r>
        <w:rPr>
          <w:rFonts w:ascii="Arial" w:hAnsi="Arial" w:cs="Arial"/>
          <w:b w:val="0"/>
          <w:i w:val="0"/>
          <w:sz w:val="28"/>
        </w:rPr>
        <w:t>AGRAVO DE INSTRUMENTO. DIREITO PROCESSUAL CIVIL. CUMPRIMENTO DE SENTENÇA. PESQUISA PATRIMONIAL. SISTEMA SERP-JUD. CABIMENTO. DESNECESSIDADE DE ESGOTAMENTO DE DILIGÊNCIAS EXTRAJUDICIAIS. RECURSO PROVIDO.</w:t>
      </w:r>
      <w:commentRangeEnd w:id="0"/>
      <w:r>
        <w:rPr>
          <w:rStyle w:val="CommentReference"/>
        </w:rPr>
        <w:commentReference w:id="0"/>
      </w:r>
    </w:p>
    <w:p>
      <w:pPr>
        <w:spacing w:line="360" w:lineRule="auto" w:after="0" w:before="0"/>
        <w:jc w:val="both"/>
      </w:pPr>
      <w:r>
        <w:rPr>
          <w:rFonts w:ascii="Arial" w:hAnsi="Arial" w:cs="Arial"/>
          <w:b/>
          <w:i w:val="0"/>
          <w:sz w:val="28"/>
        </w:rPr>
        <w:t>I. Caso em exame</w:t>
      </w:r>
    </w:p>
    <w:p>
      <w:pPr>
        <w:spacing w:line="360" w:lineRule="auto" w:after="0" w:before="0"/>
        <w:jc w:val="both"/>
      </w:pPr>
      <w:r>
        <w:rPr>
          <w:rFonts w:ascii="Arial" w:hAnsi="Arial" w:cs="Arial"/>
          <w:b w:val="0"/>
          <w:i w:val="0"/>
          <w:sz w:val="28"/>
        </w:rPr>
        <w:t>1. Cumprimento de sentença proposto por pessoa natural (exequente) contra pessoa natural (executado), visando à satisfação de crédito (R$ 126.556,71).</w:t>
      </w:r>
    </w:p>
    <w:p>
      <w:pPr>
        <w:spacing w:line="360" w:lineRule="auto" w:after="0" w:before="0"/>
        <w:jc w:val="both"/>
      </w:pPr>
      <w:r>
        <w:rPr>
          <w:rFonts w:ascii="Arial" w:hAnsi="Arial" w:cs="Arial"/>
          <w:b w:val="0"/>
          <w:i w:val="0"/>
          <w:sz w:val="28"/>
        </w:rPr>
        <w:t>2. A decisão agravada indeferiu a pesquisa de bens imóveis do executado por meio do sistema SERP-JUD, ao fundamento de que a medida atenderia interesse exclusivo do credor, com a utilização de recursos humanos do Poder Judiciário, e de que cabe ao exequente, que não figura como hipossuficiente, promovê-la junto às serventias, às suas expensas e com seus próprios recursos.</w:t>
      </w:r>
    </w:p>
    <w:p>
      <w:pPr>
        <w:spacing w:line="360" w:lineRule="auto" w:after="0" w:before="0"/>
        <w:jc w:val="both"/>
      </w:pPr>
      <w:r>
        <w:rPr>
          <w:rFonts w:ascii="Arial" w:hAnsi="Arial" w:cs="Arial"/>
          <w:b w:val="0"/>
          <w:i w:val="0"/>
          <w:sz w:val="28"/>
        </w:rPr>
        <w:t>3. O exequente agrava sustentando que o SERP-JUD é ferramenta legítima de cooperação institucional para a localização de bens, que a decisão deu interpretação restritiva à finalidade do sistema e que não se pode exigir do credor diligências fragmentadas perante serventias de todo o país.</w:t>
      </w:r>
    </w:p>
    <w:p>
      <w:pPr>
        <w:spacing w:line="360" w:lineRule="auto" w:after="0" w:before="0"/>
        <w:jc w:val="both"/>
      </w:pPr>
      <w:r>
        <w:rPr>
          <w:rFonts w:ascii="Arial" w:hAnsi="Arial" w:cs="Arial"/>
          <w:b/>
          <w:i w:val="0"/>
          <w:sz w:val="28"/>
        </w:rPr>
        <w:t>II. Questão em discussão</w:t>
      </w:r>
    </w:p>
    <w:p>
      <w:pPr>
        <w:spacing w:line="360" w:lineRule="auto" w:after="0" w:before="0"/>
        <w:jc w:val="both"/>
      </w:pPr>
      <w:r>
        <w:rPr>
          <w:rFonts w:ascii="Arial" w:hAnsi="Arial" w:cs="Arial"/>
          <w:b w:val="0"/>
          <w:i w:val="0"/>
          <w:sz w:val="28"/>
        </w:rPr>
        <w:t>4. A questão em discussão consiste em saber se é cabível a pesquisa de bens do executado por meio do sistema SERP-JUD quando o credor poderia realizá-la diretamente junto às serventias.</w:t>
      </w:r>
    </w:p>
    <w:p>
      <w:pPr>
        <w:spacing w:line="360" w:lineRule="auto" w:after="0" w:before="0"/>
        <w:jc w:val="both"/>
      </w:pPr>
      <w:r>
        <w:rPr>
          <w:rFonts w:ascii="Arial" w:hAnsi="Arial" w:cs="Arial"/>
          <w:b/>
          <w:i w:val="0"/>
          <w:sz w:val="28"/>
        </w:rPr>
        <w:t>III. Razões de decidir</w:t>
      </w:r>
    </w:p>
    <w:p>
      <w:pPr>
        <w:spacing w:line="360" w:lineRule="auto" w:after="0" w:before="0"/>
        <w:jc w:val="both"/>
      </w:pPr>
      <w:r>
        <w:rPr>
          <w:rFonts w:ascii="Arial" w:hAnsi="Arial" w:cs="Arial"/>
          <w:b w:val="0"/>
          <w:i w:val="0"/>
          <w:sz w:val="28"/>
        </w:rPr>
        <w:t>5. A pesquisa no sistema SERP-JUD é medida idônea e eficaz para a localização de bens do devedor, pois permite consulta unificada a registros civis, imobiliários e de títulos e documentos em todo o território nacional.</w:t>
      </w:r>
    </w:p>
    <w:p>
      <w:pPr>
        <w:spacing w:line="360" w:lineRule="auto" w:after="0" w:before="0"/>
        <w:jc w:val="both"/>
      </w:pPr>
      <w:r>
        <w:rPr>
          <w:rFonts w:ascii="Arial" w:hAnsi="Arial" w:cs="Arial"/>
          <w:b w:val="0"/>
          <w:i w:val="0"/>
          <w:sz w:val="28"/>
        </w:rPr>
        <w:t>6. A utilização do SERP-JUD para a pesquisa de bens em execução é possível mediante ordem judicial fundamentada e dispensa o esgotamento de diligências extrajudiciais pelo credor.</w:t>
      </w:r>
    </w:p>
    <w:p>
      <w:pPr>
        <w:spacing w:line="360" w:lineRule="auto" w:after="0" w:before="0"/>
        <w:jc w:val="both"/>
      </w:pPr>
      <w:r>
        <w:rPr>
          <w:rFonts w:ascii="Arial" w:hAnsi="Arial" w:cs="Arial"/>
          <w:b w:val="0"/>
          <w:i w:val="0"/>
          <w:sz w:val="28"/>
        </w:rPr>
        <w:t>7. A ausência de hipossuficiência do exequente e a incidência de emolumentos não impedem a pesquisa pelo SERP-JUD, pois o custo pode ser exigido da parte no momento oportuno.</w:t>
      </w:r>
    </w:p>
    <w:p>
      <w:pPr>
        <w:spacing w:line="360" w:lineRule="auto" w:after="0" w:before="0"/>
        <w:jc w:val="both"/>
      </w:pPr>
      <w:r>
        <w:rPr>
          <w:rFonts w:ascii="Arial" w:hAnsi="Arial" w:cs="Arial"/>
          <w:b w:val="0"/>
          <w:i w:val="0"/>
          <w:sz w:val="28"/>
        </w:rPr>
        <w:t>8. No caso, o indeferimento da pesquisa ao fundamento de que o credor poderia realizá-la diretamente, às suas expensas, deve ser reformado.</w:t>
      </w:r>
    </w:p>
    <w:p>
      <w:pPr>
        <w:spacing w:line="360" w:lineRule="auto" w:after="0" w:before="0"/>
        <w:jc w:val="both"/>
      </w:pPr>
      <w:r>
        <w:rPr>
          <w:rFonts w:ascii="Arial" w:hAnsi="Arial" w:cs="Arial"/>
          <w:b/>
          <w:i w:val="0"/>
          <w:sz w:val="28"/>
        </w:rPr>
        <w:t>IV. Dispositivo</w:t>
      </w:r>
    </w:p>
    <w:p>
      <w:pPr>
        <w:spacing w:line="360" w:lineRule="auto" w:after="0" w:before="0"/>
        <w:jc w:val="both"/>
      </w:pPr>
      <w:r>
        <w:rPr>
          <w:rFonts w:ascii="Arial" w:hAnsi="Arial" w:cs="Arial"/>
          <w:b w:val="0"/>
          <w:i w:val="0"/>
          <w:sz w:val="28"/>
        </w:rPr>
        <w:t>9. Deu-se provimento ao agravo de instrumento do exequente para, confirmando a liminar, determinar a pesquisa de bens do executado no sistema SERP-JUD.</w:t>
      </w:r>
    </w:p>
    <w:p>
      <w:pPr>
        <w:spacing w:line="360" w:lineRule="auto" w:after="0" w:before="0"/>
        <w:jc w:val="left"/>
      </w:pPr>
      <w:r>
        <w:rPr>
          <w:rFonts w:ascii="Arial" w:hAnsi="Arial" w:cs="Arial"/>
          <w:b w:val="0"/>
          <w:i w:val="0"/>
          <w:sz w:val="26"/>
          <w:u w:val="single"/>
        </w:rPr>
        <w:t>____</w:t>
      </w:r>
    </w:p>
    <w:p>
      <w:pPr>
        <w:spacing w:line="360" w:lineRule="auto" w:after="0" w:before="0"/>
        <w:jc w:val="both"/>
      </w:pPr>
      <w:r>
        <w:rPr>
          <w:rFonts w:ascii="Arial" w:hAnsi="Arial" w:cs="Arial"/>
          <w:b w:val="0"/>
          <w:i/>
          <w:sz w:val="26"/>
        </w:rPr>
        <w:t>Jurisprudência relevante citada:</w:t>
      </w:r>
      <w:r>
        <w:rPr>
          <w:rFonts w:ascii="Arial" w:hAnsi="Arial" w:cs="Arial"/>
          <w:b w:val="0"/>
          <w:i w:val="0"/>
          <w:sz w:val="26"/>
        </w:rPr>
        <w:t xml:space="preserve"> STJ, REsp nº 2.226.101/SC, Quarta Turma, j. 07/04/2026; TJDFT, Processo nº 0744294-56.2025.8.07.0000, Rel. Des. Aiston Henrique de Sousa, 4ª Turma Cível, j. 22/01/2026; TJDFT, Acórdão 1983548, Processo nº 0751677-22.2024.8.07.0000, Rel. Des. Mauricio Silva Miranda, 7ª Turma Cível, j. 26/03/2025, DJe 08/04/2025; TJDFT, Acórdão 2125505, Processo nº 0708227-58.2026.8.07.0000, Rel. Des. Carlos Pires Soares Neto, 1ª Turma Cível, j. 13/05/2026, DJe 28/05/2026.</w:t>
      </w:r>
    </w:p>
    <w:p>
      <w:pPr>
        <w:spacing w:line="360" w:lineRule="auto" w:after="0"/>
        <w:ind w:firstLine="2268"/>
      </w:pPr>
      <w:r>
        <w:rPr>
          <w:sz w:val="28"/>
        </w:rPr>
      </w:r>
    </w:p>
    <w:p>
      <w:pPr>
        <w:spacing w:line="360" w:lineRule="auto" w:after="0"/>
        <w:ind w:firstLine="2268"/>
      </w:pPr>
      <w:r>
        <w:rPr>
          <w:sz w:val="28"/>
        </w:rPr>
      </w:r>
    </w:p>
    <w:p>
      <w:pPr>
        <w:keepNext/>
        <w:spacing w:line="360" w:lineRule="auto" w:after="0" w:before="0"/>
        <w:jc w:val="left"/>
      </w:pPr>
      <w:commentRangeStart w:id="1"/>
      <w:r>
        <w:rPr>
          <w:rFonts w:ascii="Arial" w:hAnsi="Arial" w:cs="Arial"/>
          <w:b/>
          <w:i w:val="0"/>
          <w:color w:val="EE0000"/>
          <w:sz w:val="28"/>
          <w:highlight w:val="yellow"/>
        </w:rPr>
        <w:t>RESUMO DA DECISÃO EM SENTIDO CONTRÁRIO</w:t>
      </w:r>
      <w:commentRangeEnd w:id="1"/>
      <w:r>
        <w:rPr>
          <w:rStyle w:val="CommentReference"/>
        </w:rPr>
        <w:commentReference w:id="1"/>
      </w:r>
    </w:p>
    <w:p>
      <w:pPr>
        <w:keepNext/>
        <w:spacing w:line="360" w:lineRule="auto" w:after="0" w:before="0"/>
        <w:jc w:val="both"/>
      </w:pPr>
      <w:r>
        <w:rPr>
          <w:rFonts w:ascii="Arial" w:hAnsi="Arial" w:cs="Arial"/>
          <w:b/>
          <w:i w:val="0"/>
          <w:color w:val="EE0000"/>
          <w:sz w:val="28"/>
        </w:rPr>
        <w:t>I. RAZÕES DE DECIDIR</w:t>
      </w:r>
    </w:p>
    <w:p>
      <w:pPr>
        <w:keepNext/>
        <w:spacing w:line="360" w:lineRule="auto" w:after="0" w:before="0"/>
        <w:jc w:val="both"/>
      </w:pPr>
      <w:r>
        <w:rPr>
          <w:rFonts w:ascii="Arial" w:hAnsi="Arial" w:cs="Arial"/>
          <w:b/>
          <w:i w:val="0"/>
          <w:color w:val="EE0000"/>
          <w:sz w:val="28"/>
        </w:rPr>
        <w:t>Natureza do SERP-JUD</w:t>
      </w:r>
    </w:p>
    <w:p>
      <w:pPr>
        <w:spacing w:line="360" w:lineRule="auto" w:after="0" w:before="0"/>
        <w:jc w:val="both"/>
      </w:pPr>
      <w:r>
        <w:rPr>
          <w:rFonts w:ascii="Arial" w:hAnsi="Arial" w:cs="Arial"/>
          <w:b w:val="0"/>
          <w:i w:val="0"/>
          <w:color w:val="EE0000"/>
          <w:sz w:val="28"/>
        </w:rPr>
        <w:t>1. O juízo consignou que o SERP-JUD é módulo do Serp destinado ao Poder Judiciário e aos órgãos da Administração Pública, e que a pesquisa de imóveis atenderia interesse exclusivo do credor, com a utilização de recursos humanos do Judiciário.</w:t>
      </w:r>
    </w:p>
    <w:p>
      <w:pPr>
        <w:keepNext/>
        <w:spacing w:line="360" w:lineRule="auto" w:after="0" w:before="0"/>
        <w:jc w:val="both"/>
      </w:pPr>
      <w:r>
        <w:rPr>
          <w:rFonts w:ascii="Arial" w:hAnsi="Arial" w:cs="Arial"/>
          <w:b/>
          <w:i w:val="0"/>
          <w:color w:val="EE0000"/>
          <w:sz w:val="28"/>
        </w:rPr>
        <w:t>Ônus do credor</w:t>
      </w:r>
    </w:p>
    <w:p>
      <w:pPr>
        <w:spacing w:line="360" w:lineRule="auto" w:after="0" w:before="0"/>
        <w:jc w:val="both"/>
      </w:pPr>
      <w:r>
        <w:rPr>
          <w:rFonts w:ascii="Arial" w:hAnsi="Arial" w:cs="Arial"/>
          <w:b w:val="0"/>
          <w:i w:val="0"/>
          <w:color w:val="EE0000"/>
          <w:sz w:val="28"/>
        </w:rPr>
        <w:t>2. O juízo registrou que o exequente, que não figura como hipossuficiente, deve promover a pesquisa junto às serventias de registros públicos, às suas expensas e com seus próprios recursos, sem dispensa dos emolumentos.</w:t>
      </w:r>
    </w:p>
    <w:p>
      <w:pPr>
        <w:keepNext/>
        <w:spacing w:line="360" w:lineRule="auto" w:after="0" w:before="0"/>
        <w:jc w:val="both"/>
      </w:pPr>
      <w:r>
        <w:rPr>
          <w:rFonts w:ascii="Arial" w:hAnsi="Arial" w:cs="Arial"/>
          <w:b/>
          <w:i w:val="0"/>
          <w:color w:val="EE0000"/>
          <w:sz w:val="28"/>
        </w:rPr>
        <w:t>II. DISPOSITIVO DA DECISÃO</w:t>
      </w:r>
    </w:p>
    <w:p>
      <w:pPr>
        <w:spacing w:line="360" w:lineRule="auto" w:after="0" w:before="0"/>
        <w:jc w:val="both"/>
      </w:pPr>
      <w:r>
        <w:rPr>
          <w:rFonts w:ascii="Arial" w:hAnsi="Arial" w:cs="Arial"/>
          <w:b w:val="0"/>
          <w:i w:val="0"/>
          <w:color w:val="EE0000"/>
          <w:sz w:val="28"/>
        </w:rPr>
        <w:t>3. Foi indeferido o pedido de pesquisa de bens imóveis do executado por meio do SERP-JUD.</w:t>
      </w:r>
    </w:p>
    <w:p>
      <w:pPr>
        <w:spacing w:line="360" w:lineRule="auto" w:after="0" w:before="0"/>
        <w:jc w:val="both"/>
      </w:pPr>
      <w:r>
        <w:rPr>
          <w:rFonts w:ascii="Arial" w:hAnsi="Arial" w:cs="Arial"/>
          <w:b w:val="0"/>
          <w:i w:val="0"/>
          <w:color w:val="EE0000"/>
          <w:sz w:val="28"/>
        </w:rPr>
        <w:t>4. Foi determinado o retorno do processo ao arquivo provisório, até 01/06/2031.</w:t>
      </w:r>
    </w:p>
    <w:p>
      <w:pPr>
        <w:keepNext/>
        <w:pageBreakBefore/>
        <w:spacing w:line="360" w:lineRule="auto" w:after="0" w:before="0"/>
        <w:jc w:val="center"/>
      </w:pPr>
      <w:r>
        <w:rPr>
          <w:rFonts w:ascii="Arial" w:hAnsi="Arial" w:cs="Arial"/>
          <w:b/>
          <w:i w:val="0"/>
          <w:sz w:val="28"/>
        </w:rPr>
        <w:t>RELATÓRIO</w:t>
      </w:r>
    </w:p>
    <w:p>
      <w:pPr>
        <w:spacing w:line="360" w:lineRule="auto" w:after="0"/>
        <w:ind w:firstLine="2268"/>
      </w:pPr>
      <w:r>
        <w:rPr>
          <w:sz w:val="28"/>
        </w:rPr>
      </w:r>
    </w:p>
    <w:p>
      <w:pPr>
        <w:spacing w:line="360" w:lineRule="auto" w:after="0" w:before="0"/>
        <w:ind w:firstLine="2268"/>
        <w:jc w:val="both"/>
      </w:pPr>
      <w:commentRangeStart w:id="2"/>
      <w:r>
        <w:rPr>
          <w:rFonts w:ascii="Arial" w:hAnsi="Arial" w:cs="Arial"/>
          <w:b w:val="0"/>
          <w:i w:val="0"/>
          <w:sz w:val="28"/>
        </w:rPr>
        <w:t>Adoto o relatório da liminar (ID 86923009):</w:t>
      </w:r>
      <w:commentRangeEnd w:id="2"/>
      <w:r>
        <w:rPr>
          <w:rStyle w:val="CommentReference"/>
        </w:rPr>
        <w:commentReference w:id="2"/>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“Cuida-se de cumprimento de sentença instaurado por MARCELLO HENRIQUE RODRIGUES SILVA em face de GIVALDO SANTANA DOS REIS (R$ 126.556,71).</w:t>
      </w:r>
    </w:p>
    <w:p>
      <w:pPr>
        <w:spacing w:line="360" w:lineRule="auto" w:after="0" w:before="0"/>
        <w:ind w:firstLine="1134" w:left="2268"/>
        <w:jc w:val="both"/>
      </w:pPr>
      <w:r>
        <w:rPr>
          <w:rFonts w:ascii="Arial" w:hAnsi="Arial" w:cs="Arial"/>
          <w:b w:val="0"/>
          <w:i/>
          <w:sz w:val="26"/>
        </w:rPr>
        <w:t>O Juízo de origem indeferiu o pedido de realização de pesquisa patrimonial por meio do sistema SERP-JUD, ao fundamento de que a medida atenderia interesse exclusivo do credor, podendo ser por este realizada diretamente junto às serventias, às suas expensas (ID 278321327).</w:t>
      </w:r>
    </w:p>
    <w:p>
      <w:pPr>
        <w:spacing w:line="360" w:lineRule="auto" w:after="0" w:before="0"/>
        <w:ind w:firstLine="1134" w:left="2268"/>
        <w:jc w:val="both"/>
      </w:pPr>
      <w:r>
        <w:rPr>
          <w:rFonts w:ascii="Arial" w:hAnsi="Arial" w:cs="Arial"/>
          <w:b w:val="0"/>
          <w:i/>
          <w:sz w:val="26"/>
        </w:rPr>
        <w:t xml:space="preserve">Inconformado, o exequente interpõe o presente agravo de instrumento, sustentando, em síntese, que: </w:t>
      </w:r>
      <w:r>
        <w:rPr>
          <w:rFonts w:ascii="Arial" w:hAnsi="Arial" w:cs="Arial"/>
          <w:b/>
          <w:i/>
          <w:sz w:val="26"/>
        </w:rPr>
        <w:t>1)</w:t>
      </w:r>
      <w:r>
        <w:rPr>
          <w:rFonts w:ascii="Arial" w:hAnsi="Arial" w:cs="Arial"/>
          <w:b w:val="0"/>
          <w:i/>
          <w:sz w:val="26"/>
        </w:rPr>
        <w:t xml:space="preserve"> o SERP-JUD constitui ferramenta legítima de cooperação institucional voltada à localização de bens, especialmente imóveis; </w:t>
      </w:r>
      <w:r>
        <w:rPr>
          <w:rFonts w:ascii="Arial" w:hAnsi="Arial" w:cs="Arial"/>
          <w:b/>
          <w:i/>
          <w:sz w:val="26"/>
        </w:rPr>
        <w:t>2)</w:t>
      </w:r>
      <w:r>
        <w:rPr>
          <w:rFonts w:ascii="Arial" w:hAnsi="Arial" w:cs="Arial"/>
          <w:b w:val="0"/>
          <w:i/>
          <w:sz w:val="26"/>
        </w:rPr>
        <w:t xml:space="preserve"> a decisão adotou interpretação restritiva da finalidade do sistema; </w:t>
      </w:r>
      <w:r>
        <w:rPr>
          <w:rFonts w:ascii="Arial" w:hAnsi="Arial" w:cs="Arial"/>
          <w:b/>
          <w:i/>
          <w:sz w:val="26"/>
        </w:rPr>
        <w:t>3)</w:t>
      </w:r>
      <w:r>
        <w:rPr>
          <w:rFonts w:ascii="Arial" w:hAnsi="Arial" w:cs="Arial"/>
          <w:b w:val="0"/>
          <w:i/>
          <w:sz w:val="26"/>
        </w:rPr>
        <w:t xml:space="preserve"> a utilização da plataforma promove a efetividade da execução; </w:t>
      </w:r>
      <w:r>
        <w:rPr>
          <w:rFonts w:ascii="Arial" w:hAnsi="Arial" w:cs="Arial"/>
          <w:b/>
          <w:i/>
          <w:sz w:val="26"/>
        </w:rPr>
        <w:t>4)</w:t>
      </w:r>
      <w:r>
        <w:rPr>
          <w:rFonts w:ascii="Arial" w:hAnsi="Arial" w:cs="Arial"/>
          <w:b w:val="0"/>
          <w:i/>
          <w:sz w:val="26"/>
        </w:rPr>
        <w:t xml:space="preserve"> não se pode exigir do exequente a realização de diligências fragmentadas perante serventias em todo o país; </w:t>
      </w:r>
      <w:r>
        <w:rPr>
          <w:rFonts w:ascii="Arial" w:hAnsi="Arial" w:cs="Arial"/>
          <w:b/>
          <w:i/>
          <w:sz w:val="26"/>
        </w:rPr>
        <w:t>5)</w:t>
      </w:r>
      <w:r>
        <w:rPr>
          <w:rFonts w:ascii="Arial" w:hAnsi="Arial" w:cs="Arial"/>
          <w:b w:val="0"/>
          <w:i/>
          <w:sz w:val="26"/>
        </w:rPr>
        <w:t xml:space="preserve"> a negativa compromete o regular andamento do feito e favorece a frustração da execução; </w:t>
      </w:r>
      <w:r>
        <w:rPr>
          <w:rFonts w:ascii="Arial" w:hAnsi="Arial" w:cs="Arial"/>
          <w:b/>
          <w:i/>
          <w:sz w:val="26"/>
        </w:rPr>
        <w:t>6)</w:t>
      </w:r>
      <w:r>
        <w:rPr>
          <w:rFonts w:ascii="Arial" w:hAnsi="Arial" w:cs="Arial"/>
          <w:b w:val="0"/>
          <w:i/>
          <w:sz w:val="26"/>
        </w:rPr>
        <w:t xml:space="preserve"> o perigo de dano reside no risco de esvaziamento patrimonial e de configuração da prescrição intercorrente.</w:t>
      </w:r>
    </w:p>
    <w:p>
      <w:pPr>
        <w:spacing w:line="360" w:lineRule="auto" w:after="0" w:before="0"/>
        <w:ind w:firstLine="1134" w:left="2268"/>
        <w:jc w:val="both"/>
      </w:pPr>
      <w:r>
        <w:rPr>
          <w:rFonts w:ascii="Arial" w:hAnsi="Arial" w:cs="Arial"/>
          <w:b w:val="0"/>
          <w:i/>
          <w:sz w:val="26"/>
        </w:rPr>
        <w:t>Requer a concessão da antecipação de tutela recursal, para deferir a pesquisa de bens do executado via SERP-JUD. No mérito, pleiteia a reforma da r. decisão agravada, com a confirmação da liminar.” (ID 86923009)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Deferi a antecipação da tutela recursal para determinar a realização de pesquisa de bens do executado no sistema SERP-JUD (ID 86923009).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O Juízo de origem determinou a pesquisa no SERP-JUD e, realizada a consulta em 28/08/2026, intimou o exequente a se manifestar (ID 288777231, do processo de origem).</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Sem contrarrazões (ID 88052449).</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o relatório.</w:t>
      </w:r>
    </w:p>
    <w:p>
      <w:pPr>
        <w:spacing w:line="360" w:lineRule="auto" w:after="0"/>
        <w:ind w:firstLine="2268"/>
      </w:pPr>
      <w:r>
        <w:rPr>
          <w:sz w:val="28"/>
        </w:rPr>
      </w:r>
    </w:p>
    <w:p>
      <w:pPr>
        <w:keepNext/>
        <w:spacing w:line="360" w:lineRule="auto" w:after="0" w:before="0"/>
        <w:jc w:val="center"/>
      </w:pPr>
      <w:r>
        <w:rPr>
          <w:rFonts w:ascii="Arial" w:hAnsi="Arial" w:cs="Arial"/>
          <w:b/>
          <w:i w:val="0"/>
          <w:sz w:val="28"/>
        </w:rPr>
        <w:t>VOTO</w:t>
      </w:r>
    </w:p>
    <w:p>
      <w:pPr>
        <w:spacing w:line="360" w:lineRule="auto" w:after="0"/>
        <w:ind w:firstLine="2268"/>
      </w:pPr>
      <w:r>
        <w:rPr>
          <w:sz w:val="28"/>
        </w:rPr>
      </w:r>
    </w:p>
    <w:p>
      <w:pPr>
        <w:spacing w:line="360" w:lineRule="auto" w:after="0" w:before="0"/>
        <w:jc w:val="both"/>
      </w:pPr>
      <w:r>
        <w:rPr>
          <w:rFonts w:ascii="Arial" w:hAnsi="Arial" w:cs="Arial"/>
          <w:b/>
          <w:i w:val="0"/>
          <w:sz w:val="28"/>
        </w:rPr>
        <w:t>O Senhor Desembargador SÉRGIO ROCHA – Relator.</w:t>
      </w:r>
    </w:p>
    <w:p>
      <w:pPr>
        <w:spacing w:line="360" w:lineRule="auto" w:after="0"/>
        <w:ind w:firstLine="2268"/>
      </w:pPr>
      <w:r>
        <w:rPr>
          <w:sz w:val="28"/>
        </w:rPr>
      </w:r>
    </w:p>
    <w:p>
      <w:pPr>
        <w:keepNext/>
        <w:spacing w:line="360" w:lineRule="auto" w:after="0" w:before="0"/>
        <w:jc w:val="center"/>
      </w:pPr>
      <w:r>
        <w:rPr>
          <w:rFonts w:ascii="Arial" w:hAnsi="Arial" w:cs="Arial"/>
          <w:b/>
          <w:i w:val="0"/>
          <w:sz w:val="28"/>
        </w:rPr>
        <w:t>AGRAVO DE INSTRUMENTO DO EXEQUENTE, MARCELLO HENRIQUE RODRIGUES SILVA</w:t>
      </w:r>
    </w:p>
    <w:p>
      <w:pPr>
        <w:spacing w:line="360" w:lineRule="auto" w:after="0"/>
        <w:ind w:firstLine="2268"/>
      </w:pPr>
      <w:r>
        <w:rPr>
          <w:sz w:val="28"/>
        </w:rPr>
      </w:r>
    </w:p>
    <w:p>
      <w:pPr>
        <w:spacing w:line="360" w:lineRule="auto" w:after="0" w:before="0"/>
        <w:ind w:firstLine="2268"/>
        <w:jc w:val="both"/>
      </w:pPr>
      <w:commentRangeStart w:id="3"/>
      <w:r>
        <w:rPr>
          <w:rFonts w:ascii="Arial" w:hAnsi="Arial" w:cs="Arial"/>
          <w:b w:val="0"/>
          <w:i w:val="0"/>
          <w:sz w:val="28"/>
        </w:rPr>
        <w:t>Presentes os pressupostos de admissibilidade, conheço do agravo de instrumento.</w:t>
      </w:r>
      <w:commentRangeEnd w:id="3"/>
      <w:r>
        <w:rPr>
          <w:rStyle w:val="CommentReference"/>
        </w:rPr>
        <w:commentReference w:id="3"/>
      </w:r>
    </w:p>
    <w:p>
      <w:pPr>
        <w:spacing w:line="360" w:lineRule="auto" w:after="0"/>
        <w:ind w:firstLine="2268"/>
      </w:pPr>
      <w:r>
        <w:rPr>
          <w:sz w:val="28"/>
        </w:rPr>
      </w:r>
    </w:p>
    <w:p>
      <w:pPr>
        <w:keepNext/>
        <w:spacing w:line="360" w:lineRule="auto" w:after="0" w:before="0"/>
        <w:jc w:val="center"/>
      </w:pPr>
      <w:r>
        <w:rPr>
          <w:rFonts w:ascii="Arial" w:hAnsi="Arial" w:cs="Arial"/>
          <w:b w:val="0"/>
          <w:i w:val="0"/>
          <w:sz w:val="28"/>
          <w:highlight w:val="yellow"/>
        </w:rPr>
        <w:t>DO CABIMENTO DA PESQUISA DE BENS DO EXECUTADO NO SISTEMA SERP-JUD</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exequente/agravante alega que: </w:t>
      </w:r>
      <w:r>
        <w:rPr>
          <w:rFonts w:ascii="Arial" w:hAnsi="Arial" w:cs="Arial"/>
          <w:b/>
          <w:i w:val="0"/>
          <w:sz w:val="28"/>
        </w:rPr>
        <w:t>1)</w:t>
      </w:r>
      <w:r>
        <w:rPr>
          <w:rFonts w:ascii="Arial" w:hAnsi="Arial" w:cs="Arial"/>
          <w:b w:val="0"/>
          <w:i w:val="0"/>
          <w:sz w:val="28"/>
        </w:rPr>
        <w:t xml:space="preserve"> o SERP-JUD constitui ferramenta legítima de cooperação institucional voltada à localização de bens, especialmente imóveis; </w:t>
      </w:r>
      <w:r>
        <w:rPr>
          <w:rFonts w:ascii="Arial" w:hAnsi="Arial" w:cs="Arial"/>
          <w:b/>
          <w:i w:val="0"/>
          <w:sz w:val="28"/>
        </w:rPr>
        <w:t>2)</w:t>
      </w:r>
      <w:r>
        <w:rPr>
          <w:rFonts w:ascii="Arial" w:hAnsi="Arial" w:cs="Arial"/>
          <w:b w:val="0"/>
          <w:i w:val="0"/>
          <w:sz w:val="28"/>
        </w:rPr>
        <w:t xml:space="preserve"> a decisão adotou interpretação restritiva da finalidade do sistema; </w:t>
      </w:r>
      <w:r>
        <w:rPr>
          <w:rFonts w:ascii="Arial" w:hAnsi="Arial" w:cs="Arial"/>
          <w:b/>
          <w:i w:val="0"/>
          <w:sz w:val="28"/>
        </w:rPr>
        <w:t>3)</w:t>
      </w:r>
      <w:r>
        <w:rPr>
          <w:rFonts w:ascii="Arial" w:hAnsi="Arial" w:cs="Arial"/>
          <w:b w:val="0"/>
          <w:i w:val="0"/>
          <w:sz w:val="28"/>
        </w:rPr>
        <w:t xml:space="preserve"> a utilização da plataforma promove a efetividade da execução; </w:t>
      </w:r>
      <w:r>
        <w:rPr>
          <w:rFonts w:ascii="Arial" w:hAnsi="Arial" w:cs="Arial"/>
          <w:b/>
          <w:i w:val="0"/>
          <w:sz w:val="28"/>
        </w:rPr>
        <w:t>4)</w:t>
      </w:r>
      <w:r>
        <w:rPr>
          <w:rFonts w:ascii="Arial" w:hAnsi="Arial" w:cs="Arial"/>
          <w:b w:val="0"/>
          <w:i w:val="0"/>
          <w:sz w:val="28"/>
        </w:rPr>
        <w:t xml:space="preserve"> não se pode exigir do exequente a realização de diligências fragmentadas perante serventias em todo o país; </w:t>
      </w:r>
      <w:r>
        <w:rPr>
          <w:rFonts w:ascii="Arial" w:hAnsi="Arial" w:cs="Arial"/>
          <w:b/>
          <w:i w:val="0"/>
          <w:sz w:val="28"/>
        </w:rPr>
        <w:t>5)</w:t>
      </w:r>
      <w:r>
        <w:rPr>
          <w:rFonts w:ascii="Arial" w:hAnsi="Arial" w:cs="Arial"/>
          <w:b w:val="0"/>
          <w:i w:val="0"/>
          <w:sz w:val="28"/>
        </w:rPr>
        <w:t xml:space="preserve"> a negativa compromete o regular andamento do feito e favorece a frustração da execução; </w:t>
      </w:r>
      <w:r>
        <w:rPr>
          <w:rFonts w:ascii="Arial" w:hAnsi="Arial" w:cs="Arial"/>
          <w:b/>
          <w:i w:val="0"/>
          <w:sz w:val="28"/>
        </w:rPr>
        <w:t>6)</w:t>
      </w:r>
      <w:r>
        <w:rPr>
          <w:rFonts w:ascii="Arial" w:hAnsi="Arial" w:cs="Arial"/>
          <w:b w:val="0"/>
          <w:i w:val="0"/>
          <w:sz w:val="28"/>
        </w:rPr>
        <w:t xml:space="preserve"> o perigo de dano reside no risco de esvaziamento patrimonial e de configuração da prescrição intercorrente (ID 86823112).</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a reforma da r. decisão agravada para que seja determinada a pesquisa de bens do executado via SERP-JUD.</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Com razão.</w:t>
      </w:r>
    </w:p>
    <w:p>
      <w:pPr>
        <w:spacing w:line="360" w:lineRule="auto" w:after="0"/>
        <w:ind w:firstLine="2268"/>
      </w:pPr>
      <w:r>
        <w:rPr>
          <w:sz w:val="28"/>
        </w:rPr>
      </w:r>
    </w:p>
    <w:p>
      <w:pPr>
        <w:spacing w:line="360" w:lineRule="auto" w:after="0" w:before="0"/>
        <w:ind w:firstLine="2268"/>
        <w:jc w:val="both"/>
      </w:pPr>
      <w:commentRangeStart w:id="4"/>
      <w:r>
        <w:rPr>
          <w:rFonts w:ascii="Arial" w:hAnsi="Arial" w:cs="Arial"/>
          <w:b w:val="0"/>
          <w:i w:val="0"/>
          <w:sz w:val="28"/>
        </w:rPr>
        <w:t>Mantenho as razões expostas na decisão que deferiu a antecipação da tutela recursal (ID 86923009):</w:t>
      </w:r>
      <w:commentRangeEnd w:id="4"/>
      <w:r>
        <w:rPr>
          <w:rStyle w:val="CommentReference"/>
        </w:rPr>
        <w:commentReference w:id="4"/>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“Com razão, inicialmente, o agravante.</w:t>
      </w:r>
    </w:p>
    <w:p>
      <w:pPr>
        <w:spacing w:line="360" w:lineRule="auto" w:after="0" w:before="0"/>
        <w:ind w:firstLine="1134" w:left="2268"/>
        <w:jc w:val="both"/>
      </w:pPr>
      <w:r>
        <w:rPr>
          <w:rFonts w:ascii="Arial" w:hAnsi="Arial" w:cs="Arial"/>
          <w:b w:val="0"/>
          <w:i/>
          <w:sz w:val="26"/>
        </w:rPr>
        <w:t>Vislumbro a probabilidade do direito alegado, ao menos nesta sede de cognição sumária.</w:t>
      </w:r>
    </w:p>
    <w:p>
      <w:pPr>
        <w:spacing w:line="360" w:lineRule="auto" w:after="0" w:before="0"/>
        <w:ind w:firstLine="1134" w:left="2268"/>
        <w:jc w:val="both"/>
      </w:pPr>
      <w:r>
        <w:rPr>
          <w:rFonts w:ascii="Arial" w:hAnsi="Arial" w:cs="Arial"/>
          <w:b w:val="0"/>
          <w:i/>
          <w:sz w:val="26"/>
        </w:rPr>
        <w:t>Isso porque a pesquisa no sistema SERP-JUD se afigura medida idônea e eficaz para localização de bens do devedor, por permitir consulta unificada a registros civis, imobiliários e de títulos e documentos em todo o território nacional.</w:t>
      </w:r>
    </w:p>
    <w:p>
      <w:pPr>
        <w:spacing w:line="360" w:lineRule="auto" w:after="0" w:before="0"/>
        <w:ind w:firstLine="1134" w:left="2268"/>
        <w:jc w:val="both"/>
      </w:pPr>
      <w:r>
        <w:rPr>
          <w:rFonts w:ascii="Arial" w:hAnsi="Arial" w:cs="Arial"/>
          <w:b w:val="0"/>
          <w:i/>
          <w:sz w:val="26"/>
        </w:rPr>
        <w:t>Nesse sentido:</w:t>
      </w:r>
    </w:p>
    <w:p>
      <w:pPr>
        <w:spacing w:line="360" w:lineRule="auto" w:after="0" w:before="0"/>
        <w:ind w:firstLine="0" w:left="3402"/>
        <w:jc w:val="both"/>
      </w:pPr>
      <w:r>
        <w:rPr>
          <w:rFonts w:ascii="Arial" w:hAnsi="Arial" w:cs="Arial"/>
          <w:b w:val="0"/>
          <w:i/>
          <w:sz w:val="26"/>
        </w:rPr>
        <w:t>‘(...) 2. O Sistema Eletrônico dos Registros Públicos do Poder Judiciário - SERP-JUD, em funcionamento desde abril de 2024, é o módulo exclusivo de comunicação do Poder Judiciário e dos Órgãos da Administração Pública com o Sistema Eletrônico dos Registros Públicos (SERP), e institui uma plataforma única de acesso aos serviços dos registros públicos brasileiros (registro civil, de imóveis e de títulos e documentos e pessoas jurídicas).</w:t>
      </w:r>
    </w:p>
    <w:p>
      <w:pPr>
        <w:spacing w:line="360" w:lineRule="auto" w:after="0" w:before="0"/>
        <w:ind w:firstLine="0" w:left="3402"/>
        <w:jc w:val="both"/>
      </w:pPr>
      <w:r>
        <w:rPr>
          <w:rFonts w:ascii="Arial" w:hAnsi="Arial" w:cs="Arial"/>
          <w:b w:val="0"/>
          <w:i/>
          <w:sz w:val="26"/>
        </w:rPr>
        <w:t>3. Na hipótese, diante da dificuldade enfrentada pelo credor em encontrar bens passíveis de penhora, revela-se pertinente a utilização do sistema SERP-JUD. (...)’ (Acórdão 1983548, 0751677-22.2024.8.07.0000, Relator(a): MAURICIO SILVA MIRANDA, 7ª TURMA CÍVEL, data de julgamento: 26/03/2025, publicado no DJe: 08/04/2025.) – Grifei.</w:t>
      </w:r>
    </w:p>
    <w:p>
      <w:pPr>
        <w:spacing w:line="360" w:lineRule="auto" w:after="0" w:before="0"/>
        <w:ind w:firstLine="0" w:left="3402"/>
        <w:jc w:val="both"/>
      </w:pPr>
      <w:r>
        <w:rPr>
          <w:rFonts w:ascii="Arial" w:hAnsi="Arial" w:cs="Arial"/>
          <w:b w:val="0"/>
          <w:i/>
          <w:sz w:val="26"/>
        </w:rPr>
        <w:t>‘(...) 3. O SERP-JUD, instituído pela Lei nº 14.382/2022 e regulamentado por atos do CNJ, constitui ferramenta adequada e disponível ao Poder Judiciário para consulta de bens móveis e imóveis, permitindo maior efetividade na satisfação do crédito. (...)’ (Acórdão 2125505, 0708227-58.2026.8.07.0000, Relator(a): CARLOS PIRES SOARES NETO, 1ª TURMA CÍVEL, data de julgamento: 13/05/2026, publicado no DJe: 28/05/2026.)</w:t>
      </w:r>
    </w:p>
    <w:p>
      <w:pPr>
        <w:spacing w:line="360" w:lineRule="auto" w:after="0" w:before="0"/>
        <w:ind w:firstLine="1134" w:left="2268"/>
        <w:jc w:val="both"/>
      </w:pPr>
      <w:r>
        <w:rPr>
          <w:rFonts w:ascii="Arial" w:hAnsi="Arial" w:cs="Arial"/>
          <w:b w:val="0"/>
          <w:i/>
          <w:sz w:val="26"/>
        </w:rPr>
        <w:t>A urgência reside no fato de que a postergação da realização das pesquisas patrimoniais até o julgamento definitivo do agravo compromete diretamente o resultado útil do processo, pois bens e ativos financeiros possuem natureza dinâmica, sendo passíveis de rápida movimentação, transferência ou dissipação, especialmente quando o devedor tem ciência da execução e da inexistência de constrições em curso.</w:t>
      </w:r>
    </w:p>
    <w:p>
      <w:pPr>
        <w:spacing w:line="360" w:lineRule="auto" w:after="0" w:before="0"/>
        <w:ind w:firstLine="1134" w:left="2268"/>
        <w:jc w:val="both"/>
      </w:pPr>
      <w:r>
        <w:rPr>
          <w:rFonts w:ascii="Arial" w:hAnsi="Arial" w:cs="Arial"/>
          <w:b w:val="0"/>
          <w:i/>
          <w:sz w:val="26"/>
        </w:rPr>
        <w:t>A demora na adoção das medidas requeridas, portanto, favorece a consolidação de um estado de insolvência aparente, tornando ainda mais difícil a satisfação do crédito exequendo.” (ID 86923009)</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sz w:val="28"/>
        </w:rPr>
        <w:t>No mais, o c. STJ, no julgamento do REsp n. 2.226.101/SC, firmou a seguinte orientação (Informativo n. 884):</w:t>
      </w:r>
      <w:commentRangeEnd w:id="5"/>
      <w:r>
        <w:rPr>
          <w:rStyle w:val="CommentReference"/>
        </w:rPr>
        <w:commentReference w:id="5"/>
      </w:r>
    </w:p>
    <w:p>
      <w:pPr>
        <w:spacing w:line="360" w:lineRule="auto" w:after="0"/>
        <w:ind w:firstLine="2268"/>
      </w:pPr>
      <w:r>
        <w:rPr>
          <w:sz w:val="28"/>
        </w:rPr>
      </w:r>
    </w:p>
    <w:p>
      <w:pPr>
        <w:spacing w:line="360" w:lineRule="auto" w:after="0" w:before="0"/>
        <w:ind w:left="2268"/>
        <w:jc w:val="both"/>
      </w:pPr>
      <w:r>
        <w:rPr>
          <w:rFonts w:ascii="Arial" w:hAnsi="Arial" w:cs="Arial"/>
          <w:b w:val="0"/>
          <w:i/>
          <w:sz w:val="26"/>
        </w:rPr>
        <w:t xml:space="preserve">“É possível a utilização do sistema SERP-JUD para pesquisa e determinação de medidas constritivas sobre bens e direitos dos devedores em processos de execução, desde que haja ordem judicial devidamente fundamentada, </w:t>
      </w:r>
      <w:r>
        <w:rPr>
          <w:rFonts w:ascii="Arial" w:hAnsi="Arial" w:cs="Arial"/>
          <w:b w:val="0"/>
          <w:i/>
          <w:sz w:val="26"/>
          <w:u w:val="single"/>
        </w:rPr>
        <w:t>dispensando o esgotamento de diligências extrajudiciais</w:t>
      </w:r>
      <w:r>
        <w:rPr>
          <w:rFonts w:ascii="Arial" w:hAnsi="Arial" w:cs="Arial"/>
          <w:b w:val="0"/>
          <w:i/>
          <w:sz w:val="26"/>
        </w:rPr>
        <w:t>.” (REsp n. 2.226.101/SC, Quarta Turma, julgado em 7/4/2026.) – Grifei</w:t>
      </w:r>
    </w:p>
    <w:p>
      <w:pPr>
        <w:spacing w:line="360" w:lineRule="auto" w:after="0"/>
        <w:ind w:firstLine="2268"/>
      </w:pPr>
      <w:r>
        <w:rPr>
          <w:sz w:val="28"/>
        </w:rPr>
      </w:r>
    </w:p>
    <w:p>
      <w:pPr>
        <w:spacing w:line="360" w:lineRule="auto" w:after="0" w:before="0"/>
        <w:ind w:firstLine="2268"/>
        <w:jc w:val="both"/>
      </w:pPr>
      <w:commentRangeStart w:id="6"/>
      <w:r>
        <w:rPr>
          <w:rFonts w:ascii="Arial" w:hAnsi="Arial" w:cs="Arial"/>
          <w:b w:val="0"/>
          <w:i w:val="0"/>
          <w:sz w:val="28"/>
        </w:rPr>
        <w:t>Por outro lado, a ausência de hipossuficiência do exequente e a incidência de emolumentos não impedem a pesquisa pelo SERP-JUD, pois o custo pode ser exigido da parte no momento oportuno. Nesse sentido:</w:t>
      </w:r>
      <w:commentRangeEnd w:id="6"/>
      <w:r>
        <w:rPr>
          <w:rStyle w:val="CommentReference"/>
        </w:rPr>
        <w:commentReference w:id="6"/>
      </w:r>
    </w:p>
    <w:p>
      <w:pPr>
        <w:spacing w:line="360" w:lineRule="auto" w:after="0"/>
        <w:ind w:firstLine="2268"/>
      </w:pPr>
      <w:r>
        <w:rPr>
          <w:sz w:val="28"/>
        </w:rPr>
      </w:r>
    </w:p>
    <w:p>
      <w:pPr>
        <w:spacing w:line="360" w:lineRule="auto" w:after="0" w:before="0"/>
        <w:ind w:left="2268"/>
        <w:jc w:val="both"/>
      </w:pPr>
      <w:r>
        <w:rPr>
          <w:rFonts w:ascii="Arial" w:hAnsi="Arial" w:cs="Arial"/>
          <w:b w:val="0"/>
          <w:i/>
          <w:sz w:val="26"/>
        </w:rPr>
        <w:t>“A existência de eventual custo decorrente dos emolumentos cartorários não constitui impedimento ao deferimento da medida judicialmente requerida, podendo seu recolhimento ser exigido da parte autora no momento oportuno.” (Processo 0744294-56.2025.8.07.0000, Relator(a): AISTON HENRIQUE DE SOUSA, 4ª TURMA CÍVEL, data de julgamento: 22/01/2026.) – Grifei</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Assim, a possibilidade de o credor realizar a diligência diretamente junto às serventias, às suas expensas, e a ausência de hipossuficiência não afastam a pesquisa pelo SERP-JUD, determinada por ordem judicial fundamentada.</w:t>
      </w:r>
    </w:p>
    <w:p>
      <w:pPr>
        <w:spacing w:line="360" w:lineRule="auto" w:after="0"/>
        <w:ind w:firstLine="2268"/>
      </w:pPr>
      <w:r>
        <w:rPr>
          <w:sz w:val="28"/>
        </w:rPr>
      </w:r>
    </w:p>
    <w:p>
      <w:pPr>
        <w:spacing w:line="360" w:lineRule="auto" w:after="0" w:before="0"/>
        <w:ind w:firstLine="2268"/>
        <w:jc w:val="both"/>
      </w:pPr>
      <w:commentRangeStart w:id="7"/>
      <w:r>
        <w:rPr>
          <w:rFonts w:ascii="Arial" w:hAnsi="Arial" w:cs="Arial"/>
          <w:b w:val="0"/>
          <w:i w:val="0"/>
          <w:sz w:val="28"/>
        </w:rPr>
        <w:t xml:space="preserve">Dito isso, e não havendo alteração do quadro fático-jurídico delineado nos autos, com a máxima vênia ao d. Juízo de origem, </w:t>
      </w:r>
      <w:r>
        <w:rPr>
          <w:rFonts w:ascii="Arial" w:hAnsi="Arial" w:cs="Arial"/>
          <w:b w:val="0"/>
          <w:i w:val="0"/>
          <w:sz w:val="28"/>
          <w:highlight w:val="yellow"/>
        </w:rPr>
        <w:t>deve ser reformada a r. decisão agravada para determinar a pesquisa de bens do executado no sistema SERP-JUD</w:t>
      </w:r>
      <w:r>
        <w:rPr>
          <w:rFonts w:ascii="Arial" w:hAnsi="Arial" w:cs="Arial"/>
          <w:b w:val="0"/>
          <w:i w:val="0"/>
          <w:sz w:val="28"/>
        </w:rPr>
        <w:t>.</w:t>
      </w:r>
      <w:commentRangeEnd w:id="7"/>
      <w:r>
        <w:rPr>
          <w:rStyle w:val="CommentReference"/>
        </w:rPr>
        <w:commentReference w:id="7"/>
      </w:r>
    </w:p>
    <w:p>
      <w:pPr>
        <w:spacing w:line="360" w:lineRule="auto" w:after="0"/>
        <w:ind w:firstLine="2268"/>
      </w:pPr>
      <w:r>
        <w:rPr>
          <w:sz w:val="28"/>
        </w:rPr>
      </w:r>
    </w:p>
    <w:p>
      <w:pPr>
        <w:keepNext/>
        <w:spacing w:line="360" w:lineRule="auto" w:after="0" w:before="0"/>
        <w:jc w:val="center"/>
      </w:pPr>
      <w:r>
        <w:rPr>
          <w:rFonts w:ascii="Arial" w:hAnsi="Arial" w:cs="Arial"/>
          <w:b/>
          <w:i w:val="0"/>
          <w:sz w:val="28"/>
        </w:rPr>
        <w:t>DISPOSITIVO</w:t>
      </w:r>
    </w:p>
    <w:p>
      <w:pPr>
        <w:spacing w:line="360" w:lineRule="auto" w:after="0"/>
        <w:ind w:firstLine="2268"/>
      </w:pPr>
      <w:r>
        <w:rPr>
          <w:sz w:val="28"/>
        </w:rPr>
      </w:r>
    </w:p>
    <w:p>
      <w:pPr>
        <w:spacing w:line="360" w:lineRule="auto" w:after="0" w:before="0"/>
        <w:ind w:firstLine="2268"/>
        <w:jc w:val="both"/>
      </w:pPr>
      <w:commentRangeStart w:id="8"/>
      <w:r>
        <w:rPr>
          <w:rFonts w:ascii="Arial" w:hAnsi="Arial" w:cs="Arial"/>
          <w:b w:val="0"/>
          <w:i w:val="0"/>
          <w:sz w:val="28"/>
        </w:rPr>
        <w:t xml:space="preserve">Ante o exposto, reiteradas as vênias, </w:t>
      </w:r>
      <w:r>
        <w:rPr>
          <w:rFonts w:ascii="Arial" w:hAnsi="Arial" w:cs="Arial"/>
          <w:b/>
          <w:i w:val="0"/>
          <w:sz w:val="28"/>
        </w:rPr>
        <w:t>dou provimento</w:t>
      </w:r>
      <w:r>
        <w:rPr>
          <w:rFonts w:ascii="Arial" w:hAnsi="Arial" w:cs="Arial"/>
          <w:b w:val="0"/>
          <w:i w:val="0"/>
          <w:sz w:val="28"/>
        </w:rPr>
        <w:t xml:space="preserve"> ao agravo de instrumento do exequente, Marcello Henrique Rodrigues Silva, para, confirmando a liminar, determinar a pesquisa de bens do executado no sistema SERP-JUD.</w:t>
      </w:r>
      <w:commentRangeEnd w:id="8"/>
      <w:r>
        <w:rPr>
          <w:rStyle w:val="CommentReference"/>
        </w:rPr>
        <w:commentReference w:id="8"/>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como voto.</w:t>
      </w:r>
    </w:p>
    <w:p>
      <w:pPr>
        <w:spacing w:line="360" w:lineRule="auto" w:after="0"/>
        <w:ind w:firstLine="2268"/>
      </w:pPr>
      <w:r>
        <w:rPr>
          <w:sz w:val="28"/>
        </w:rPr>
      </w:r>
    </w:p>
    <w:p>
      <w:pPr>
        <w:spacing w:line="360" w:lineRule="auto" w:after="0" w:before="0"/>
        <w:jc w:val="center"/>
      </w:pPr>
      <w:commentRangeStart w:id="9"/>
      <w:r>
        <w:rPr>
          <w:rFonts w:ascii="Arial" w:hAnsi="Arial" w:cs="Arial"/>
          <w:b/>
          <w:i w:val="0"/>
          <w:color w:val="00B050"/>
          <w:sz w:val="22"/>
        </w:rPr>
        <w:t>DECISÃO INTERLOCUTÓRIA (ID 278321327)</w:t>
      </w:r>
      <w:commentRangeEnd w:id="9"/>
      <w:r>
        <w:rPr>
          <w:rStyle w:val="CommentReference"/>
        </w:rPr>
        <w:commentReference w:id="9"/>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Formulou a parte exequente pedido voltado à realização de pesquisa ao SERP-JUD, com vistas à localização de bens imóveis do executado.</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O Sistema Eletrônico dos Registros Públicos (Serp), estatuído pela Lei nº 14.382/2022, cujo escopo consistiu em modernizar e simplificar os procedimentos relativos aos registros públicos de atos e negócios jurídicos, de que trata a Lei n. 6.015/73 (Lei de Registros Públicos), e de incorporações imobiliárias, de que trata a Lei nº 4.591/64, compreende uma plataforma digital que conecta todas as serventias de registros públicos e suas informações numa única rede, configurando, desse modo, um sistema de registro unificado.</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Tal plataforma exigiu para a sua implantação, manutenção e funcionamento, a constituição de um Operador Nacional (ONSERP), o qual, consoante o disposto no art. 213, do Provimento nº 149/2023, da Corregedoria do Conselho Nacional de Justiça, deveria ser integrado pelo Operador Nacional do Registro Eletrônico de Imóveis, já existente, bem como pelos operadores dos demais registros, a serem criados (ON-RCPN e ON-RTDPJ).</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Trata-se, portanto, de uma ferramenta que pretende, por meio da interconexão entre as serventias e da interoperabilidade entre seu banco de dados, fornecer, através dos sistemas já desenvolvidos pelos registradores públicos (CRC, SAEC, PENHORA ONLINE, CNIB, CENTRAL RTDPJ), uma informação única, proporcionando, assim, comodidade, agilidade, transparência, sem, contudo, dispensar o recolhimento dos emolumentos necessários.</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O Serp-Jud, a seu turno, corresponde ao primeiro módulo do Serp, cuja utilização destina-se ao Poder Judiciário e aos órgãos da Administração Pública.</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Prestado o devido esclarecimento, INDEFIRO o pedido voltado à pesquisa, no interesse exclusivo da parte credora e com a utilização de recursos humanos do Poder Judiciário, de bens imóveis do devedor, por meio da supracitada plataforma, porquanto cabe à referida parte, que não figura como hipossuficiente na presente demanda, promover a pesquisa junto às serventias de registros públicos, às suas expensas e com seus próprios recursos.</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A sentença anexada em ID 269424769 possui erro material. Sua cópia deve ser trasladada para os autos do cumprimento de sentença de n. 0727195-41.2023, e não para o presente.</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Verifique-se se é necessário trasladar para o processo correto, fazendo-o se necessário. Quanto a este, para que se evite tumulto posterior, desentranhe-se os documentos de IDs 269424769 e 269424778.</w:t>
      </w:r>
    </w:p>
    <w:p>
      <w:pPr>
        <w:spacing w:line="360" w:lineRule="auto" w:after="0"/>
        <w:ind w:firstLine="2268"/>
      </w:pPr>
      <w:r>
        <w:rPr>
          <w:sz w:val="28"/>
        </w:rPr>
      </w:r>
    </w:p>
    <w:p>
      <w:pPr>
        <w:spacing w:line="360" w:lineRule="auto" w:after="0" w:before="0"/>
        <w:jc w:val="both"/>
      </w:pPr>
      <w:r>
        <w:rPr>
          <w:rFonts w:ascii="Arial" w:hAnsi="Arial" w:cs="Arial"/>
          <w:b w:val="0"/>
          <w:i w:val="0"/>
          <w:color w:val="00B050"/>
          <w:sz w:val="22"/>
        </w:rPr>
        <w:t>Retornem o processo ao arquivo provisório, até 01/06/2031, a fim de que se aguarde o transcurso do prazo prescricional, facultando-se o desarquivamento para prosseguimento do cumprimento de sentença a qualquer tempo, se forem encontrados bens penhoráveis. Não haverá mais interrupção do prazo, tendo em conta a pesquisa frutífera de ID 270463690, que causou a interrupção do prazo prescricional, voltando a correr com a pesquisa infrutífera de ID 278142028.</w:t>
      </w:r>
    </w:p>
    <w:p>
      <w:pPr>
        <w:spacing w:line="360" w:lineRule="auto" w:after="0"/>
        <w:ind w:firstLine="2268"/>
      </w:pPr>
      <w:r>
        <w:rPr>
          <w:sz w:val="28"/>
        </w:rPr>
      </w:r>
    </w:p>
    <w:p>
      <w:pPr>
        <w:spacing w:line="360" w:lineRule="auto" w:after="0" w:before="0"/>
        <w:jc w:val="center"/>
      </w:pPr>
      <w:r>
        <w:rPr>
          <w:rFonts w:ascii="Arial" w:hAnsi="Arial" w:cs="Arial"/>
          <w:b/>
          <w:i w:val="0"/>
          <w:color w:val="00B050"/>
          <w:sz w:val="22"/>
        </w:rPr>
        <w:t>BRASÍLIA, DF, 19 de junho de 2026 08:32:00.</w:t>
      </w:r>
    </w:p>
    <w:p>
      <w:pPr>
        <w:spacing w:line="360" w:lineRule="auto" w:after="0"/>
        <w:ind w:firstLine="2268"/>
      </w:pPr>
      <w:r>
        <w:rPr>
          <w:sz w:val="28"/>
        </w:rPr>
      </w:r>
    </w:p>
    <w:p>
      <w:pPr>
        <w:spacing w:line="360" w:lineRule="auto" w:after="0" w:before="0"/>
        <w:jc w:val="center"/>
      </w:pPr>
      <w:r>
        <w:rPr>
          <w:rFonts w:ascii="Arial" w:hAnsi="Arial" w:cs="Arial"/>
          <w:b/>
          <w:i w:val="0"/>
          <w:color w:val="00B050"/>
          <w:sz w:val="22"/>
        </w:rPr>
        <w:t>LEANDRO BORGES DE FIGUEIREDO</w:t>
      </w:r>
    </w:p>
    <w:p>
      <w:pPr>
        <w:spacing w:line="360" w:lineRule="auto" w:after="0"/>
        <w:ind w:firstLine="2268"/>
      </w:pPr>
      <w:r>
        <w:rPr>
          <w:sz w:val="28"/>
        </w:rPr>
      </w:r>
    </w:p>
    <w:p>
      <w:pPr>
        <w:spacing w:line="360" w:lineRule="auto" w:after="0" w:before="0"/>
        <w:jc w:val="center"/>
      </w:pPr>
      <w:r>
        <w:rPr>
          <w:rFonts w:ascii="Arial" w:hAnsi="Arial" w:cs="Arial"/>
          <w:b/>
          <w:i w:val="0"/>
          <w:color w:val="00B050"/>
          <w:sz w:val="22"/>
        </w:rPr>
        <w:t>Juiz de Direito</w:t>
      </w:r>
    </w:p>
    <w:p>
      <w:pPr>
        <w:spacing w:line="360" w:lineRule="auto" w:after="0"/>
        <w:ind w:firstLine="2268"/>
      </w:pPr>
      <w:r>
        <w:rPr>
          <w:sz w:val="28"/>
        </w:rPr>
      </w:r>
    </w:p>
    <w:p>
      <w:pPr>
        <w:keepNext/>
        <w:spacing w:line="360" w:lineRule="auto" w:after="0" w:before="0"/>
        <w:jc w:val="center"/>
      </w:pPr>
      <w:commentRangeStart w:id="10"/>
      <w:r>
        <w:rPr>
          <w:rFonts w:ascii="Arial" w:hAnsi="Arial" w:cs="Arial"/>
          <w:b/>
          <w:i w:val="0"/>
          <w:color w:val="800080"/>
          <w:sz w:val="28"/>
        </w:rPr>
        <w:t>PRECEDENTES CONTRÁRIOS AO VOTO</w:t>
      </w:r>
      <w:commentRangeEnd w:id="10"/>
      <w:r>
        <w:rPr>
          <w:rStyle w:val="CommentReference"/>
        </w:rPr>
        <w:commentReference w:id="10"/>
      </w:r>
    </w:p>
    <w:p>
      <w:pPr>
        <w:spacing w:line="360" w:lineRule="auto" w:after="0"/>
        <w:ind w:firstLine="2268"/>
      </w:pPr>
      <w:r>
        <w:rPr>
          <w:sz w:val="28"/>
        </w:rPr>
      </w:r>
    </w:p>
    <w:p>
      <w:pPr>
        <w:spacing w:line="360" w:lineRule="auto" w:after="0" w:before="0"/>
        <w:ind w:left="2268"/>
        <w:jc w:val="both"/>
      </w:pPr>
      <w:r>
        <w:rPr>
          <w:rFonts w:ascii="Arial" w:hAnsi="Arial" w:cs="Arial"/>
          <w:b w:val="0"/>
          <w:i/>
          <w:color w:val="800080"/>
          <w:sz w:val="26"/>
        </w:rPr>
        <w:t>“DIREITO PROCESSUAL CIVIL. AGRAVO DE INSTRUMENTO. EXECUÇÃO DE TÍTULO JUDICIAL. PESQUISA PATRIMONIAL. SISTEMA SERP-JUD. INDEFERIMENTO DE DILIGÊNCIA. RECURSO DESPROVIDO. I. CASO EM EXAME 1. Agravo de instrumento interposto contra decisão que indeferiu pedido de utilização do Sistema Eletrônico de Registros Públicos (SERP-JUD) para pesquisa de bens penhoráveis em nome da parte executada, no âmbito de cumprimento de sentença. O agravante defende que a medida é necessária à efetividade da execução e sustenta tratar-se de ferramenta disponível exclusivamente ao Judiciário. Requereu, ainda, a manutenção da decisão liminar que havia deferido a tutela recursal. II. QUESTÃO EM DISCUSSÃO 2. Há duas questões em discussão: (i) definir se é cabível a utilização do SERP-JUD para fins de pesquisa patrimonial em sede de execução; (ii) estabelecer se compete ao Judiciário promover diretamente essa diligência, ainda que a parte tenha acesso a outros meios autônomos de consulta, como o SREI. III. RAZÕES DE DECIDIR 3. O processo judicial rege-se pelo princípio da cooperação (CPC, art. 6º), impondo a todos os sujeitos processuais o dever de colaborar para alcançar uma decisão justa, em tempo razoável. No entanto, subsiste o princípio da inércia, que impõe às partes o ônus de impulsionar o feito, inclusive com a indicação de bens à penhora (CPC, art. 798, II, c). 4. O Sistema de Registro Eletrônico de Imóveis (SREI), regulamentado pela Lei nº 13.465/2017 e pela Resolução CNJ nº 393/2024, permite a busca de bens imóveis por CPF/CNPJ e está disponível às partes, mediante o pagamento dos custos correspondentes, não se justificando a atuação supletiva do Judiciário para promover diligência acessível diretamente ao exequente. 5. O SERP-JUD, instituído pela Lei nº 14.382/2022 e regulamentado pelo CNJ, constitui módulo exclusivo de uso do Poder Judiciário e da administração pública para acesso aos serviços dos registros públicos, não estando previsto, em sua regulamentação, como ferramenta destinada à pesquisa de bens penhoráveis pelas partes. A jurisprudência da Turma reconhece que o SERP-JUD não tem essa finalidade. 6. A atuação judicial deve ser reservada às hipóteses em que a obtenção das informações seja excessivamente onerosa ou inviável pelas vias ordinárias, o que não se verifica no caso, diante da possibilidade de uso do SREI pelo agravante. 7. Precedentes desta Turma reiteram que o indeferimento da diligência via SERP-JUD está em conformidade com a legalidade e a racionalidade da atividade jurisdicional executiva. IV. DISPOSITIVO E TESE 8. Recurso desprovido. Tese de julgamento: 1. A utilização do sistema SERP-JUD não se destina à pesquisa de bens penhoráveis em sede de execução judicial. 2. O credor deve promover diligências patrimoniais por meio dos instrumentos disponíveis diretamente às partes, como o SREI, arcando com os respectivos custos. 3. A atuação supletiva do Judiciário na busca de bens é excepcional e depende da demonstração de inviabilidade de acesso por outros meios. Dispositivos relevantes citados: CPC, arts. 6º e 798, II, c; Lei nº 13.465/2017, art. 76; Lei nº 14.382/2022. Jurisprudência relevante citada: TJDFT, Acórdão 2058181, 0736396-26.2024.8.07.0000, Rel. Des. James Eduardo Oliveira, 4ª Turma Cível, j. 16/10/2025, DJe 26/11/2025.”</w:t>
      </w:r>
    </w:p>
    <w:p>
      <w:pPr>
        <w:spacing w:line="360" w:lineRule="auto" w:after="0" w:before="0"/>
        <w:ind w:left="2268"/>
        <w:jc w:val="both"/>
      </w:pPr>
      <w:r>
        <w:rPr>
          <w:rFonts w:ascii="Arial" w:hAnsi="Arial" w:cs="Arial"/>
          <w:b w:val="0"/>
          <w:i/>
          <w:color w:val="800080"/>
          <w:sz w:val="26"/>
        </w:rPr>
        <w:t>(Processo 0746612-12.2025.8.07.0000, Relator(a): AISTON HENRIQUE DE SOUSA, 4ª TURMA CÍVEL, data de julgamento: 12/02/2026.)</w:t>
      </w:r>
    </w:p>
    <w:p>
      <w:pPr>
        <w:spacing w:line="360" w:lineRule="auto" w:after="0"/>
        <w:ind w:firstLine="2268"/>
      </w:pPr>
      <w:r>
        <w:rPr>
          <w:sz w:val="28"/>
        </w:rPr>
      </w:r>
    </w:p>
    <w:p>
      <w:pPr>
        <w:spacing w:line="360" w:lineRule="auto" w:after="0" w:before="0"/>
        <w:ind w:left="2268"/>
        <w:jc w:val="both"/>
      </w:pPr>
      <w:r>
        <w:rPr>
          <w:rFonts w:ascii="Arial" w:hAnsi="Arial" w:cs="Arial"/>
          <w:b w:val="0"/>
          <w:i/>
          <w:color w:val="800080"/>
          <w:sz w:val="26"/>
        </w:rPr>
        <w:t>“Ementa: Direito processual civil. Agravo de instrumento. Execução de título extrajudicial. Consulta ao Serp-Jud. Localização de bens. Ônus do Exequente. Recurso desprovido. I. Caso em exame 1. Agravo de instrumento interposto contra decisão que indeferiu o pedido de consulta ao sistema Serp-Jud. II. Questão em discussão 2. A questão em discussão consiste em determinar se é cabível a consulta ao sistema Serp-Jud para localização de bens do executado. III. Razões de decidir 3. O Sistema Serp-Jud, destinado ao Poder Judiciário e aos órgãos da Administração Pública, possui recursos amplos, como a possibilidade de decretação de indisponibilidade e penhora, que somente podem ser utilizados pelo Judiciário como medida excepcional. 4. O acesso aos dados contidos no Serp-Jud não é reservado ao âmbito do Judiciário, podendo ser consultado pelas partes interessadas mediante pagamento dos encargos necessários. IV. Dispositivo 5. Recurso não provido. ___________ Dispositivo relevante: CPC, art. 797. Jurisprudência relevante citada; TJDFT, AGI 0745520-33.2024.8.07.0000, Rel. Des. Ana Cantarino, 5ª Turma Cível, j. 20.02.2025.”</w:t>
      </w:r>
    </w:p>
    <w:p>
      <w:pPr>
        <w:spacing w:line="360" w:lineRule="auto" w:after="0" w:before="0"/>
        <w:ind w:left="2268"/>
        <w:jc w:val="both"/>
      </w:pPr>
      <w:r>
        <w:rPr>
          <w:rFonts w:ascii="Arial" w:hAnsi="Arial" w:cs="Arial"/>
          <w:b w:val="0"/>
          <w:i/>
          <w:color w:val="800080"/>
          <w:sz w:val="26"/>
        </w:rPr>
        <w:t>(Processo 0728011-55.2025.8.07.0000, Relator(a): JANSEN FIALHO DE ALMEIDA, 4ª TURMA CÍVEL, data de julgamento: 25/09/2025.)</w:t>
      </w:r>
    </w:p>
    <w:sectPr w:rsidR="007E1C8C">
      <w:footerReference w:type="default" r:id="rId15"/>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sessor GDSXSR" w:initials="AG" w:date="2026-10-30T20:45:47Z">
    <w:p>
      <w:pPr>
        <w:pStyle w:val="CommentText"/>
      </w:pPr>
      <w:r>
        <w:rPr>
          <w:rStyle w:val="CommentReference"/>
        </w:rPr>
        <w:annotationRef/>
      </w:r>
      <w:r>
        <w:t>MINUTA GDSXSR — Voto do zero (AGI, tutela recursal deferida; matéria com divergência interna na 4ª TCiv). Modelos consultados: AGI 0756064-46, 0709618-48 e 0712904-34 (DP, pesquisa patrimonial; nível 1) para a cadência, e AGI 0714073-56 (voto do zero aprovado por Marcos, liminar confirmada) para a estrutura. Calibrações: C-17, C-3C, C-3D, C-3E, C-3H, C-3S, C-3T, C-3W. Não há modelo da pasta com SERP-JUD; a forma é a dos modelos de pesquisa patrimonial, e o conteúdo vem da liminar (ID 86923009), do agravo (ID 86823112) e do iajus. Orientação C-73: matéria controvertida na Turma indica o modelo mais forte; esta minuta foi feita com o modelo atual da thread, e Marcos decide se quer refazê-la com o mais forte. Ao final, depois da decisão agravada (verde), vai o bloco violeta com os precedentes contrários (C-46, C-53).</w:t>
      </w:r>
    </w:p>
  </w:comment>
  <w:comment w:id="1" w:author="Assessor GDSXSR" w:initials="AG" w:date="2026-10-30T20:45:47Z">
    <w:p>
      <w:pPr>
        <w:pStyle w:val="CommentText"/>
      </w:pPr>
      <w:r>
        <w:rPr>
          <w:rStyle w:val="CommentReference"/>
        </w:rPr>
        <w:annotationRef/>
      </w:r>
      <w:r>
        <w:t>MINUTA GDSXSR — Resumo da decisão agravada (C-39), em vermelho, feito com a decisão integral (ID 278321327, do processo de origem, 19/06/2026), que consta ao final em verde.</w:t>
      </w:r>
    </w:p>
  </w:comment>
  <w:comment w:id="2" w:author="Assessor GDSXSR" w:initials="AG" w:date="2026-10-30T20:45:47Z">
    <w:p>
      <w:pPr>
        <w:pStyle w:val="CommentText"/>
      </w:pPr>
      <w:r>
        <w:rPr>
          <w:rStyle w:val="CommentReference"/>
        </w:rPr>
        <w:annotationRef/>
      </w:r>
      <w:r>
        <w:t>MINUTA GDSXSR — C-3S: relatório da liminar adotado, sem a frase final da liminar (“Com razão, inicialmente, o agravante.”), que é decisão (C-3S v46). Atos posteriores conferidos nos autos: liminar publicada no DJEN em 20/07/2026 (certidão ID 87041992) e prazo do agravado para contrarrazões decorrido em 13/08/2026 (certidão ID 88052449), sem contrarrazões.</w:t>
      </w:r>
    </w:p>
  </w:comment>
  <w:comment w:id="3" w:author="Assessor GDSXSR" w:initials="AG" w:date="2026-10-30T20:45:47Z">
    <w:p>
      <w:pPr>
        <w:pStyle w:val="CommentText"/>
      </w:pPr>
      <w:r>
        <w:rPr>
          <w:rStyle w:val="CommentReference"/>
        </w:rPr>
        <w:annotationRef/>
      </w:r>
      <w:r>
        <w:t>MINUTA GDSXSR — C-3T: admissibilidade direta. Preparo recolhido (certidão ID 86825152). Tempestividade: decisão disponibilizada no DJEN em 22/06/2026 e publicada em 23/06/2026; agravo protocolado em 15/07/2026. Tempestivo se o termo foi deslocado pela Portaria Conjunta 48/2026 (e 53/2026); conferir no site do TJDFT (C-52, C-24).</w:t>
      </w:r>
    </w:p>
  </w:comment>
  <w:comment w:id="4" w:author="Assessor GDSXSR" w:initials="AG" w:date="2026-10-30T20:45:47Z">
    <w:p>
      <w:pPr>
        <w:pStyle w:val="CommentText"/>
      </w:pPr>
      <w:r>
        <w:rPr>
          <w:rStyle w:val="CommentReference"/>
        </w:rPr>
        <w:annotationRef/>
      </w:r>
      <w:r>
        <w:t>MINUTA GDSXSR — Transcrição integral da fundamentação da liminar (ID 86923009), sem a parte dispositiva (C-17 v42). O PDF dos autos não traz o formato do original; o “– Grifei” foi mantido como está na liminar, mas os trechos sublinhados não foram reproduzidos. Reaplicar o grifo, se for o caso.</w:t>
      </w:r>
    </w:p>
  </w:comment>
  <w:comment w:id="5" w:author="Assessor GDSXSR" w:initials="AG" w:date="2026-10-30T20:45:47Z">
    <w:p>
      <w:pPr>
        <w:pStyle w:val="CommentText"/>
      </w:pPr>
      <w:r>
        <w:rPr>
          <w:rStyle w:val="CommentReference"/>
        </w:rPr>
        <w:annotationRef/>
      </w:r>
      <w:r>
        <w:t>MINUTA GDSXSR — C-17 e C-65: este parágrafo é o único enfrentamento além da liminar, porque a decisão agravada se apoia em fundamento que a liminar não examinou (o credor poderia fazer a pesquisa diretamente nas serventias, às suas expensas) e é o mesmo dos acórdãos contrários da Turma. Tese literal do Informativo STJ n. 884 (iajus: “É possível a utilização do sistema SERP-JUD para pesquisa e determinação de medidas constritivas sobre bens e direitos dos devedores em processos de execução, desde que haja ordem judicial devidamente fundamentada, dispensando o esgotamento de diligências extrajudiciais.”). Dados do julgado pendentes: ver comentário de pendências.</w:t>
      </w:r>
    </w:p>
  </w:comment>
  <w:comment w:id="6" w:author="Assessor GDSXSR" w:initials="AG" w:date="2026-10-30T20:45:47Z">
    <w:p>
      <w:pPr>
        <w:pStyle w:val="CommentText"/>
      </w:pPr>
      <w:r>
        <w:rPr>
          <w:rStyle w:val="CommentReference"/>
        </w:rPr>
        <w:annotationRef/>
      </w:r>
      <w:r>
        <w:t>MINUTA GDSXSR — C-67: acórdão da Turma que responde ao fundamento da decisão agravada (emolumentos e ausência de hipossuficiência). Item 6 da ementa transcrito do iajus. Número do acórdão e DJe a completar no JurisDF. Fato posterior: a pesquisa no SERP-JUD foi realizada na origem em 28/08/2026 (ID 288777231 e ID 288777233, do processo de origem); o resultado é imagem e não foi lido. O agravo não fica prejudicado, porque a liminar é provisória e o provimento confirma a medida.</w:t>
      </w:r>
    </w:p>
  </w:comment>
  <w:comment w:id="7" w:author="Assessor GDSXSR" w:initials="AG" w:date="2026-10-30T20:45:47Z">
    <w:p>
      <w:pPr>
        <w:pStyle w:val="CommentText"/>
      </w:pPr>
      <w:r>
        <w:rPr>
          <w:rStyle w:val="CommentReference"/>
        </w:rPr>
        <w:annotationRef/>
      </w:r>
      <w:r>
        <w:t>MINUTA GDSXSR — C-53 (divergência interna). Resultado mantido (DP, confirmando a liminar do Relator). Pesquisa no iajus (SERP-JUD, 4ª TCiv, 2025-2026): a favor, AGI 0726908-13 (Des. Sérgio Rocha, 22/01/2026), 0728956-42 (Des. Sérgio Rocha, 27/11/2025, parcial), 0724293-50 (Des. Sérgio Rocha, 02/10/2025), 0720382-30 (Des. Sérgio Rocha, 07/08/2025), 0744294-56 (Des. Aiston Henrique de Sousa, 22/01/2026), 0717054-92 (Des. Aiston, 31/07/2025) e 0706941-79 (Des. Aiston, 11/06/2025); contra (decisão agravada mantida porque o credor pode usar o SREI/pagar emolumentos), AGI 0746612-12 (Des. Aiston, 12/02/2026), 0728011-55 (Des. Jansen Fialho de Almeida, 25/09/2025) e 0711684-35 (Des. Jansen, 11/06/2025). A decisão agravada tem o mesmo fundamento dos acórdãos contrários; por isso o voto acrescenta o REsp 2.226.101/SC, que dispensa o esgotamento de diligências extrajudiciais, e leva os dois mais recentes ao bloco violeta final. Voto conforme entendimento anterior do Relator (C-67), AGI 0726908-13.2025.8.07.0000, Des. Sérgio Rocha, 4ª Turma Cível, 22/01/2026 (número do acórdão e DJe a completar no JurisDF): “AGRAVO DE INSTRUMENTO. DIREITO PROCESSUAL CIVIL. EXECUÇÃO DE TÍTULO EXTRAJUDICIAL. CONSULTA AO SISTEMA SERP-JUD. POSSIBILIDADE DE UTILIZAÇÃO INDEPENDENTE DA GRATUIDADE DE JUSTIÇA. EFETIVIDADE DA EXECUÇÃO. PROVIMENTO. I. Caso em exame 1. Agravo de instrumento interposto contra decisão que, em execução de título extrajudicial (contrato de locação de quiosque – R$ 20.048,91), indeferiu pedido de consulta ao sistema SERP-JUD, sob o fundamento de ausência de gratuidade de justiça e limitação de acesso à ferramenta. II. Questão em discussão 2. A questão em discussão consiste em verificar se é possível autorizar consulta ao sistema SERP-JUD para localização de bens penhoráveis, mesmo sem concessão de gratuidade de justiça, diante da alegação de esgotamento de diligências anteriores e necessidade de efetividade da execução. III. Razões de decidir 3. O sistema SERP-JUD, instituído pela Lei nº 14.382/2022 e regulamentado pelo Provimento CNJ nº 139/2023 e pela Resolução CNJ nº 584/2024, integra a lista oficial de sistemas destinados à pesquisa de dados e localização de bens para constrição patrimonial, conforme Portaria CNJ nº 393/2024. 4. A jurisprudência do TJDFT admite expressamente a utilização do SERP-JUD como meio idôneo e eficaz para localização de bens do devedor, por permitir consulta unificada a registros civis, imobiliários e de títulos e documentos em todo o território nacional. IV. Dispositivo 5. Deu-se provimento ao apelo do exequente para autorizar a consulta ao sistema SERP-JUD.” (fonte: iajus, ementa)</w:t>
      </w:r>
    </w:p>
  </w:comment>
  <w:comment w:id="8" w:author="Assessor GDSXSR" w:initials="AG" w:date="2026-10-30T20:45:47Z">
    <w:p>
      <w:pPr>
        <w:pStyle w:val="CommentText"/>
      </w:pPr>
      <w:r>
        <w:rPr>
          <w:rStyle w:val="CommentReference"/>
        </w:rPr>
        <w:annotationRef/>
      </w:r>
      <w:r>
        <w:t>MINUTA GDSXSR — Dispositivo em parágrafo único (C-3F), confirmando a liminar (ID 86923009). Sem honorários recursais (perfil AGI): o agravado não contrarrazoou e não há condenação a fixar. Sem “Dispositivos relevantes citados” na ementa: o voto não cita artigo de lei fora das transcrições.</w:t>
      </w:r>
    </w:p>
  </w:comment>
  <w:comment w:id="9" w:author="Assessor GDSXSR" w:initials="AG" w:date="2026-10-30T20:45:47Z">
    <w:p>
      <w:pPr>
        <w:pStyle w:val="CommentText"/>
      </w:pPr>
      <w:r>
        <w:rPr>
          <w:rStyle w:val="CommentReference"/>
        </w:rPr>
        <w:annotationRef/>
      </w:r>
      <w:r>
        <w:t>MINUTA GDSXSR — C-45: texto integral da decisão agravada (ID 278321327, do processo de origem, assinada em 19/06/2026), copiado dos autos de origem, em verde, sem alteração.</w:t>
      </w:r>
    </w:p>
  </w:comment>
  <w:comment w:id="10" w:author="Assessor GDSXSR" w:initials="AG" w:date="2026-10-30T20:45:47Z">
    <w:p>
      <w:pPr>
        <w:pStyle w:val="CommentText"/>
      </w:pPr>
      <w:r>
        <w:rPr>
          <w:rStyle w:val="CommentReference"/>
        </w:rPr>
        <w:annotationRef/>
      </w:r>
      <w:r>
        <w:t>MINUTA GDSXSR — C-46 e C-53: precedentes contrários ao voto, em violeta, depois da decisão agravada. Ementas íntegras lidas no iajus. Número do acórdão e DJe não vieram do iajus: completar no JurisDF (C-67). Não entram em “Jurisprudência relevante citada”.</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2CF6" w:rsidP="003A42DE" w:rsidRDefault="006B2CF6" w14:paraId="5651EAEE" w14:textId="77777777">
      <w:pPr>
        <w:spacing w:after="0" w:line="240" w:lineRule="auto"/>
      </w:pPr>
      <w:r>
        <w:separator/>
      </w:r>
    </w:p>
  </w:endnote>
  <w:endnote w:type="continuationSeparator" w:id="0">
    <w:p w:rsidR="006B2CF6" w:rsidP="003A42DE" w:rsidRDefault="006B2CF6" w14:paraId="0911DF3B" w14:textId="77777777">
      <w:pPr>
        <w:spacing w:after="0" w:line="240" w:lineRule="auto"/>
      </w:pPr>
      <w:r>
        <w:continuationSeparator/>
      </w:r>
    </w:p>
  </w:endnote>
  <w:endnote w:type="continuationNotice" w:id="1">
    <w:p w:rsidR="006B2CF6" w:rsidRDefault="006B2CF6" w14:paraId="54BFC59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Rodap"/>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2CF6" w:rsidP="003A42DE" w:rsidRDefault="006B2CF6" w14:paraId="243CDD41" w14:textId="77777777">
      <w:pPr>
        <w:spacing w:after="0" w:line="240" w:lineRule="auto"/>
      </w:pPr>
      <w:r>
        <w:separator/>
      </w:r>
    </w:p>
  </w:footnote>
  <w:footnote w:type="continuationSeparator" w:id="0">
    <w:p w:rsidR="006B2CF6" w:rsidP="003A42DE" w:rsidRDefault="006B2CF6" w14:paraId="112E6525" w14:textId="77777777">
      <w:pPr>
        <w:spacing w:after="0" w:line="240" w:lineRule="auto"/>
      </w:pPr>
      <w:r>
        <w:continuationSeparator/>
      </w:r>
    </w:p>
  </w:footnote>
  <w:footnote w:type="continuationNotice" w:id="1">
    <w:p w:rsidR="006B2CF6" w:rsidRDefault="006B2CF6" w14:paraId="413642B2"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4d346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a93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370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715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bc4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2d9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ab7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892040057">
    <w:abstractNumId w:val="1"/>
  </w:num>
  <w:num w:numId="2" w16cid:durableId="1365403601">
    <w:abstractNumId w:val="0"/>
  </w:num>
  <w:num w:numId="3" w16cid:durableId="187203630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000"/>
    <w:rsid w:val="00004C11"/>
    <w:rsid w:val="00005FE1"/>
    <w:rsid w:val="00012123"/>
    <w:rsid w:val="0001A548"/>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1063D"/>
    <w:rsid w:val="00312291"/>
    <w:rsid w:val="00312DDE"/>
    <w:rsid w:val="00314FAC"/>
    <w:rsid w:val="00316B1F"/>
    <w:rsid w:val="00321068"/>
    <w:rsid w:val="00323779"/>
    <w:rsid w:val="00323D27"/>
    <w:rsid w:val="0033305F"/>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0C15"/>
    <w:rsid w:val="005A1AD9"/>
    <w:rsid w:val="005B1C70"/>
    <w:rsid w:val="005B3A9E"/>
    <w:rsid w:val="005B7851"/>
    <w:rsid w:val="005C2DC2"/>
    <w:rsid w:val="005C31C4"/>
    <w:rsid w:val="005C69F8"/>
    <w:rsid w:val="005D438E"/>
    <w:rsid w:val="005D6271"/>
    <w:rsid w:val="005E3F4E"/>
    <w:rsid w:val="005E5190"/>
    <w:rsid w:val="005EA67B"/>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15F80CC"/>
    <w:rsid w:val="0191F7C3"/>
    <w:rsid w:val="02480EC3"/>
    <w:rsid w:val="026E497E"/>
    <w:rsid w:val="02B1E412"/>
    <w:rsid w:val="02B1E412"/>
    <w:rsid w:val="03018451"/>
    <w:rsid w:val="03018451"/>
    <w:rsid w:val="0309018F"/>
    <w:rsid w:val="031F725A"/>
    <w:rsid w:val="03E55252"/>
    <w:rsid w:val="0406F2B1"/>
    <w:rsid w:val="0469E717"/>
    <w:rsid w:val="04EB9BAA"/>
    <w:rsid w:val="04FE6380"/>
    <w:rsid w:val="0598ED4B"/>
    <w:rsid w:val="05C072E5"/>
    <w:rsid w:val="061EE5CE"/>
    <w:rsid w:val="066636ED"/>
    <w:rsid w:val="06D2BD91"/>
    <w:rsid w:val="07084FFE"/>
    <w:rsid w:val="0741BAA1"/>
    <w:rsid w:val="079D3272"/>
    <w:rsid w:val="07BAB62F"/>
    <w:rsid w:val="08624999"/>
    <w:rsid w:val="08795635"/>
    <w:rsid w:val="087D1C37"/>
    <w:rsid w:val="08955680"/>
    <w:rsid w:val="089E911C"/>
    <w:rsid w:val="08BDBA2B"/>
    <w:rsid w:val="0902A466"/>
    <w:rsid w:val="09E2A60C"/>
    <w:rsid w:val="0A795B63"/>
    <w:rsid w:val="0A8ECADD"/>
    <w:rsid w:val="0BFCE006"/>
    <w:rsid w:val="0C436811"/>
    <w:rsid w:val="0C99678B"/>
    <w:rsid w:val="0D003B5C"/>
    <w:rsid w:val="0E2F4C66"/>
    <w:rsid w:val="0E60C260"/>
    <w:rsid w:val="0E71A7A9"/>
    <w:rsid w:val="0E7833D8"/>
    <w:rsid w:val="0E896E75"/>
    <w:rsid w:val="0ECBDBCC"/>
    <w:rsid w:val="0EFE4F3B"/>
    <w:rsid w:val="0F16BAD4"/>
    <w:rsid w:val="0F49A558"/>
    <w:rsid w:val="0F4CCC86"/>
    <w:rsid w:val="1010E271"/>
    <w:rsid w:val="105F35C5"/>
    <w:rsid w:val="106E20DE"/>
    <w:rsid w:val="10737481"/>
    <w:rsid w:val="10DFE56C"/>
    <w:rsid w:val="10E575B9"/>
    <w:rsid w:val="10E89CE7"/>
    <w:rsid w:val="11B4DFCD"/>
    <w:rsid w:val="1281461A"/>
    <w:rsid w:val="1299B7D4"/>
    <w:rsid w:val="12D0861A"/>
    <w:rsid w:val="1310ADC8"/>
    <w:rsid w:val="1322B3CC"/>
    <w:rsid w:val="13D9EAF8"/>
    <w:rsid w:val="1403BE3A"/>
    <w:rsid w:val="14261E79"/>
    <w:rsid w:val="147CBA5F"/>
    <w:rsid w:val="14B0854E"/>
    <w:rsid w:val="15075F5D"/>
    <w:rsid w:val="1522DC33"/>
    <w:rsid w:val="1540F7C4"/>
    <w:rsid w:val="159010E4"/>
    <w:rsid w:val="15A7C98E"/>
    <w:rsid w:val="160C8D89"/>
    <w:rsid w:val="161D075D"/>
    <w:rsid w:val="1685426F"/>
    <w:rsid w:val="169085A1"/>
    <w:rsid w:val="169A247F"/>
    <w:rsid w:val="16AFD0FD"/>
    <w:rsid w:val="17071F12"/>
    <w:rsid w:val="1754F7B4"/>
    <w:rsid w:val="17C7435F"/>
    <w:rsid w:val="182766FE"/>
    <w:rsid w:val="18301F4E"/>
    <w:rsid w:val="1890F764"/>
    <w:rsid w:val="1890F764"/>
    <w:rsid w:val="18BBA766"/>
    <w:rsid w:val="193E3D7C"/>
    <w:rsid w:val="194071AB"/>
    <w:rsid w:val="19AE2D67"/>
    <w:rsid w:val="19EFFB15"/>
    <w:rsid w:val="1A77651C"/>
    <w:rsid w:val="1AEDABFF"/>
    <w:rsid w:val="1B897297"/>
    <w:rsid w:val="1BB1DE98"/>
    <w:rsid w:val="1BBE419B"/>
    <w:rsid w:val="1C5B9B3B"/>
    <w:rsid w:val="1CA82C99"/>
    <w:rsid w:val="1CCDCA00"/>
    <w:rsid w:val="1CF4E54D"/>
    <w:rsid w:val="1D02AE0D"/>
    <w:rsid w:val="1D0C8FA4"/>
    <w:rsid w:val="1D833A47"/>
    <w:rsid w:val="1DA3F6E4"/>
    <w:rsid w:val="1DE275A0"/>
    <w:rsid w:val="1E7FFE4D"/>
    <w:rsid w:val="1FAFCC66"/>
    <w:rsid w:val="21529E37"/>
    <w:rsid w:val="22242253"/>
    <w:rsid w:val="2226EAE1"/>
    <w:rsid w:val="224F31B8"/>
    <w:rsid w:val="2259356D"/>
    <w:rsid w:val="227EDC7E"/>
    <w:rsid w:val="229F26FD"/>
    <w:rsid w:val="22C00AAB"/>
    <w:rsid w:val="232923D0"/>
    <w:rsid w:val="233FC49A"/>
    <w:rsid w:val="23846474"/>
    <w:rsid w:val="2474A6A4"/>
    <w:rsid w:val="248F4127"/>
    <w:rsid w:val="249E222A"/>
    <w:rsid w:val="24C00E7C"/>
    <w:rsid w:val="250056F1"/>
    <w:rsid w:val="25552D47"/>
    <w:rsid w:val="255B7F74"/>
    <w:rsid w:val="25627E6B"/>
    <w:rsid w:val="2592F5DF"/>
    <w:rsid w:val="25BA59F2"/>
    <w:rsid w:val="25DAE2F1"/>
    <w:rsid w:val="26437A82"/>
    <w:rsid w:val="26A9A53C"/>
    <w:rsid w:val="27623DE6"/>
    <w:rsid w:val="279C9AF7"/>
    <w:rsid w:val="27EDDD86"/>
    <w:rsid w:val="27F4F7D9"/>
    <w:rsid w:val="27FF6AAD"/>
    <w:rsid w:val="282CD004"/>
    <w:rsid w:val="28500164"/>
    <w:rsid w:val="29D9B832"/>
    <w:rsid w:val="29FC1AE8"/>
    <w:rsid w:val="2A1335FB"/>
    <w:rsid w:val="2A58FC23"/>
    <w:rsid w:val="2AE1B6B7"/>
    <w:rsid w:val="2AE79E71"/>
    <w:rsid w:val="2AF5D78B"/>
    <w:rsid w:val="2AF5FA84"/>
    <w:rsid w:val="2AFD096B"/>
    <w:rsid w:val="2B008F55"/>
    <w:rsid w:val="2BDF0338"/>
    <w:rsid w:val="2BF727A3"/>
    <w:rsid w:val="2C730A9B"/>
    <w:rsid w:val="2C890E75"/>
    <w:rsid w:val="2C93F8FF"/>
    <w:rsid w:val="2CF4CD87"/>
    <w:rsid w:val="2DA0D32B"/>
    <w:rsid w:val="2DD61D48"/>
    <w:rsid w:val="2DFD2B4C"/>
    <w:rsid w:val="2F1C19A9"/>
    <w:rsid w:val="2F6C8503"/>
    <w:rsid w:val="3007B261"/>
    <w:rsid w:val="3007B261"/>
    <w:rsid w:val="30160782"/>
    <w:rsid w:val="303A7B14"/>
    <w:rsid w:val="30508782"/>
    <w:rsid w:val="30587508"/>
    <w:rsid w:val="31EC57E3"/>
    <w:rsid w:val="332D13C9"/>
    <w:rsid w:val="3382D001"/>
    <w:rsid w:val="348DB4EB"/>
    <w:rsid w:val="34B6CAEC"/>
    <w:rsid w:val="34DED053"/>
    <w:rsid w:val="34E4E657"/>
    <w:rsid w:val="34EE336C"/>
    <w:rsid w:val="34FBDDCF"/>
    <w:rsid w:val="3510E67B"/>
    <w:rsid w:val="3556523A"/>
    <w:rsid w:val="3565AEC8"/>
    <w:rsid w:val="3601BA69"/>
    <w:rsid w:val="367267F9"/>
    <w:rsid w:val="369ED21D"/>
    <w:rsid w:val="36CA94C4"/>
    <w:rsid w:val="36EE3379"/>
    <w:rsid w:val="370C73D9"/>
    <w:rsid w:val="37408DCC"/>
    <w:rsid w:val="377F3110"/>
    <w:rsid w:val="37897B82"/>
    <w:rsid w:val="37B5A6B5"/>
    <w:rsid w:val="37BE17C0"/>
    <w:rsid w:val="38EEAB87"/>
    <w:rsid w:val="394C3135"/>
    <w:rsid w:val="39AE4A8D"/>
    <w:rsid w:val="39FF574E"/>
    <w:rsid w:val="3AC1809A"/>
    <w:rsid w:val="3AD2045E"/>
    <w:rsid w:val="3AD9B0B7"/>
    <w:rsid w:val="3B9011FD"/>
    <w:rsid w:val="3B9BF52E"/>
    <w:rsid w:val="3BB47562"/>
    <w:rsid w:val="3BB7291C"/>
    <w:rsid w:val="3C5D9607"/>
    <w:rsid w:val="3CB9A540"/>
    <w:rsid w:val="3CBACAC4"/>
    <w:rsid w:val="3CD07603"/>
    <w:rsid w:val="3D1A2DB7"/>
    <w:rsid w:val="3D8580A5"/>
    <w:rsid w:val="3DBB73A4"/>
    <w:rsid w:val="3DC89269"/>
    <w:rsid w:val="3DDFA35F"/>
    <w:rsid w:val="3DE70794"/>
    <w:rsid w:val="3DEAD688"/>
    <w:rsid w:val="3E1D45DC"/>
    <w:rsid w:val="3E66CBD1"/>
    <w:rsid w:val="3EF277C8"/>
    <w:rsid w:val="3F6506E4"/>
    <w:rsid w:val="3FBD6A61"/>
    <w:rsid w:val="3FD06354"/>
    <w:rsid w:val="3FFBFDAA"/>
    <w:rsid w:val="3FFE3DCC"/>
    <w:rsid w:val="41CAFA74"/>
    <w:rsid w:val="41E1021E"/>
    <w:rsid w:val="420D9061"/>
    <w:rsid w:val="4228454C"/>
    <w:rsid w:val="424EE23A"/>
    <w:rsid w:val="4271C7BD"/>
    <w:rsid w:val="4271C7BD"/>
    <w:rsid w:val="42F63EA0"/>
    <w:rsid w:val="4380C41B"/>
    <w:rsid w:val="43A63994"/>
    <w:rsid w:val="43A67A0B"/>
    <w:rsid w:val="43C54FAD"/>
    <w:rsid w:val="44049931"/>
    <w:rsid w:val="44334558"/>
    <w:rsid w:val="44688134"/>
    <w:rsid w:val="447AE2F1"/>
    <w:rsid w:val="44808C19"/>
    <w:rsid w:val="4495E4C2"/>
    <w:rsid w:val="44FB294E"/>
    <w:rsid w:val="454ECC03"/>
    <w:rsid w:val="45D7D81A"/>
    <w:rsid w:val="45ECA08E"/>
    <w:rsid w:val="45EE95F0"/>
    <w:rsid w:val="4614B705"/>
    <w:rsid w:val="462A1541"/>
    <w:rsid w:val="463AD933"/>
    <w:rsid w:val="46C7D927"/>
    <w:rsid w:val="46DE1ACD"/>
    <w:rsid w:val="47FFA841"/>
    <w:rsid w:val="486374E3"/>
    <w:rsid w:val="4962903A"/>
    <w:rsid w:val="49AAD572"/>
    <w:rsid w:val="4A6D32A3"/>
    <w:rsid w:val="4AAFC961"/>
    <w:rsid w:val="4AF457DF"/>
    <w:rsid w:val="4B409B22"/>
    <w:rsid w:val="4BB98733"/>
    <w:rsid w:val="4C936001"/>
    <w:rsid w:val="4C936001"/>
    <w:rsid w:val="4D3433F4"/>
    <w:rsid w:val="4D45AE2A"/>
    <w:rsid w:val="4D5D3872"/>
    <w:rsid w:val="4D9C753D"/>
    <w:rsid w:val="4E4DFBED"/>
    <w:rsid w:val="4EB5970F"/>
    <w:rsid w:val="4FBA8710"/>
    <w:rsid w:val="508888C8"/>
    <w:rsid w:val="509ECC93"/>
    <w:rsid w:val="515F5732"/>
    <w:rsid w:val="5212BFAD"/>
    <w:rsid w:val="5249445F"/>
    <w:rsid w:val="52E52664"/>
    <w:rsid w:val="530C09BC"/>
    <w:rsid w:val="53174421"/>
    <w:rsid w:val="539FE824"/>
    <w:rsid w:val="53A37578"/>
    <w:rsid w:val="53E739DB"/>
    <w:rsid w:val="53E739DB"/>
    <w:rsid w:val="54A48A63"/>
    <w:rsid w:val="54AAEF1D"/>
    <w:rsid w:val="56696897"/>
    <w:rsid w:val="571FE888"/>
    <w:rsid w:val="57608C97"/>
    <w:rsid w:val="5774762B"/>
    <w:rsid w:val="581B792C"/>
    <w:rsid w:val="58BC1B45"/>
    <w:rsid w:val="58E3B572"/>
    <w:rsid w:val="595140BA"/>
    <w:rsid w:val="59531952"/>
    <w:rsid w:val="5A6A67D7"/>
    <w:rsid w:val="5B105B2D"/>
    <w:rsid w:val="5B188E3D"/>
    <w:rsid w:val="5BC75A8B"/>
    <w:rsid w:val="5C83E0D1"/>
    <w:rsid w:val="5D37D7FE"/>
    <w:rsid w:val="5DC7BB1E"/>
    <w:rsid w:val="5E27D90B"/>
    <w:rsid w:val="5E6879DC"/>
    <w:rsid w:val="5F1409FE"/>
    <w:rsid w:val="5FAA896D"/>
    <w:rsid w:val="5FAEFB24"/>
    <w:rsid w:val="606F78C0"/>
    <w:rsid w:val="60ADD95D"/>
    <w:rsid w:val="60C98BFC"/>
    <w:rsid w:val="60D920B7"/>
    <w:rsid w:val="61757AFC"/>
    <w:rsid w:val="6194D198"/>
    <w:rsid w:val="620B4921"/>
    <w:rsid w:val="62AAAE4B"/>
    <w:rsid w:val="63342658"/>
    <w:rsid w:val="63C11CD1"/>
    <w:rsid w:val="63C2EF9E"/>
    <w:rsid w:val="64275D2D"/>
    <w:rsid w:val="643043B2"/>
    <w:rsid w:val="64374E83"/>
    <w:rsid w:val="6465318A"/>
    <w:rsid w:val="64971A8F"/>
    <w:rsid w:val="64B2D6F6"/>
    <w:rsid w:val="64BEBE7C"/>
    <w:rsid w:val="64BF5EDA"/>
    <w:rsid w:val="650595E1"/>
    <w:rsid w:val="6542E9E3"/>
    <w:rsid w:val="657557CB"/>
    <w:rsid w:val="65A9FB65"/>
    <w:rsid w:val="65C26DF6"/>
    <w:rsid w:val="65C41DC2"/>
    <w:rsid w:val="65CCD4F6"/>
    <w:rsid w:val="664F280D"/>
    <w:rsid w:val="666768FE"/>
    <w:rsid w:val="667AE318"/>
    <w:rsid w:val="66D15BCD"/>
    <w:rsid w:val="6708FB6D"/>
    <w:rsid w:val="67216F22"/>
    <w:rsid w:val="673F0D5B"/>
    <w:rsid w:val="675A84C2"/>
    <w:rsid w:val="67C15F89"/>
    <w:rsid w:val="67CD610C"/>
    <w:rsid w:val="68212234"/>
    <w:rsid w:val="68A32AA9"/>
    <w:rsid w:val="6973583F"/>
    <w:rsid w:val="6A1CED46"/>
    <w:rsid w:val="6AA8681E"/>
    <w:rsid w:val="6AD98ABF"/>
    <w:rsid w:val="6AECB699"/>
    <w:rsid w:val="6B5F13C4"/>
    <w:rsid w:val="6B888368"/>
    <w:rsid w:val="6BAB7290"/>
    <w:rsid w:val="6BAC55FA"/>
    <w:rsid w:val="6BB8BDA7"/>
    <w:rsid w:val="6BC0D677"/>
    <w:rsid w:val="6BC51F58"/>
    <w:rsid w:val="6BD3715A"/>
    <w:rsid w:val="6C0D23A0"/>
    <w:rsid w:val="6CAA19FA"/>
    <w:rsid w:val="6D09AFC2"/>
    <w:rsid w:val="6D2A23B4"/>
    <w:rsid w:val="6D53E1DA"/>
    <w:rsid w:val="6D81CE5E"/>
    <w:rsid w:val="6D8F90B1"/>
    <w:rsid w:val="6DC85E06"/>
    <w:rsid w:val="6E561A2D"/>
    <w:rsid w:val="6E776DB3"/>
    <w:rsid w:val="6EE9C512"/>
    <w:rsid w:val="6F82B7AC"/>
    <w:rsid w:val="6FB44F01"/>
    <w:rsid w:val="70B4B380"/>
    <w:rsid w:val="712DA350"/>
    <w:rsid w:val="71E69A32"/>
    <w:rsid w:val="7306BEE6"/>
    <w:rsid w:val="730E4851"/>
    <w:rsid w:val="730E8E67"/>
    <w:rsid w:val="73F93DF2"/>
    <w:rsid w:val="741CCF1B"/>
    <w:rsid w:val="74B9330C"/>
    <w:rsid w:val="74CA8615"/>
    <w:rsid w:val="7557E461"/>
    <w:rsid w:val="756F79F5"/>
    <w:rsid w:val="75A5DC19"/>
    <w:rsid w:val="75A5DC19"/>
    <w:rsid w:val="772D2BEE"/>
    <w:rsid w:val="77A54DBC"/>
    <w:rsid w:val="78C9106D"/>
    <w:rsid w:val="78D56322"/>
    <w:rsid w:val="79463321"/>
    <w:rsid w:val="79C2F2AF"/>
    <w:rsid w:val="79E10E21"/>
    <w:rsid w:val="79F68BA2"/>
    <w:rsid w:val="7B97EA29"/>
    <w:rsid w:val="7BE30F5E"/>
    <w:rsid w:val="7C0D5C19"/>
    <w:rsid w:val="7C2F9071"/>
    <w:rsid w:val="7C523032"/>
    <w:rsid w:val="7C7DE001"/>
    <w:rsid w:val="7CA89785"/>
    <w:rsid w:val="7CCD017B"/>
    <w:rsid w:val="7D55416F"/>
    <w:rsid w:val="7E272F86"/>
    <w:rsid w:val="7E37E6E8"/>
    <w:rsid w:val="7E47B7BC"/>
    <w:rsid w:val="7E65F309"/>
    <w:rsid w:val="7EF28E72"/>
    <w:rsid w:val="7F023EFE"/>
    <w:rsid w:val="7F36A8BB"/>
    <w:rsid w:val="7FF8019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hAnsi="Arial" w:eastAsia="Times New Roman" w:cs="Times New Roman"/>
      <w:b/>
      <w:sz w:val="24"/>
      <w:szCs w:val="20"/>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hAnsi="Verdana" w:eastAsia="Times New Roman" w:cs="Times New Roman"/>
      <w:sz w:val="20"/>
      <w:szCs w:val="20"/>
      <w:lang w:val="x-none" w:eastAsia="x-none"/>
    </w:rPr>
  </w:style>
  <w:style w:type="character" w:styleId="TextodecomentrioChar" w:customStyle="1">
    <w:name w:val="Texto de comentário Char"/>
    <w:basedOn w:val="Fontepargpadro"/>
    <w:link w:val="Textodecomentrio"/>
    <w:uiPriority w:val="99"/>
    <w:rsid w:val="002D3FF3"/>
    <w:rPr>
      <w:rFonts w:ascii="Verdana" w:hAnsi="Verdana" w:eastAsia="Times New Roman"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hAnsiTheme="minorHAnsi" w:eastAsiaTheme="minorHAnsi" w:cstheme="minorBidi"/>
      <w:b/>
      <w:bCs/>
      <w:lang w:val="pt-BR" w:eastAsia="en-US"/>
    </w:rPr>
  </w:style>
  <w:style w:type="character" w:styleId="AssuntodocomentrioChar" w:customStyle="1">
    <w:name w:val="Assunto do comentário Char"/>
    <w:basedOn w:val="TextodecomentrioChar"/>
    <w:link w:val="Assuntodocomentrio"/>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Fontepargpadro"/>
    <w:rsid w:val="00354AA2"/>
    <w:rPr>
      <w:rFonts w:hint="default" w:ascii="Segoe UI" w:hAnsi="Segoe UI" w:cs="Segoe UI"/>
      <w:sz w:val="18"/>
      <w:szCs w:val="18"/>
    </w:rPr>
  </w:style>
  <w:style w:type="character" w:styleId="normaltextrun" w:customStyle="1">
    <w:name w:val="normaltextrun"/>
    <w:basedOn w:val="Fontepargpadro"/>
    <w:rsid w:val="00661CF3"/>
  </w:style>
  <w:style w:type="character" w:styleId="eop" w:customStyle="1">
    <w:name w:val="eop"/>
    <w:basedOn w:val="Fontepargpadro"/>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Ttulo1Char" w:customStyle="1">
    <w:name w:val="Título 1 Char"/>
    <w:basedOn w:val="Fontepargpadro"/>
    <w:link w:val="Ttulo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Fontepargpadro"/>
    <w:rsid w:val="005B7851"/>
    <w:rPr>
      <w:rFonts w:hint="default" w:ascii="Segoe UI" w:hAnsi="Segoe UI" w:cs="Segoe UI"/>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styleId="RodapChar" w:customStyle="1">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CitaoChar" w:customStyle="1">
    <w:name w:val="Citação Char"/>
    <w:basedOn w:val="Fontepargpadro"/>
    <w:link w:val="Citao"/>
    <w:uiPriority w:val="29"/>
    <w:rsid w:val="00770E7F"/>
    <w:rPr>
      <w:rFonts w:ascii="Arial" w:hAnsi="Arial" w:eastAsia="Times New Roman"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styleId="Ttulos" w:customStyle="1">
    <w:name w:val="Títulos"/>
    <w:basedOn w:val="Citao"/>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CitaoChar"/>
    <w:link w:val="Ttulos"/>
    <w:rsid w:val="002D127E"/>
    <w:rPr>
      <w:rFonts w:ascii="Arial" w:hAnsi="Arial" w:eastAsia="Times New Roman"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e89dd8e34e1b40a6" Type="http://schemas.openxmlformats.org/officeDocument/2006/relationships/hyperlink" Target="https://pje.tjdft.jus.br/pje/seam/resource/rest/pje-legacy/documento/download/286759174#" TargetMode="External"/><Relationship Id="R47fcc248bff943fe" Type="http://schemas.openxmlformats.org/officeDocument/2006/relationships/hyperlink" Target="https://pje.tjdft.jus.br/pje/seam/resource/rest/pje-legacy/documento/download/TJDFT/1g/5043786/283310910" TargetMode="External"/><Relationship Id="Rbbf9d9b723b345e5" Type="http://schemas.openxmlformats.org/officeDocument/2006/relationships/hyperlink" Target="https://pje.tjdft.jus.br/pje/seam/resource/rest/pje-legacy/documento/download/TJDFT/1g/5043786/285630916" TargetMode="External"/><Relationship Id="Rf98bd10ca506431b" Type="http://schemas.openxmlformats.org/officeDocument/2006/relationships/hyperlink" Target="https://pje.tjdft.jus.br/pje/seam/resource/rest/pje-legacy/documento/download/TJDFT/1g/5043786/283310910" TargetMode="External"/><Relationship Id="R12ca7539c4c64d24" Type="http://schemas.openxmlformats.org/officeDocument/2006/relationships/hyperlink" Target="https://pje.tjdft.jus.br/pje/seam/resource/rest/pje-legacy/documento/download/TJDFT/1g/5043786/285630916" TargetMode="External"/><Relationship Id="Rf62c4e79b66e487c" Type="http://schemas.openxmlformats.org/officeDocument/2006/relationships/hyperlink" Target="https://pje.tjdft.jus.br/pje/seam/resource/rest/pje-legacy/documento/download/TJDFT/1g/5043786/283310910" TargetMode="External"/><Relationship Id="R7bc79006c28c491e" Type="http://schemas.openxmlformats.org/officeDocument/2006/relationships/hyperlink" Target="https://pje.tjdft.jus.br/pje/seam/resource/rest/pje-legacy/documento/download/TJDFT/1g/5043786/285630930" TargetMode="External"/><Relationship Id="R210c3ff7501e4303" Type="http://schemas.openxmlformats.org/officeDocument/2006/relationships/hyperlink" Target="https://pje.tjdft.jus.br/pje/seam/resource/rest/pje-legacy/documento/download/TJDFT/1g/5043786/285630929" TargetMode="External"/><Relationship Id="R1992f6d1be7b4a0a" Type="http://schemas.openxmlformats.org/officeDocument/2006/relationships/hyperlink" Target="https://pje.tjdft.jus.br/pje/seam/resource/rest/pje-legacy/documento/download/TJDFT/1g/5043786/285630921" TargetMode="External"/><Relationship Id="Rd86c4822f998498e" Type="http://schemas.openxmlformats.org/officeDocument/2006/relationships/hyperlink" Target="https://pje.tjdft.jus.br/pje/seam/resource/rest/pje-legacy/documento/download/TJDFT/1g/5043786/285630923" TargetMode="External"/><Relationship Id="R8270d31f7ea84400" Type="http://schemas.openxmlformats.org/officeDocument/2006/relationships/hyperlink" Target="https://pje.tjdft.jus.br/pje/seam/resource/rest/pje-legacy/documento/download/TJDFT/1g/5043786/285630924" TargetMode="External"/><Relationship Id="Rf8e6a2b0dd8b4ffb" Type="http://schemas.openxmlformats.org/officeDocument/2006/relationships/hyperlink" Target="https://pje.tjdft.jus.br/pje/seam/resource/rest/pje-legacy/documento/download/TJDFT/1g/5043786/285630925" TargetMode="External"/><Relationship Id="Rd095debd3e074bee" Type="http://schemas.openxmlformats.org/officeDocument/2006/relationships/hyperlink" Target="https://pje.tjdft.jus.br/pje/seam/resource/rest/pje-legacy/documento/download/TJDFT/1g/5043786/28331091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xmlns:wp14="http://schemas.microsoft.com/office/word/2010/wordml" w:rsidR="00773803" w:rsidP="00773803" w:rsidRDefault="00773803" w14:paraId="21A1D5B3" wp14:textId="77777777">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xmlns:wp14="http://schemas.microsoft.com/office/word/2010/wordml" w:rsidR="00773803" w:rsidP="00773803" w:rsidRDefault="00773803" w14:paraId="214B1BDF" wp14:textId="77777777">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xmlns:wp14="http://schemas.microsoft.com/office/word/2010/wordml" w:rsidR="00773803" w:rsidP="00773803" w:rsidRDefault="00773803" w14:paraId="675683F6" wp14:textId="77777777">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xmlns:wp14="http://schemas.microsoft.com/office/word/2010/wordml" w:rsidR="00773803" w:rsidP="00773803" w:rsidRDefault="00773803" w14:paraId="79D92E25" wp14:textId="77777777">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77029"/>
    <w:rsid w:val="002F13AB"/>
    <w:rsid w:val="003060EF"/>
    <w:rsid w:val="003D50C8"/>
    <w:rsid w:val="00465A25"/>
    <w:rsid w:val="004756EB"/>
    <w:rsid w:val="004C591E"/>
    <w:rsid w:val="00515AB3"/>
    <w:rsid w:val="00534782"/>
    <w:rsid w:val="005953DB"/>
    <w:rsid w:val="00730800"/>
    <w:rsid w:val="00773803"/>
    <w:rsid w:val="0077693D"/>
    <w:rsid w:val="00816916"/>
    <w:rsid w:val="00855F86"/>
    <w:rsid w:val="008C4978"/>
    <w:rsid w:val="009C5448"/>
    <w:rsid w:val="00AB26AC"/>
    <w:rsid w:val="00AD59B1"/>
    <w:rsid w:val="00B9403F"/>
    <w:rsid w:val="00C34425"/>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Raul Luiz Gonçalves Pamplona - GDSXSR</lastModifiedBy>
  <revision>352</revision>
  <dcterms:created xsi:type="dcterms:W3CDTF">2026-03-09T19:42:00.0000000Z</dcterms:created>
  <dcterms:modified xsi:type="dcterms:W3CDTF">2026-10-13T18:20:41.4199360Z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