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4E9348C1"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156BB1">
              <w:rPr>
                <w:rStyle w:val="eop"/>
                <w:rFonts w:ascii="Arial" w:hAnsi="Arial" w:cs="Arial"/>
                <w:sz w:val="28"/>
                <w:szCs w:val="28"/>
              </w:rPr>
              <w:t xml:space="preserve"> </w:t>
            </w:r>
          </w:p>
        </w:tc>
        <w:tc>
          <w:tcPr>
            <w:tcW w:w="5682" w:type="dxa"/>
            <w:gridSpan w:val="3"/>
            <w:hideMark/>
          </w:tcPr>
          <w:p w14:paraId="299F0D40" w14:textId="410F2B77"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b/>
                <w:bCs/>
                <w:color w:val="000000"/>
                <w:sz w:val="20"/>
                <w:szCs w:val="20"/>
              </w:rPr>
              <w:t>Poder Judiciário da União</w:t>
            </w:r>
          </w:p>
          <w:p w14:paraId="55CC1E66" w14:textId="7D09F940"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Tribunal de Justiça do Distrito Federal e dos Territórios</w:t>
            </w:r>
            <w:r w:rsidR="00156BB1" w:rsidRPr="00156BB1">
              <w:rPr>
                <w:rStyle w:val="eop"/>
                <w:rFonts w:ascii="Calibri" w:hAnsi="Calibri" w:cs="Calibri"/>
                <w:color w:val="000000"/>
                <w:sz w:val="20"/>
                <w:szCs w:val="20"/>
              </w:rPr>
              <w:t xml:space="preserve"> </w:t>
            </w:r>
          </w:p>
          <w:p w14:paraId="12B71A35" w14:textId="1F26FBB7"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GDSXSR</w:t>
            </w:r>
            <w:r w:rsidR="00156BB1" w:rsidRPr="00156BB1">
              <w:rPr>
                <w:rStyle w:val="eop"/>
                <w:rFonts w:ascii="Calibri" w:hAnsi="Calibri" w:cs="Calibri"/>
                <w:color w:val="000000"/>
                <w:sz w:val="20"/>
                <w:szCs w:val="20"/>
              </w:rPr>
              <w:t xml:space="preserve"> </w:t>
            </w:r>
          </w:p>
          <w:p w14:paraId="15750CFE" w14:textId="71A77A63" w:rsidR="00264107" w:rsidRPr="00156BB1" w:rsidRDefault="00264107" w:rsidP="00156BB1">
            <w:pPr>
              <w:pStyle w:val="paragraph"/>
              <w:spacing w:before="0" w:beforeAutospacing="0" w:after="0" w:afterAutospacing="0"/>
              <w:jc w:val="both"/>
              <w:textAlignment w:val="baseline"/>
              <w:rPr>
                <w:rFonts w:ascii="Segoe UI" w:hAnsi="Segoe UI" w:cs="Segoe UI"/>
                <w:color w:val="000000"/>
                <w:sz w:val="18"/>
                <w:szCs w:val="18"/>
              </w:rPr>
            </w:pPr>
            <w:r w:rsidRPr="00156BB1">
              <w:rPr>
                <w:rStyle w:val="normaltextrun"/>
                <w:rFonts w:ascii="Calibri" w:hAnsi="Calibri" w:cs="Calibri"/>
                <w:color w:val="000000"/>
                <w:sz w:val="20"/>
                <w:szCs w:val="20"/>
              </w:rPr>
              <w:t>GABINETE DO DESEMBARGADOR SÉRGIO ROCHA</w:t>
            </w:r>
            <w:r w:rsidR="00156BB1" w:rsidRPr="00156BB1">
              <w:rPr>
                <w:rStyle w:val="eop"/>
                <w:rFonts w:ascii="Calibri" w:hAnsi="Calibri" w:cs="Calibri"/>
                <w:color w:val="000000"/>
                <w:sz w:val="20"/>
                <w:szCs w:val="20"/>
              </w:rPr>
              <w:t xml:space="preserve">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A4543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ascii="Arial" w:hAnsi="Arial" w:cs="Arial"/>
                <w:color w:val="000000"/>
                <w:sz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156BB1" w:rsidRDefault="004236F7" w:rsidP="00156BB1">
                <w:pPr>
                  <w:rPr>
                    <w:rFonts w:ascii="Arial" w:hAnsi="Arial" w:cs="Arial"/>
                    <w:color w:val="000000"/>
                    <w:sz w:val="28"/>
                  </w:rPr>
                </w:pPr>
                <w:r w:rsidRPr="00156BB1">
                  <w:rPr>
                    <w:rFonts w:ascii="Arial" w:hAnsi="Arial" w:cs="Arial"/>
                    <w:color w:val="000000"/>
                    <w:sz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r>
              <w:rPr>
                <w:rFonts w:ascii="Arial" w:hAnsi="Arial" w:cs="Arial"/>
                <w:sz w:val="28"/>
                <w:szCs w:val="28"/>
              </w:rPr>
              <w:t>0740001-09.2026.8.07.0000</w:t>
            </w:r>
            <w:commentRangeEnd w:id="0"/>
            <w:r w:rsidRPr="009F36E1">
              <w:rPr>
                <w:rStyle w:val="Refdecomentrio"/>
                <w:rFonts w:ascii="Arial" w:hAnsi="Arial" w:cs="Arial"/>
                <w:sz w:val="28"/>
                <w:szCs w:val="28"/>
              </w:rPr>
              <w:commentReference w:id="0"/>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A4543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11AFCF68" w:rsidR="004236F7" w:rsidRPr="009F36E1" w:rsidRDefault="00156BB1">
            <w:pPr>
              <w:rPr>
                <w:rFonts w:ascii="Arial" w:hAnsi="Arial" w:cs="Arial"/>
                <w:sz w:val="28"/>
                <w:szCs w:val="28"/>
              </w:rPr>
            </w:pPr>
            <w:r w:rsidRPr="00156BB1">
              <w:rPr>
                <w:rFonts w:ascii="Arial" w:hAnsi="Arial" w:cs="Arial"/>
                <w:color w:val="000000"/>
                <w:sz w:val="28"/>
                <w:szCs w:val="28"/>
              </w:rPr>
              <w:t>ASSOCIAÇÃO DE ASSISTÊNCIA DOS SERVIDORES PÚBLICOS DO DISTRITO FEDERAL - ASBR</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A4543F">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20B47AFC" w:rsidR="004236F7" w:rsidRPr="009F36E1" w:rsidRDefault="00156BB1">
            <w:pPr>
              <w:ind w:right="-74"/>
              <w:rPr>
                <w:rFonts w:ascii="Arial" w:hAnsi="Arial" w:cs="Arial"/>
                <w:sz w:val="28"/>
                <w:szCs w:val="28"/>
              </w:rPr>
            </w:pPr>
            <w:r w:rsidRPr="00156BB1">
              <w:rPr>
                <w:rFonts w:ascii="Arial" w:hAnsi="Arial" w:cs="Arial"/>
                <w:color w:val="000000"/>
                <w:sz w:val="28"/>
                <w:szCs w:val="28"/>
              </w:rPr>
              <w:t>ELIZABETE NASCIMENTO DE OLIVEIRA</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04218A08" w14:textId="77777777" w:rsidR="008D07FC" w:rsidRDefault="00A4543F">
      <w:pPr>
        <w:spacing w:after="0" w:line="360" w:lineRule="auto"/>
        <w:jc w:val="left"/>
        <w:rPr>
          <w:rFonts w:ascii="Arial" w:hAnsi="Arial" w:cs="Arial"/>
          <w:color w:val="595959"/>
          <w:sz w:val="28"/>
          <w:szCs w:val="28"/>
        </w:rPr>
      </w:pPr>
      <w:commentRangeStart w:id="13"/>
      <w:r>
        <w:rPr>
          <w:rFonts w:ascii="Arial" w:hAnsi="Arial" w:cs="Arial"/>
          <w:b/>
          <w:bCs/>
          <w:color w:val="595959"/>
          <w:sz w:val="28"/>
          <w:szCs w:val="28"/>
        </w:rPr>
        <w:t>EMENTA</w:t>
      </w:r>
      <w:commentRangeEnd w:id="13"/>
      <w:r>
        <w:rPr>
          <w:rStyle w:val="CommentReference"/>
        </w:rPr>
        <w:commentReference w:id="13"/>
      </w:r>
    </w:p>
    <w:p w14:paraId="15B918DE" w14:textId="77777777" w:rsidR="008D07FC" w:rsidRDefault="008D07FC">
      <w:pPr>
        <w:spacing w:after="0" w:line="360" w:lineRule="auto"/>
        <w:jc w:val="both"/>
        <w:rPr>
          <w:rFonts w:ascii="Arial" w:hAnsi="Arial" w:cs="Arial"/>
          <w:color w:val="595959"/>
          <w:sz w:val="28"/>
          <w:szCs w:val="28"/>
        </w:rPr>
      </w:pPr>
    </w:p>
    <w:p w14:paraId="78FBCCD2" w14:textId="736CF851"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AGRAVO DE INSTRUMENTO. DIREITO PROCESSUAL CIVIL. EXECUÇÃO DE TÍTULO EXTRAJUDICIAL. PESQUISA PATRIMONIAL. SISBAJUD. REITERAÇÃO PROGRAMADA (“TEIMOSINHA”). DECURSO DE PRAZO SUPERIOR A UM ANO. RECURSO PROVIDO.</w:t>
      </w:r>
    </w:p>
    <w:p w14:paraId="6EED7BC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27B1E233" w14:textId="77777777" w:rsidR="008D07FC" w:rsidRDefault="00A4543F">
      <w:pPr>
        <w:spacing w:after="0" w:line="360" w:lineRule="auto"/>
        <w:jc w:val="both"/>
        <w:rPr>
          <w:rFonts w:ascii="Arial" w:hAnsi="Arial" w:cs="Arial"/>
          <w:color w:val="595959"/>
          <w:sz w:val="28"/>
          <w:szCs w:val="28"/>
        </w:rPr>
      </w:pPr>
      <w:commentRangeStart w:id="2"/>
      <w:r>
        <w:rPr>
          <w:rFonts w:ascii="Arial" w:hAnsi="Arial" w:cs="Arial"/>
          <w:color w:val="595959"/>
          <w:sz w:val="28"/>
          <w:szCs w:val="28"/>
        </w:rPr>
        <w:t xml:space="preserve">1. Ação de execução de título extrajudicial proposta </w:t>
      </w:r>
      <w:r>
        <w:rPr>
          <w:rFonts w:ascii="Arial" w:hAnsi="Arial" w:cs="Arial"/>
          <w:color w:val="808080"/>
          <w:sz w:val="28"/>
          <w:szCs w:val="28"/>
        </w:rPr>
        <w:t xml:space="preserve">pela</w:t>
      </w:r>
      <w:r>
        <w:rPr>
          <w:rFonts w:ascii="Arial" w:hAnsi="Arial" w:cs="Arial"/>
          <w:color w:val="595959"/>
          <w:sz w:val="28"/>
          <w:szCs w:val="28"/>
        </w:rPr>
        <w:t xml:space="preserve"> </w:t>
      </w:r>
      <w:r>
        <w:rPr>
          <w:rFonts w:ascii="Arial" w:hAnsi="Arial" w:cs="Arial"/>
          <w:color w:val="808080"/>
          <w:sz w:val="28"/>
          <w:szCs w:val="28"/>
        </w:rPr>
        <w:t xml:space="preserve">Associação</w:t>
      </w:r>
      <w:r>
        <w:rPr>
          <w:rFonts w:ascii="Arial" w:hAnsi="Arial" w:cs="Arial"/>
          <w:color w:val="595959"/>
          <w:sz w:val="28"/>
          <w:szCs w:val="28"/>
        </w:rPr>
        <w:t xml:space="preserve"> </w:t>
      </w:r>
      <w:r>
        <w:rPr>
          <w:rFonts w:ascii="Arial" w:hAnsi="Arial" w:cs="Arial"/>
          <w:color w:val="808080"/>
          <w:sz w:val="28"/>
          <w:szCs w:val="28"/>
        </w:rPr>
        <w:t xml:space="preserve">de</w:t>
      </w:r>
      <w:r>
        <w:rPr>
          <w:rFonts w:ascii="Arial" w:hAnsi="Arial" w:cs="Arial"/>
          <w:color w:val="595959"/>
          <w:sz w:val="28"/>
          <w:szCs w:val="28"/>
        </w:rPr>
        <w:t xml:space="preserve"> </w:t>
      </w:r>
      <w:r>
        <w:rPr>
          <w:rFonts w:ascii="Arial" w:hAnsi="Arial" w:cs="Arial"/>
          <w:color w:val="808080"/>
          <w:sz w:val="28"/>
          <w:szCs w:val="28"/>
        </w:rPr>
        <w:t xml:space="preserve">Assistência</w:t>
      </w:r>
      <w:r>
        <w:rPr>
          <w:rFonts w:ascii="Arial" w:hAnsi="Arial" w:cs="Arial"/>
          <w:color w:val="595959"/>
          <w:sz w:val="28"/>
          <w:szCs w:val="28"/>
        </w:rPr>
        <w:t xml:space="preserve"> </w:t>
      </w:r>
      <w:r>
        <w:rPr>
          <w:rFonts w:ascii="Arial" w:hAnsi="Arial" w:cs="Arial"/>
          <w:color w:val="808080"/>
          <w:sz w:val="28"/>
          <w:szCs w:val="28"/>
        </w:rPr>
        <w:t xml:space="preserve">dos</w:t>
      </w:r>
      <w:r>
        <w:rPr>
          <w:rFonts w:ascii="Arial" w:hAnsi="Arial" w:cs="Arial"/>
          <w:color w:val="595959"/>
          <w:sz w:val="28"/>
          <w:szCs w:val="28"/>
        </w:rPr>
        <w:t xml:space="preserve"> </w:t>
      </w:r>
      <w:r>
        <w:rPr>
          <w:rFonts w:ascii="Arial" w:hAnsi="Arial" w:cs="Arial"/>
          <w:color w:val="808080"/>
          <w:sz w:val="28"/>
          <w:szCs w:val="28"/>
        </w:rPr>
        <w:t xml:space="preserve">Servidores</w:t>
      </w:r>
      <w:r>
        <w:rPr>
          <w:rFonts w:ascii="Arial" w:hAnsi="Arial" w:cs="Arial"/>
          <w:color w:val="595959"/>
          <w:sz w:val="28"/>
          <w:szCs w:val="28"/>
        </w:rPr>
        <w:t xml:space="preserve"> </w:t>
      </w:r>
      <w:r>
        <w:rPr>
          <w:rFonts w:ascii="Arial" w:hAnsi="Arial" w:cs="Arial"/>
          <w:color w:val="808080"/>
          <w:sz w:val="28"/>
          <w:szCs w:val="28"/>
        </w:rPr>
        <w:t xml:space="preserve">Públicos</w:t>
      </w:r>
      <w:r>
        <w:rPr>
          <w:rFonts w:ascii="Arial" w:hAnsi="Arial" w:cs="Arial"/>
          <w:color w:val="595959"/>
          <w:sz w:val="28"/>
          <w:szCs w:val="28"/>
        </w:rPr>
        <w:t xml:space="preserve"> </w:t>
      </w:r>
      <w:r>
        <w:rPr>
          <w:rFonts w:ascii="Arial" w:hAnsi="Arial" w:cs="Arial"/>
          <w:color w:val="808080"/>
          <w:sz w:val="28"/>
          <w:szCs w:val="28"/>
        </w:rPr>
        <w:t xml:space="preserve">do</w:t>
      </w:r>
      <w:r>
        <w:rPr>
          <w:rFonts w:ascii="Arial" w:hAnsi="Arial" w:cs="Arial"/>
          <w:color w:val="595959"/>
          <w:sz w:val="28"/>
          <w:szCs w:val="28"/>
        </w:rPr>
        <w:t xml:space="preserve"> </w:t>
      </w:r>
      <w:r>
        <w:rPr>
          <w:rFonts w:ascii="Arial" w:hAnsi="Arial" w:cs="Arial"/>
          <w:color w:val="808080"/>
          <w:sz w:val="28"/>
          <w:szCs w:val="28"/>
        </w:rPr>
        <w:t xml:space="preserve">Distrito</w:t>
      </w:r>
      <w:r>
        <w:rPr>
          <w:rFonts w:ascii="Arial" w:hAnsi="Arial" w:cs="Arial"/>
          <w:color w:val="595959"/>
          <w:sz w:val="28"/>
          <w:szCs w:val="28"/>
        </w:rPr>
        <w:t xml:space="preserve"> </w:t>
      </w:r>
      <w:r>
        <w:rPr>
          <w:rFonts w:ascii="Arial" w:hAnsi="Arial" w:cs="Arial"/>
          <w:color w:val="808080"/>
          <w:sz w:val="28"/>
          <w:szCs w:val="28"/>
        </w:rPr>
        <w:t xml:space="preserve">Federal</w:t>
      </w:r>
      <w:r>
        <w:rPr>
          <w:rFonts w:ascii="Arial" w:hAnsi="Arial" w:cs="Arial"/>
          <w:color w:val="595959"/>
          <w:sz w:val="28"/>
          <w:szCs w:val="28"/>
        </w:rPr>
        <w:t xml:space="preserve"> - ASBR contra pessoa natural, </w:t>
      </w:r>
      <w:r>
        <w:rPr>
          <w:rFonts w:ascii="Arial" w:hAnsi="Arial" w:cs="Arial"/>
          <w:color w:val="808080"/>
          <w:sz w:val="28"/>
          <w:szCs w:val="28"/>
        </w:rPr>
        <w:t xml:space="preserve">visando</w:t>
      </w:r>
      <w:r>
        <w:rPr>
          <w:rFonts w:ascii="Arial" w:hAnsi="Arial" w:cs="Arial"/>
          <w:color w:val="595959"/>
          <w:sz w:val="28"/>
          <w:szCs w:val="28"/>
        </w:rPr>
        <w:t xml:space="preserve"> </w:t>
      </w:r>
      <w:r>
        <w:rPr>
          <w:rFonts w:ascii="Arial" w:hAnsi="Arial" w:cs="Arial"/>
          <w:color w:val="808080"/>
          <w:sz w:val="28"/>
          <w:szCs w:val="28"/>
        </w:rPr>
        <w:t xml:space="preserve">à</w:t>
      </w:r>
      <w:r>
        <w:rPr>
          <w:rFonts w:ascii="Arial" w:hAnsi="Arial" w:cs="Arial"/>
          <w:color w:val="595959"/>
          <w:sz w:val="28"/>
          <w:szCs w:val="28"/>
        </w:rPr>
        <w:t xml:space="preserve"> satisfação de crédito</w:t>
      </w:r>
      <w:r>
        <w:rPr>
          <w:rFonts w:ascii="Arial" w:hAnsi="Arial" w:cs="Arial"/>
          <w:color w:val="595959"/>
          <w:sz w:val="28"/>
          <w:szCs w:val="28"/>
        </w:rPr>
        <w:t xml:space="preserve"> representado por títulos emitidos em favor da exequente</w:t>
      </w:r>
      <w:r>
        <w:rPr>
          <w:rFonts w:ascii="Arial" w:hAnsi="Arial" w:cs="Arial"/>
          <w:color w:val="808080"/>
          <w:sz w:val="28"/>
          <w:szCs w:val="28"/>
        </w:rPr>
        <w:t xml:space="preserve"> (R$ 28</w:t>
      </w:r>
      <w:r>
        <w:rPr>
          <w:rFonts w:ascii="Arial" w:hAnsi="Arial" w:cs="Arial"/>
          <w:color w:val="595959"/>
          <w:sz w:val="28"/>
          <w:szCs w:val="28"/>
        </w:rPr>
        <w:t xml:space="preserve">.</w:t>
      </w:r>
      <w:commentRangeEnd w:id="2"/>
      <w:r>
        <w:rPr>
          <w:rStyle w:val="CommentReference"/>
        </w:rPr>
        <w:commentReference w:id="2"/>
      </w:r>
      <w:r>
        <w:rPr>
          <w:rFonts w:ascii="Arial" w:hAnsi="Arial" w:cs="Arial"/>
          <w:color w:val="808080"/>
          <w:sz w:val="28"/>
          <w:szCs w:val="28"/>
        </w:rPr>
        <w:t xml:space="preserve">840,51).</w:t>
      </w:r>
    </w:p>
    <w:p w14:paraId="6E3F89D4" w14:textId="77777777"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 xml:space="preserve">2. A decisão agravada indeferiu a renovação da pesquisa de ativos financeiros pelo sistema SISBAJUD, na modalidade reiterada (“teimosinha”), ao fundamento de que a pesquisa anterior foi </w:t>
      </w:r>
      <w:r>
        <w:rPr>
          <w:rFonts w:ascii="Arial" w:hAnsi="Arial" w:cs="Arial"/>
          <w:color w:val="595959"/>
          <w:sz w:val="28"/>
          <w:szCs w:val="28"/>
        </w:rPr>
        <w:lastRenderedPageBreak/>
        <w:t>infrutífera e de que inexistem elementos concretos de alteração da situação patrimonial da executada.</w:t>
      </w:r>
    </w:p>
    <w:p w14:paraId="169778EA" w14:textId="6ED24CC9"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3. A exequente agrava requerendo a realização de pesquisa e penhora de ativos financeiros pelo SISBAJUD, na modalidade reiterada por 30 dias, ao sustentar que o lapso temporal transcorrido justifica a renovação das pesquisas, que o indeferimento foi fundamentado de forma genérica e que a modalidade reiterada é medida legítima e adequada à localização de ativos financeiros.</w:t>
      </w:r>
    </w:p>
    <w:p w14:paraId="4C0655E4"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2A19DE1A" w14:textId="1AD99A05" w:rsidR="008D07FC" w:rsidRDefault="00A4543F">
      <w:pPr>
        <w:spacing w:after="0" w:line="360" w:lineRule="auto"/>
        <w:jc w:val="both"/>
        <w:rPr>
          <w:rFonts w:ascii="Arial" w:hAnsi="Arial" w:cs="Arial"/>
          <w:color w:val="595959"/>
          <w:sz w:val="28"/>
          <w:szCs w:val="28"/>
        </w:rPr>
      </w:pPr>
      <w:r>
        <w:rPr>
          <w:rFonts w:ascii="Arial" w:hAnsi="Arial" w:cs="Arial"/>
          <w:color w:val="595959"/>
          <w:sz w:val="28"/>
          <w:szCs w:val="28"/>
        </w:rPr>
        <w:t xml:space="preserve">4. </w:t>
      </w:r>
      <w:r>
        <w:rPr>
          <w:rFonts w:ascii="Arial" w:hAnsi="Arial" w:cs="Arial"/>
          <w:color w:val="595959"/>
          <w:sz w:val="28"/>
          <w:szCs w:val="28"/>
        </w:rPr>
        <w:t xml:space="preserve">A questão</w:t>
      </w:r>
      <w:r>
        <w:rPr>
          <w:rFonts w:ascii="Arial" w:hAnsi="Arial" w:cs="Arial"/>
          <w:color w:val="595959"/>
          <w:sz w:val="28"/>
          <w:szCs w:val="28"/>
        </w:rPr>
        <w:t xml:space="preserve"> em discussão</w:t>
      </w:r>
      <w:r>
        <w:rPr>
          <w:rFonts w:ascii="Arial" w:hAnsi="Arial" w:cs="Arial"/>
          <w:color w:val="595959"/>
          <w:sz w:val="28"/>
          <w:szCs w:val="28"/>
        </w:rPr>
        <w:t xml:space="preserve"> consiste</w:t>
      </w:r>
      <w:r>
        <w:rPr>
          <w:rFonts w:ascii="Arial" w:hAnsi="Arial" w:cs="Arial"/>
          <w:color w:val="595959"/>
          <w:sz w:val="28"/>
          <w:szCs w:val="28"/>
        </w:rPr>
        <w:t xml:space="preserve"> em saber se o decurso de prazo superior a um ano desde a última pesquisa autoriza a renovação da consulta ao SISBAJUD, na modalidade reiterada, independentemente de prova de alteração da situação econômica </w:t>
      </w:r>
      <w:r>
        <w:rPr>
          <w:rFonts w:ascii="Arial" w:hAnsi="Arial" w:cs="Arial"/>
          <w:color w:val="808080"/>
          <w:sz w:val="28"/>
          <w:szCs w:val="28"/>
        </w:rPr>
        <w:t xml:space="preserve">da</w:t>
      </w:r>
      <w:r>
        <w:rPr>
          <w:rFonts w:ascii="Arial" w:hAnsi="Arial" w:cs="Arial"/>
          <w:color w:val="595959"/>
          <w:sz w:val="28"/>
          <w:szCs w:val="28"/>
        </w:rPr>
        <w:t xml:space="preserve"> </w:t>
      </w:r>
      <w:r>
        <w:rPr>
          <w:rFonts w:ascii="Arial" w:hAnsi="Arial" w:cs="Arial"/>
          <w:color w:val="808080"/>
          <w:sz w:val="28"/>
          <w:szCs w:val="28"/>
        </w:rPr>
        <w:t xml:space="preserve">executada</w:t>
      </w:r>
      <w:r>
        <w:rPr>
          <w:rFonts w:ascii="Arial" w:hAnsi="Arial" w:cs="Arial"/>
          <w:color w:val="595959"/>
          <w:sz w:val="28"/>
          <w:szCs w:val="28"/>
        </w:rPr>
        <w:t xml:space="preserve">.</w:t>
      </w:r>
    </w:p>
    <w:p w14:paraId="3D6A4FDB"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66F1AB75" w14:textId="1B9A3D97" w:rsidR="008D07FC" w:rsidRDefault="00B34CC8">
      <w:pPr>
        <w:spacing w:after="0" w:line="360" w:lineRule="auto"/>
        <w:jc w:val="both"/>
        <w:rPr>
          <w:rFonts w:ascii="Arial" w:hAnsi="Arial" w:cs="Arial"/>
          <w:color w:val="595959"/>
          <w:sz w:val="28"/>
          <w:szCs w:val="28"/>
        </w:rPr>
      </w:pPr>
      <w:r w:rsidRPr="00B34CC8">
        <w:rPr>
          <w:rFonts w:ascii="Arial" w:hAnsi="Arial" w:cs="Arial"/>
          <w:color w:val="595959"/>
          <w:sz w:val="28"/>
          <w:szCs w:val="28"/>
        </w:rPr>
        <w:t>5. O transcurso de prazo superior a um ano desde a última pesquisa patrimonial pelo SISBAJUD (09/07/2025) constitui critério objetivo suficiente para justificar nova consulta, dispensada a prova de modificação da situação econômica do executado, diante da dinamicidade das relações financeiras.</w:t>
      </w:r>
    </w:p>
    <w:p w14:paraId="604BA408" w14:textId="1F4737FB" w:rsidR="008D07FC" w:rsidRDefault="00B34CC8">
      <w:pPr>
        <w:spacing w:after="0" w:line="360" w:lineRule="auto"/>
        <w:jc w:val="both"/>
        <w:rPr>
          <w:rFonts w:ascii="Arial" w:hAnsi="Arial" w:cs="Arial"/>
          <w:color w:val="595959"/>
          <w:sz w:val="28"/>
          <w:szCs w:val="28"/>
        </w:rPr>
      </w:pPr>
      <w:r w:rsidRPr="00B34CC8">
        <w:rPr>
          <w:rFonts w:ascii="Arial" w:hAnsi="Arial" w:cs="Arial"/>
          <w:color w:val="595959"/>
          <w:sz w:val="28"/>
          <w:szCs w:val="28"/>
        </w:rPr>
        <w:t>6. A funcionalidade de repetição</w:t>
      </w:r>
      <w:r>
        <w:rPr>
          <w:rFonts w:ascii="Arial" w:hAnsi="Arial" w:cs="Arial"/>
          <w:color w:val="595959"/>
          <w:sz w:val="28"/>
          <w:szCs w:val="28"/>
        </w:rPr>
        <w:t xml:space="preserve"> programada da ordem de bloqueio de ativos financeiros, conhecida como “teimosinha”, racionaliza a administração dos serviços judiciários e agrega efetividade à execução, de modo que a rotina cartorária não justifica o seu indeferimento.</w:t>
      </w:r>
    </w:p>
    <w:p w14:paraId="50E0C2C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599C9658" w14:textId="733D7864" w:rsidR="008D07FC" w:rsidRDefault="00B34CC8">
      <w:pPr>
        <w:spacing w:after="0" w:line="360" w:lineRule="auto"/>
        <w:jc w:val="both"/>
        <w:rPr>
          <w:rFonts w:ascii="Arial" w:hAnsi="Arial" w:cs="Arial"/>
          <w:color w:val="595959"/>
          <w:sz w:val="28"/>
          <w:szCs w:val="28"/>
        </w:rPr>
      </w:pPr>
      <w:commentRangeStart w:id="3"/>
      <w:r>
        <w:rPr>
          <w:rFonts w:ascii="Arial" w:hAnsi="Arial" w:cs="Arial"/>
          <w:color w:val="595959"/>
          <w:sz w:val="28"/>
          <w:szCs w:val="28"/>
        </w:rPr>
        <w:t xml:space="preserve">7. Deu-se provimento ao agravo de instru</w:t>
      </w:r>
      <w:r>
        <w:rPr>
          <w:rFonts w:ascii="Arial" w:hAnsi="Arial" w:cs="Arial"/>
          <w:color w:val="595959"/>
          <w:sz w:val="28"/>
          <w:szCs w:val="28"/>
        </w:rPr>
        <w:t xml:space="preserve">mento</w:t>
      </w:r>
      <w:r>
        <w:rPr>
          <w:rFonts w:ascii="Arial" w:hAnsi="Arial" w:cs="Arial"/>
          <w:color w:val="808080"/>
          <w:sz w:val="28"/>
          <w:szCs w:val="28"/>
        </w:rPr>
        <w:t xml:space="preserve"> da exequente</w:t>
      </w:r>
      <w:r>
        <w:rPr>
          <w:rFonts w:ascii="Arial" w:hAnsi="Arial" w:cs="Arial"/>
          <w:color w:val="595959"/>
          <w:sz w:val="28"/>
          <w:szCs w:val="28"/>
        </w:rPr>
        <w:t xml:space="preserve"> para determinar a realização de pesquisa e eventual bloqueio de ativos financeiros em </w:t>
      </w:r>
      <w:r>
        <w:rPr>
          <w:rFonts w:ascii="Arial" w:hAnsi="Arial" w:cs="Arial"/>
          <w:color w:val="595959"/>
          <w:sz w:val="28"/>
          <w:szCs w:val="28"/>
        </w:rPr>
        <w:t xml:space="preserve">nome da executada no sistema SISBAJUD, na modalidade reiterada por 30 dias.</w:t>
      </w:r>
      <w:commentRangeEnd w:id="3"/>
      <w:r>
        <w:rPr>
          <w:rStyle w:val="CommentReference"/>
        </w:rPr>
        <w:commentReference w:id="3"/>
      </w:r>
    </w:p>
    <w:p w14:paraId="67409033" w14:textId="77777777" w:rsidR="008D07FC" w:rsidRDefault="00A4543F">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32E8D363" w14:textId="77777777" w:rsidR="008D07FC" w:rsidRDefault="00A4543F">
      <w:pPr>
        <w:keepNext/>
        <w:spacing w:after="0" w:line="360" w:lineRule="auto"/>
        <w:jc w:val="both"/>
        <w:rPr>
          <w:rFonts w:ascii="Arial" w:hAnsi="Arial" w:cs="Arial"/>
          <w:color w:val="595959"/>
          <w:sz w:val="26"/>
          <w:szCs w:val="26"/>
        </w:rPr>
      </w:pPr>
      <w:r>
        <w:rPr>
          <w:rFonts w:ascii="Arial" w:hAnsi="Arial" w:cs="Arial"/>
          <w:i/>
          <w:iCs/>
          <w:color w:val="595959"/>
          <w:sz w:val="26"/>
          <w:szCs w:val="26"/>
        </w:rPr>
        <w:t>Dispositivos relevantes citados:</w:t>
      </w:r>
      <w:r>
        <w:rPr>
          <w:rFonts w:ascii="Arial" w:hAnsi="Arial" w:cs="Arial"/>
          <w:color w:val="595959"/>
          <w:sz w:val="26"/>
          <w:szCs w:val="26"/>
        </w:rPr>
        <w:t xml:space="preserve"> CPC, art. 854.</w:t>
      </w:r>
    </w:p>
    <w:p w14:paraId="29025528" w14:textId="436330A2" w:rsidR="008D07FC" w:rsidRDefault="00A4543F">
      <w:pPr>
        <w:spacing w:after="0" w:line="360" w:lineRule="auto"/>
        <w:jc w:val="both"/>
        <w:rPr>
          <w:rFonts w:ascii="Arial" w:hAnsi="Arial" w:cs="Arial"/>
          <w:color w:val="595959"/>
          <w:sz w:val="26"/>
          <w:szCs w:val="26"/>
        </w:rPr>
      </w:pPr>
      <w:commentRangeStart w:id="4"/>
      <w:r>
        <w:rPr>
          <w:rFonts w:ascii="Arial" w:hAnsi="Arial" w:cs="Arial"/>
          <w:i/>
          <w:iCs/>
          <w:color w:val="595959"/>
          <w:sz w:val="26"/>
          <w:szCs w:val="26"/>
        </w:rPr>
        <w:t xml:space="preserve">Jurisprudência relevante citada:</w:t>
      </w:r>
      <w:r>
        <w:rPr>
          <w:rFonts w:ascii="Arial" w:hAnsi="Arial" w:cs="Arial"/>
          <w:color w:val="595959"/>
          <w:sz w:val="26"/>
          <w:szCs w:val="26"/>
        </w:rPr>
        <w:t xml:space="preserve"> TJDFT, Acórdão nº 1990502, AGI nº 0700850-70.2025.8.07.0000, Rel. Aiston Henrique de Sousa, 4ª Turma Cível, j. 10/04/2025, DJe 07/05/2025; TJDFT, Acórdão nº </w:t>
      </w:r>
      <w:r>
        <w:rPr>
          <w:rFonts w:ascii="Arial" w:hAnsi="Arial" w:cs="Arial"/>
          <w:color w:val="595959"/>
          <w:sz w:val="26"/>
          <w:szCs w:val="26"/>
        </w:rPr>
        <w:t xml:space="preserve">2087914, AGI nº 0737001-35.2025.8.07.0000, Rel. James Eduardo Oliveira, 4ª T</w:t>
      </w:r>
      <w:r>
        <w:rPr>
          <w:rFonts w:ascii="Arial" w:hAnsi="Arial" w:cs="Arial"/>
          <w:color w:val="595959"/>
          <w:sz w:val="26"/>
          <w:szCs w:val="26"/>
        </w:rPr>
        <w:t xml:space="preserve">urma Cível, j. 05/02/2026, DJe 16/03/2026.</w:t>
      </w:r>
      <w:commentRangeEnd w:id="4"/>
      <w:r>
        <w:rPr>
          <w:rStyle w:val="CommentReference"/>
        </w:rPr>
        <w:commentReference w:id="4"/>
      </w:r>
    </w:p>
    <w:p w14:paraId="5989B15A" w14:textId="77777777" w:rsidR="008D07FC" w:rsidRDefault="008D07FC">
      <w:pPr>
        <w:spacing w:after="0" w:line="360" w:lineRule="auto"/>
        <w:jc w:val="both"/>
        <w:rPr>
          <w:rFonts w:ascii="Arial" w:hAnsi="Arial" w:cs="Arial"/>
          <w:color w:val="595959"/>
          <w:sz w:val="28"/>
          <w:szCs w:val="28"/>
        </w:rPr>
      </w:pPr>
    </w:p>
    <w:p w14:paraId="1265B106" w14:textId="77777777" w:rsidR="008D07FC" w:rsidRDefault="00A4543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DECISÃO INTERLOCUTÓRIA</w:t>
      </w:r>
    </w:p>
    <w:p w14:paraId="6244F929" w14:textId="77777777" w:rsidR="008D07FC" w:rsidRDefault="00A4543F">
      <w:pPr>
        <w:spacing w:after="0" w:line="360" w:lineRule="auto"/>
        <w:jc w:val="both"/>
        <w:rPr>
          <w:rFonts w:ascii="Arial" w:hAnsi="Arial" w:cs="Arial"/>
          <w:color w:val="FF0000"/>
          <w:sz w:val="28"/>
          <w:szCs w:val="28"/>
        </w:rPr>
      </w:pPr>
      <w:r>
        <w:rPr>
          <w:rFonts w:ascii="Arial" w:hAnsi="Arial" w:cs="Arial"/>
          <w:color w:val="FF0000"/>
          <w:sz w:val="28"/>
          <w:szCs w:val="28"/>
        </w:rPr>
        <w:t>I. RAZÕES DE DECIDIR</w:t>
      </w:r>
    </w:p>
    <w:p w14:paraId="0B178CC3"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Pesquisa anterior infrutífera</w:t>
      </w:r>
    </w:p>
    <w:p w14:paraId="217FD9C7" w14:textId="77777777"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1.</w:t>
      </w:r>
      <w:r>
        <w:rPr>
          <w:rFonts w:ascii="Arial" w:hAnsi="Arial" w:cs="Arial"/>
          <w:color w:val="FF0000"/>
          <w:sz w:val="28"/>
          <w:szCs w:val="28"/>
        </w:rPr>
        <w:t xml:space="preserve"> Entendeu que a pesquisa anterior pelo SISBAJUD foi infrutífera, o que não indica probabilidade concreta de resultado útil na reiteração automática da medida.</w:t>
      </w:r>
    </w:p>
    <w:p w14:paraId="40D25EF7"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Juízo de adequação da modalidade reiterada</w:t>
      </w:r>
    </w:p>
    <w:p w14:paraId="619201FF" w14:textId="77777777"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2.</w:t>
      </w:r>
      <w:r>
        <w:rPr>
          <w:rFonts w:ascii="Arial" w:hAnsi="Arial" w:cs="Arial"/>
          <w:color w:val="FF0000"/>
          <w:sz w:val="28"/>
          <w:szCs w:val="28"/>
        </w:rPr>
        <w:t xml:space="preserve"> Afirmou que a busca automaticamente reiterada pressupõe elementos que indiquem a probabilidade de êxito da medida, não bastando a existência de débito pendente.</w:t>
      </w:r>
    </w:p>
    <w:p w14:paraId="39636C6D"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Racionalidade administrativa</w:t>
      </w:r>
    </w:p>
    <w:p w14:paraId="364374CE" w14:textId="7D514153" w:rsidR="008D07FC" w:rsidRDefault="00A4543F">
      <w:pPr>
        <w:spacing w:after="0" w:line="360" w:lineRule="auto"/>
        <w:jc w:val="both"/>
        <w:rPr>
          <w:rFonts w:ascii="Arial" w:hAnsi="Arial" w:cs="Arial"/>
          <w:color w:val="FF0000"/>
          <w:sz w:val="28"/>
          <w:szCs w:val="28"/>
        </w:rPr>
      </w:pPr>
      <w:r w:rsidRPr="00156BB1">
        <w:rPr>
          <w:rFonts w:ascii="Arial" w:hAnsi="Arial" w:cs="Arial"/>
          <w:b/>
          <w:color w:val="FF0000"/>
          <w:sz w:val="28"/>
          <w:szCs w:val="28"/>
        </w:rPr>
        <w:t>3.</w:t>
      </w:r>
      <w:r>
        <w:rPr>
          <w:rFonts w:ascii="Arial" w:hAnsi="Arial" w:cs="Arial"/>
          <w:color w:val="FF0000"/>
          <w:sz w:val="28"/>
          <w:szCs w:val="28"/>
        </w:rPr>
        <w:t xml:space="preserve"> Considerou que cada dia de reiteração gera protocolo próprio, a exigir atuação cartorária sucessiva, incompatível com o acervo e o quadro de servidores da vara.</w:t>
      </w:r>
    </w:p>
    <w:p w14:paraId="54E4C931" w14:textId="77777777" w:rsidR="008D07FC" w:rsidRPr="00156BB1" w:rsidRDefault="00A4543F">
      <w:pPr>
        <w:spacing w:after="0" w:line="360" w:lineRule="auto"/>
        <w:jc w:val="both"/>
        <w:rPr>
          <w:rFonts w:ascii="Arial" w:hAnsi="Arial" w:cs="Arial"/>
          <w:b/>
          <w:color w:val="FF0000"/>
          <w:sz w:val="28"/>
          <w:szCs w:val="28"/>
        </w:rPr>
      </w:pPr>
      <w:r w:rsidRPr="00156BB1">
        <w:rPr>
          <w:rFonts w:ascii="Arial" w:hAnsi="Arial" w:cs="Arial"/>
          <w:b/>
          <w:color w:val="FF0000"/>
          <w:sz w:val="28"/>
          <w:szCs w:val="28"/>
        </w:rPr>
        <w:t>Ônus do credor</w:t>
      </w:r>
    </w:p>
    <w:p w14:paraId="68074C24" w14:textId="77777777" w:rsidR="008D07FC" w:rsidRDefault="00A4543F">
      <w:pPr>
        <w:spacing w:after="0" w:line="360" w:lineRule="auto"/>
        <w:jc w:val="both"/>
        <w:rPr>
          <w:rFonts w:ascii="Arial" w:hAnsi="Arial" w:cs="Arial"/>
          <w:color w:val="FF0000"/>
          <w:sz w:val="28"/>
          <w:szCs w:val="28"/>
        </w:rPr>
      </w:pPr>
      <w:commentRangeStart w:id="5"/>
      <w:r>
        <w:rPr>
          <w:rFonts w:ascii="Arial" w:hAnsi="Arial" w:cs="Arial"/>
          <w:b/>
          <w:color w:val="FF0000"/>
          <w:sz w:val="28"/>
          <w:szCs w:val="28"/>
        </w:rPr>
        <w:t xml:space="preserve">4.</w:t>
      </w:r>
      <w:r>
        <w:rPr>
          <w:rFonts w:ascii="Arial" w:hAnsi="Arial" w:cs="Arial"/>
          <w:color w:val="FF0000"/>
          <w:sz w:val="28"/>
          <w:szCs w:val="28"/>
        </w:rPr>
        <w:t xml:space="preserve"> Afirmou que a pesquisa </w:t>
      </w:r>
      <w:r>
        <w:rPr>
          <w:rFonts w:ascii="Arial" w:hAnsi="Arial" w:cs="Arial"/>
          <w:color w:val="808080"/>
          <w:sz w:val="28"/>
          <w:szCs w:val="28"/>
        </w:rPr>
        <w:t xml:space="preserve">INFOJUD</w:t>
      </w:r>
      <w:r>
        <w:rPr>
          <w:rFonts w:ascii="Arial" w:hAnsi="Arial" w:cs="Arial"/>
          <w:color w:val="FF0000"/>
          <w:sz w:val="28"/>
          <w:szCs w:val="28"/>
        </w:rPr>
        <w:t xml:space="preserve"> não localizou bens suficientes e que compete precipuamente ao credor diligenciar na localização de bens do devedor.</w:t>
      </w:r>
      <w:commentRangeEnd w:id="5"/>
      <w:r>
        <w:rPr>
          <w:rStyle w:val="CommentReference"/>
        </w:rPr>
        <w:commentReference w:id="5"/>
      </w:r>
    </w:p>
    <w:p w14:paraId="7B00FE21" w14:textId="77777777" w:rsidR="008D07FC" w:rsidRDefault="00A4543F">
      <w:pPr>
        <w:spacing w:after="0" w:line="360" w:lineRule="auto"/>
        <w:jc w:val="both"/>
        <w:rPr>
          <w:rFonts w:ascii="Arial" w:hAnsi="Arial" w:cs="Arial"/>
          <w:color w:val="FF0000"/>
          <w:sz w:val="28"/>
          <w:szCs w:val="28"/>
        </w:rPr>
      </w:pPr>
      <w:r>
        <w:rPr>
          <w:rFonts w:ascii="Arial" w:hAnsi="Arial" w:cs="Arial"/>
          <w:color w:val="FF0000"/>
          <w:sz w:val="28"/>
          <w:szCs w:val="28"/>
        </w:rPr>
        <w:t>II. DISPOSITIVO</w:t>
      </w:r>
    </w:p>
    <w:p w14:paraId="70223E42" w14:textId="39DBE66D" w:rsidR="008D07FC" w:rsidRDefault="00A4543F">
      <w:pPr>
        <w:spacing w:after="0" w:line="360" w:lineRule="auto"/>
        <w:jc w:val="both"/>
        <w:rPr>
          <w:rFonts w:ascii="Arial" w:hAnsi="Arial" w:cs="Arial"/>
          <w:color w:val="FF0000"/>
          <w:sz w:val="28"/>
          <w:szCs w:val="28"/>
        </w:rPr>
      </w:pPr>
      <w:r>
        <w:rPr>
          <w:rFonts w:ascii="Arial" w:hAnsi="Arial" w:cs="Arial"/>
          <w:b/>
          <w:color w:val="FF0000"/>
          <w:sz w:val="28"/>
          <w:szCs w:val="28"/>
        </w:rPr>
        <w:t xml:space="preserve">5.</w:t>
      </w:r>
      <w:r>
        <w:rPr>
          <w:rFonts w:ascii="Arial" w:hAnsi="Arial" w:cs="Arial"/>
          <w:color w:val="FF0000"/>
          <w:sz w:val="28"/>
          <w:szCs w:val="28"/>
        </w:rPr>
        <w:t xml:space="preserve"> Indeferiu, por ora, a pesquisa SISBAJUD na modalidade reiterada e a reiteração da pesquisa </w:t>
      </w:r>
      <w:r>
        <w:rPr>
          <w:rFonts w:ascii="Arial" w:hAnsi="Arial" w:cs="Arial"/>
          <w:color w:val="808080"/>
          <w:sz w:val="28"/>
          <w:szCs w:val="28"/>
        </w:rPr>
        <w:t xml:space="preserve">INFOJUD</w:t>
      </w:r>
      <w:r>
        <w:rPr>
          <w:rFonts w:ascii="Arial" w:hAnsi="Arial" w:cs="Arial"/>
          <w:color w:val="FF0000"/>
          <w:sz w:val="28"/>
          <w:szCs w:val="28"/>
        </w:rPr>
        <w:t xml:space="preserve">, e determinou o arquivamento provisório dos autos pelo prazo da prescrição intercorrente.</w:t>
      </w:r>
    </w:p>
    <w:p w14:paraId="6CBB56FF" w14:textId="77777777" w:rsidR="008D07FC" w:rsidRDefault="008D07FC">
      <w:pPr>
        <w:spacing w:after="0" w:line="360" w:lineRule="auto"/>
        <w:jc w:val="both"/>
        <w:rPr>
          <w:rFonts w:ascii="Arial" w:hAnsi="Arial" w:cs="Arial"/>
          <w:color w:val="FF0000"/>
          <w:sz w:val="28"/>
          <w:szCs w:val="28"/>
        </w:rPr>
      </w:pPr>
    </w:p>
    <w:p w14:paraId="6213A5C0" w14:textId="77777777" w:rsidR="008D07FC" w:rsidRDefault="008D07FC">
      <w:pPr>
        <w:spacing w:after="0" w:line="360" w:lineRule="auto"/>
        <w:jc w:val="both"/>
        <w:rPr>
          <w:rFonts w:ascii="Arial" w:hAnsi="Arial" w:cs="Arial"/>
          <w:color w:val="595959"/>
          <w:sz w:val="28"/>
          <w:szCs w:val="28"/>
        </w:rPr>
      </w:pPr>
    </w:p>
    <w:p w14:paraId="26CAAD97"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4872307A" w14:textId="77777777" w:rsidR="008D07FC" w:rsidRDefault="008D07FC">
      <w:pPr>
        <w:spacing w:after="0" w:line="360" w:lineRule="auto"/>
        <w:jc w:val="both"/>
        <w:rPr>
          <w:rFonts w:ascii="Arial" w:hAnsi="Arial" w:cs="Arial"/>
          <w:color w:val="595959"/>
          <w:sz w:val="28"/>
          <w:szCs w:val="28"/>
        </w:rPr>
      </w:pPr>
    </w:p>
    <w:p w14:paraId="5FBAA21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Adoto o relatório da liminar (ID 89044333):</w:t>
      </w:r>
    </w:p>
    <w:p w14:paraId="15EA4506" w14:textId="77777777" w:rsidR="008D07FC" w:rsidRDefault="008D07FC">
      <w:pPr>
        <w:spacing w:after="0" w:line="360" w:lineRule="auto"/>
        <w:jc w:val="both"/>
        <w:rPr>
          <w:rFonts w:ascii="Arial" w:hAnsi="Arial" w:cs="Arial"/>
          <w:color w:val="595959"/>
          <w:sz w:val="28"/>
          <w:szCs w:val="28"/>
        </w:rPr>
      </w:pPr>
    </w:p>
    <w:p w14:paraId="5766AEC6" w14:textId="02B5F034"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“Trata-se, na origem, de execução de título extrajudicial ajuizada por Associação de Assistência dos Servidores Públicos do Distrito Federal - ASBR em face de </w:t>
      </w:r>
      <w:r w:rsidR="00CE27B0">
        <w:rPr>
          <w:rFonts w:ascii="Arial" w:hAnsi="Arial" w:cs="Arial"/>
          <w:i/>
          <w:iCs/>
          <w:color w:val="595959"/>
          <w:sz w:val="26"/>
          <w:szCs w:val="26"/>
        </w:rPr>
        <w:t>Elizabete Nascimento de Oliveira</w:t>
      </w:r>
      <w:r>
        <w:rPr>
          <w:rFonts w:ascii="Arial" w:hAnsi="Arial" w:cs="Arial"/>
          <w:i/>
          <w:iCs/>
          <w:color w:val="595959"/>
          <w:sz w:val="26"/>
          <w:szCs w:val="26"/>
        </w:rPr>
        <w:t>, visando à satisfação de crédito representado por títulos emitidos em favor da exequente (R$ 28.840,51).</w:t>
      </w:r>
    </w:p>
    <w:p w14:paraId="194BD998" w14:textId="460EC806"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Sobreveio decisão que indeferiu o pedido de renovação de pesquisas patrimoniais por meio do SISBAJUD, inclusive na modalidade reiterada (</w:t>
      </w:r>
      <w:r w:rsidR="00156BB1">
        <w:rPr>
          <w:rFonts w:ascii="Arial" w:hAnsi="Arial" w:cs="Arial"/>
          <w:i/>
          <w:iCs/>
          <w:color w:val="595959"/>
          <w:sz w:val="26"/>
          <w:szCs w:val="26"/>
        </w:rPr>
        <w:t>‘teimosinha’</w:t>
      </w:r>
      <w:r>
        <w:rPr>
          <w:rFonts w:ascii="Arial" w:hAnsi="Arial" w:cs="Arial"/>
          <w:i/>
          <w:iCs/>
          <w:color w:val="595959"/>
          <w:sz w:val="26"/>
          <w:szCs w:val="26"/>
        </w:rPr>
        <w:t xml:space="preserve">), bem como a renovação da pesquisa de bens pelo </w:t>
      </w:r>
      <w:r w:rsidR="007860E9" w:rsidRPr="007860E9">
        <w:rPr>
          <w:rFonts w:ascii="Arial" w:hAnsi="Arial" w:cs="Arial"/>
          <w:i/>
          <w:iCs/>
          <w:color w:val="595959"/>
          <w:sz w:val="26"/>
          <w:szCs w:val="26"/>
        </w:rPr>
        <w:t>INFOJUD</w:t>
      </w:r>
      <w:r>
        <w:rPr>
          <w:rFonts w:ascii="Arial" w:hAnsi="Arial" w:cs="Arial"/>
          <w:i/>
          <w:iCs/>
          <w:color w:val="595959"/>
          <w:sz w:val="26"/>
          <w:szCs w:val="26"/>
        </w:rPr>
        <w:t xml:space="preserve">, ao fundamento de que diligências anteriores mostraram-se infrutíferas, inexistindo elementos concretos a indicar alteração da situação patrimonial da executada (ID </w:t>
      </w:r>
      <w:r w:rsidR="00221ED9" w:rsidRPr="00221ED9">
        <w:rPr>
          <w:rFonts w:ascii="Arial" w:hAnsi="Arial" w:cs="Arial"/>
          <w:i/>
          <w:iCs/>
          <w:color w:val="595959"/>
          <w:sz w:val="26"/>
          <w:szCs w:val="26"/>
        </w:rPr>
        <w:t>285174649, origem)</w:t>
      </w:r>
      <w:r w:rsidR="00221ED9">
        <w:rPr>
          <w:rFonts w:ascii="Arial" w:hAnsi="Arial" w:cs="Arial"/>
          <w:i/>
          <w:iCs/>
          <w:color w:val="595959"/>
          <w:sz w:val="26"/>
          <w:szCs w:val="26"/>
        </w:rPr>
        <w:t>.</w:t>
      </w:r>
    </w:p>
    <w:p w14:paraId="0DE752C5"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A exequente interpõe agravo de instrumento alegando, em síntese, que: </w:t>
      </w:r>
      <w:r>
        <w:rPr>
          <w:rFonts w:ascii="Arial" w:hAnsi="Arial" w:cs="Arial"/>
          <w:b/>
          <w:bCs/>
          <w:i/>
          <w:iCs/>
          <w:color w:val="595959"/>
          <w:sz w:val="26"/>
          <w:szCs w:val="26"/>
        </w:rPr>
        <w:t>1)</w:t>
      </w:r>
      <w:r>
        <w:rPr>
          <w:rFonts w:ascii="Arial" w:hAnsi="Arial" w:cs="Arial"/>
          <w:i/>
          <w:iCs/>
          <w:color w:val="595959"/>
          <w:sz w:val="26"/>
          <w:szCs w:val="26"/>
        </w:rPr>
        <w:t xml:space="preserve"> houve transcurso de </w:t>
      </w:r>
      <w:r>
        <w:rPr>
          <w:rFonts w:ascii="Arial" w:hAnsi="Arial" w:cs="Arial"/>
          <w:i/>
          <w:iCs/>
          <w:color w:val="595959"/>
          <w:sz w:val="26"/>
          <w:szCs w:val="26"/>
        </w:rPr>
        <w:lastRenderedPageBreak/>
        <w:t xml:space="preserve">lapso temporal suficiente a justificar a renovação das pesquisas patrimoniais anteriormente realizadas; </w:t>
      </w:r>
      <w:r>
        <w:rPr>
          <w:rFonts w:ascii="Arial" w:hAnsi="Arial" w:cs="Arial"/>
          <w:b/>
          <w:bCs/>
          <w:i/>
          <w:iCs/>
          <w:color w:val="595959"/>
          <w:sz w:val="26"/>
          <w:szCs w:val="26"/>
        </w:rPr>
        <w:t>2)</w:t>
      </w:r>
      <w:r>
        <w:rPr>
          <w:rFonts w:ascii="Arial" w:hAnsi="Arial" w:cs="Arial"/>
          <w:i/>
          <w:iCs/>
          <w:color w:val="595959"/>
          <w:sz w:val="26"/>
          <w:szCs w:val="26"/>
        </w:rPr>
        <w:t xml:space="preserve"> a decisão agravada não considerou adequadamente a necessidade de efetividade da execução e a satisfação do crédito exequendo; </w:t>
      </w:r>
      <w:r>
        <w:rPr>
          <w:rFonts w:ascii="Arial" w:hAnsi="Arial" w:cs="Arial"/>
          <w:b/>
          <w:bCs/>
          <w:i/>
          <w:iCs/>
          <w:color w:val="595959"/>
          <w:sz w:val="26"/>
          <w:szCs w:val="26"/>
        </w:rPr>
        <w:t>3)</w:t>
      </w:r>
      <w:r>
        <w:rPr>
          <w:rFonts w:ascii="Arial" w:hAnsi="Arial" w:cs="Arial"/>
          <w:i/>
          <w:iCs/>
          <w:color w:val="595959"/>
          <w:sz w:val="26"/>
          <w:szCs w:val="26"/>
        </w:rPr>
        <w:t xml:space="preserve"> o indeferimento das diligências foi fundamentado de forma genérica, sem apreciação concreta das circunstâncias do caso; </w:t>
      </w:r>
      <w:r>
        <w:rPr>
          <w:rFonts w:ascii="Arial" w:hAnsi="Arial" w:cs="Arial"/>
          <w:b/>
          <w:bCs/>
          <w:i/>
          <w:iCs/>
          <w:color w:val="595959"/>
          <w:sz w:val="26"/>
          <w:szCs w:val="26"/>
        </w:rPr>
        <w:t>4)</w:t>
      </w:r>
      <w:r>
        <w:rPr>
          <w:rFonts w:ascii="Arial" w:hAnsi="Arial" w:cs="Arial"/>
          <w:i/>
          <w:iCs/>
          <w:color w:val="595959"/>
          <w:sz w:val="26"/>
          <w:szCs w:val="26"/>
        </w:rPr>
        <w:t xml:space="preserve"> a utilização da funcionalidade SISBAJUD na modalidade reiterada constitui medida legítima e adequada à localização de ativos finan</w:t>
      </w:r>
      <w:r>
        <w:rPr>
          <w:rFonts w:ascii="Arial" w:hAnsi="Arial" w:cs="Arial"/>
          <w:i/>
          <w:iCs/>
          <w:color w:val="595959"/>
          <w:sz w:val="26"/>
          <w:szCs w:val="26"/>
        </w:rPr>
        <w:t xml:space="preserve">ceiros; </w:t>
      </w:r>
      <w:r>
        <w:rPr>
          <w:rFonts w:ascii="Arial" w:hAnsi="Arial" w:cs="Arial"/>
          <w:b/>
          <w:bCs/>
          <w:i/>
          <w:iCs/>
          <w:color w:val="595959"/>
          <w:sz w:val="26"/>
          <w:szCs w:val="26"/>
        </w:rPr>
        <w:t>5)</w:t>
      </w:r>
      <w:r>
        <w:rPr>
          <w:rFonts w:ascii="Arial" w:hAnsi="Arial" w:cs="Arial"/>
          <w:i/>
          <w:iCs/>
          <w:color w:val="595959"/>
          <w:sz w:val="26"/>
          <w:szCs w:val="26"/>
        </w:rPr>
        <w:t xml:space="preserve"> também deve ser deferida nova pesquisa de bens por meio do RENAJUD, diante da ausência de satisfação do crédito.</w:t>
      </w:r>
    </w:p>
    <w:p w14:paraId="7E5F0C08"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Requer a concessão da tutela recursal para determinar imediatamente a realização de busca e penhora de ativos financeiros via SISBAJUD, preferencialmente na modalidade reiterada por trinta dias, bem como pesquisa de bens móveis via RENAJUD, e, ao final, o provimento do agravo para reformar a decisão recorrida. (...)”</w:t>
      </w:r>
    </w:p>
    <w:p w14:paraId="1F5D7F27" w14:textId="77777777" w:rsidR="008D07FC" w:rsidRDefault="008D07FC">
      <w:pPr>
        <w:spacing w:after="0" w:line="360" w:lineRule="auto"/>
        <w:jc w:val="both"/>
        <w:rPr>
          <w:rFonts w:ascii="Arial" w:hAnsi="Arial" w:cs="Arial"/>
          <w:color w:val="595959"/>
          <w:sz w:val="28"/>
          <w:szCs w:val="28"/>
        </w:rPr>
      </w:pPr>
    </w:p>
    <w:p w14:paraId="60E3B28A" w14:textId="0A638324" w:rsidR="008D07FC" w:rsidRDefault="00D47883">
      <w:pPr>
        <w:spacing w:after="0" w:line="360" w:lineRule="auto"/>
        <w:ind w:firstLine="2268"/>
        <w:jc w:val="both"/>
        <w:rPr>
          <w:rFonts w:ascii="Arial" w:hAnsi="Arial" w:cs="Arial"/>
          <w:color w:val="595959"/>
          <w:sz w:val="28"/>
          <w:szCs w:val="28"/>
        </w:rPr>
      </w:pPr>
      <w:r>
        <w:rPr>
          <w:rFonts w:ascii="Arial" w:hAnsi="Arial" w:cs="Arial"/>
          <w:color w:val="595959"/>
          <w:sz w:val="28"/>
          <w:szCs w:val="28"/>
        </w:rPr>
        <w:t>Não conheci do pedido de pesquisa de bens via RENAJUD</w:t>
      </w:r>
      <w:r w:rsidR="008777DF">
        <w:rPr>
          <w:rFonts w:ascii="Arial" w:hAnsi="Arial" w:cs="Arial"/>
          <w:color w:val="595959"/>
          <w:sz w:val="28"/>
          <w:szCs w:val="28"/>
        </w:rPr>
        <w:t>, por supressão de instância.</w:t>
      </w:r>
      <w:r>
        <w:rPr>
          <w:rFonts w:ascii="Arial" w:hAnsi="Arial" w:cs="Arial"/>
          <w:color w:val="595959"/>
          <w:sz w:val="28"/>
          <w:szCs w:val="28"/>
        </w:rPr>
        <w:t xml:space="preserve"> Deferi em parte a antecipação da tutela recursal para determinar a pesquisa de ativos no sistema SISBAJUD em nome da executada/agravada, na modalidade reiterada por 30 dias</w:t>
      </w:r>
      <w:r w:rsidR="008777DF">
        <w:rPr>
          <w:rFonts w:ascii="Arial" w:hAnsi="Arial" w:cs="Arial"/>
          <w:color w:val="595959"/>
          <w:sz w:val="28"/>
          <w:szCs w:val="28"/>
        </w:rPr>
        <w:t xml:space="preserve"> </w:t>
      </w:r>
      <w:r>
        <w:rPr>
          <w:rFonts w:ascii="Arial" w:hAnsi="Arial" w:cs="Arial"/>
          <w:color w:val="595959"/>
          <w:sz w:val="28"/>
          <w:szCs w:val="28"/>
        </w:rPr>
        <w:t>(ID 89044333).</w:t>
      </w:r>
    </w:p>
    <w:p w14:paraId="1A453AE4" w14:textId="77777777" w:rsidR="008D07FC" w:rsidRDefault="008D07FC">
      <w:pPr>
        <w:spacing w:after="0" w:line="360" w:lineRule="auto"/>
        <w:jc w:val="both"/>
        <w:rPr>
          <w:rFonts w:ascii="Arial" w:hAnsi="Arial" w:cs="Arial"/>
          <w:color w:val="595959"/>
          <w:sz w:val="28"/>
          <w:szCs w:val="28"/>
        </w:rPr>
      </w:pPr>
    </w:p>
    <w:p w14:paraId="6CF0FFBD"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 (ID 90361327).</w:t>
      </w:r>
    </w:p>
    <w:p w14:paraId="748FD75D" w14:textId="77777777" w:rsidR="008D07FC" w:rsidRDefault="008D07FC">
      <w:pPr>
        <w:spacing w:after="0" w:line="360" w:lineRule="auto"/>
        <w:jc w:val="both"/>
        <w:rPr>
          <w:rFonts w:ascii="Arial" w:hAnsi="Arial" w:cs="Arial"/>
          <w:color w:val="595959"/>
          <w:sz w:val="28"/>
          <w:szCs w:val="28"/>
        </w:rPr>
      </w:pPr>
    </w:p>
    <w:p w14:paraId="4D460598"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125166F9" w14:textId="77777777" w:rsidR="008D07FC" w:rsidRDefault="008D07FC">
      <w:pPr>
        <w:spacing w:after="0" w:line="360" w:lineRule="auto"/>
        <w:jc w:val="both"/>
        <w:rPr>
          <w:rFonts w:ascii="Arial" w:hAnsi="Arial" w:cs="Arial"/>
          <w:color w:val="595959"/>
          <w:sz w:val="28"/>
          <w:szCs w:val="28"/>
        </w:rPr>
      </w:pPr>
    </w:p>
    <w:p w14:paraId="57E80E43"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7C77F5D4" w14:textId="77777777" w:rsidR="008D07FC" w:rsidRDefault="008D07FC">
      <w:pPr>
        <w:spacing w:after="0" w:line="360" w:lineRule="auto"/>
        <w:jc w:val="both"/>
        <w:rPr>
          <w:rFonts w:ascii="Arial" w:hAnsi="Arial" w:cs="Arial"/>
          <w:color w:val="595959"/>
          <w:sz w:val="28"/>
          <w:szCs w:val="28"/>
        </w:rPr>
      </w:pPr>
    </w:p>
    <w:p w14:paraId="211ECFE3" w14:textId="77777777" w:rsidR="008D07FC" w:rsidRDefault="00A4543F">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3619F355" w14:textId="77777777" w:rsidR="008D07FC" w:rsidRDefault="008D07FC">
      <w:pPr>
        <w:spacing w:after="0" w:line="360" w:lineRule="auto"/>
        <w:jc w:val="both"/>
        <w:rPr>
          <w:rFonts w:ascii="Arial" w:hAnsi="Arial" w:cs="Arial"/>
          <w:color w:val="595959"/>
          <w:sz w:val="28"/>
          <w:szCs w:val="28"/>
        </w:rPr>
      </w:pPr>
    </w:p>
    <w:p w14:paraId="1C98E2BE"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AGRAVO DE INSTRUMENTO DA EXEQUENTE, ASSOCIAÇÃO DE ASSISTÊNCIA DOS SERVIDORES PÚBLICOS DO DISTRITO FEDERAL - ASBR</w:t>
      </w:r>
    </w:p>
    <w:p w14:paraId="303F44DA" w14:textId="77777777" w:rsidR="008D07FC" w:rsidRDefault="008D07FC">
      <w:pPr>
        <w:spacing w:after="0" w:line="360" w:lineRule="auto"/>
        <w:jc w:val="both"/>
        <w:rPr>
          <w:rFonts w:ascii="Arial" w:hAnsi="Arial" w:cs="Arial"/>
          <w:color w:val="595959"/>
          <w:sz w:val="28"/>
          <w:szCs w:val="28"/>
        </w:rPr>
      </w:pPr>
    </w:p>
    <w:p w14:paraId="1E2657E4" w14:textId="2B06995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agravo de instrumento.</w:t>
      </w:r>
    </w:p>
    <w:p w14:paraId="40067F00" w14:textId="77777777" w:rsidR="008D07FC" w:rsidRDefault="008D07FC">
      <w:pPr>
        <w:spacing w:after="0" w:line="360" w:lineRule="auto"/>
        <w:jc w:val="both"/>
        <w:rPr>
          <w:rFonts w:ascii="Arial" w:hAnsi="Arial" w:cs="Arial"/>
          <w:color w:val="595959"/>
          <w:sz w:val="28"/>
          <w:szCs w:val="28"/>
        </w:rPr>
      </w:pPr>
    </w:p>
    <w:p w14:paraId="5442ED2E" w14:textId="7EEDC90E" w:rsidR="008D07FC" w:rsidRPr="00156BB1" w:rsidRDefault="00A4543F">
      <w:pPr>
        <w:spacing w:after="0" w:line="360" w:lineRule="auto"/>
        <w:jc w:val="center"/>
        <w:rPr>
          <w:rFonts w:ascii="Arial" w:hAnsi="Arial" w:cs="Arial"/>
          <w:color w:val="595959"/>
          <w:sz w:val="28"/>
          <w:szCs w:val="28"/>
          <w:highlight w:val="yellow"/>
        </w:rPr>
      </w:pPr>
      <w:r>
        <w:rPr>
          <w:rFonts w:ascii="Arial" w:hAnsi="Arial" w:cs="Arial"/>
          <w:color w:val="808080"/>
          <w:sz w:val="28"/>
          <w:szCs w:val="28"/>
          <w:highlight w:val="yellow"/>
        </w:rPr>
        <w:t xml:space="preserve">DO</w:t>
      </w:r>
      <w:commentRangeStart w:id="6"/>
      <w:r>
        <w:rPr>
          <w:rFonts w:ascii="Arial" w:hAnsi="Arial" w:cs="Arial"/>
          <w:color w:val="595959"/>
          <w:sz w:val="28"/>
          <w:szCs w:val="28"/>
          <w:highlight w:val="yellow"/>
        </w:rPr>
        <w:t xml:space="preserve"> </w:t>
      </w:r>
      <w:r>
        <w:rPr>
          <w:rFonts w:ascii="Arial" w:hAnsi="Arial" w:cs="Arial"/>
          <w:color w:val="808080"/>
          <w:sz w:val="28"/>
          <w:szCs w:val="28"/>
          <w:highlight w:val="yellow"/>
        </w:rPr>
        <w:t xml:space="preserve">CABIMENTO</w:t>
      </w:r>
      <w:r>
        <w:rPr>
          <w:rFonts w:ascii="Arial" w:hAnsi="Arial" w:cs="Arial"/>
          <w:color w:val="595959"/>
          <w:sz w:val="28"/>
          <w:szCs w:val="28"/>
          <w:highlight w:val="yellow"/>
        </w:rPr>
        <w:t xml:space="preserve"> DA RENOVAÇÃO DA PESQUISA SISBAJUD</w:t>
      </w:r>
      <w:commentRangeEnd w:id="6"/>
      <w:r>
        <w:rPr>
          <w:rStyle w:val="CommentReference"/>
        </w:rPr>
        <w:commentReference w:id="6"/>
      </w:r>
      <w:r>
        <w:rPr>
          <w:rFonts w:ascii="Arial" w:hAnsi="Arial" w:cs="Arial"/>
          <w:color w:val="808080"/>
          <w:sz w:val="28"/>
          <w:szCs w:val="28"/>
          <w:highlight w:val="yellow"/>
        </w:rPr>
        <w:t xml:space="preserve"> NA MODALIDADE REITERADA APÓS O DECURSO DE MAIS DE UM ANO</w:t>
      </w:r>
    </w:p>
    <w:p w14:paraId="43045989" w14:textId="77777777" w:rsidR="008D07FC" w:rsidRDefault="008D07FC">
      <w:pPr>
        <w:spacing w:after="0" w:line="360" w:lineRule="auto"/>
        <w:jc w:val="both"/>
        <w:rPr>
          <w:rFonts w:ascii="Arial" w:hAnsi="Arial" w:cs="Arial"/>
          <w:color w:val="595959"/>
          <w:sz w:val="28"/>
          <w:szCs w:val="28"/>
        </w:rPr>
      </w:pPr>
    </w:p>
    <w:p w14:paraId="18EBA96D" w14:textId="47FADCDA" w:rsidR="008D07FC" w:rsidRDefault="00A4543F" w:rsidP="00BF255B">
      <w:pPr>
        <w:spacing w:after="0" w:line="360" w:lineRule="auto"/>
        <w:ind w:firstLine="2268"/>
        <w:jc w:val="both"/>
        <w:rPr>
          <w:rFonts w:ascii="Arial" w:hAnsi="Arial" w:cs="Arial"/>
          <w:color w:val="595959"/>
          <w:sz w:val="28"/>
          <w:szCs w:val="28"/>
        </w:rPr>
      </w:pPr>
      <w:commentRangeStart w:id="7"/>
      <w:r>
        <w:rPr>
          <w:rFonts w:ascii="Arial" w:hAnsi="Arial" w:cs="Arial"/>
          <w:color w:val="595959"/>
          <w:sz w:val="28"/>
          <w:szCs w:val="28"/>
        </w:rPr>
        <w:t xml:space="preserve">A exequente/agravante alega que: </w:t>
      </w:r>
      <w:r>
        <w:rPr>
          <w:rFonts w:ascii="Arial" w:hAnsi="Arial" w:cs="Arial"/>
          <w:b/>
          <w:bCs/>
          <w:color w:val="595959"/>
          <w:sz w:val="28"/>
          <w:szCs w:val="28"/>
        </w:rPr>
        <w:t>1)</w:t>
      </w:r>
      <w:r>
        <w:rPr>
          <w:rFonts w:ascii="Arial" w:hAnsi="Arial" w:cs="Arial"/>
          <w:color w:val="595959"/>
          <w:sz w:val="28"/>
          <w:szCs w:val="28"/>
        </w:rPr>
        <w:t xml:space="preserve"> </w:t>
      </w:r>
      <w:r w:rsidR="00BF255B" w:rsidRPr="00BF255B">
        <w:rPr>
          <w:rFonts w:ascii="Arial" w:hAnsi="Arial" w:cs="Arial"/>
          <w:color w:val="595959"/>
          <w:sz w:val="28"/>
          <w:szCs w:val="28"/>
        </w:rPr>
        <w:t>houve transcurso de lapso temporal suficiente a justificar a</w:t>
      </w:r>
      <w:r w:rsidR="00BF255B">
        <w:rPr>
          <w:rFonts w:ascii="Arial" w:hAnsi="Arial" w:cs="Arial"/>
          <w:color w:val="595959"/>
          <w:sz w:val="28"/>
          <w:szCs w:val="28"/>
        </w:rPr>
        <w:t xml:space="preserve"> </w:t>
      </w:r>
      <w:r w:rsidR="00BF255B" w:rsidRPr="00BF255B">
        <w:rPr>
          <w:rFonts w:ascii="Arial" w:hAnsi="Arial" w:cs="Arial"/>
          <w:color w:val="595959"/>
          <w:sz w:val="28"/>
          <w:szCs w:val="28"/>
        </w:rPr>
        <w:t>renovação das pesquisas patrimoniais anteriormente realizadas;</w:t>
      </w:r>
      <w:r>
        <w:rPr>
          <w:rFonts w:ascii="Arial" w:hAnsi="Arial" w:cs="Arial"/>
          <w:color w:val="595959"/>
          <w:sz w:val="28"/>
          <w:szCs w:val="28"/>
        </w:rPr>
        <w:t xml:space="preserve"> </w:t>
      </w:r>
      <w:r>
        <w:rPr>
          <w:rFonts w:ascii="Arial" w:hAnsi="Arial" w:cs="Arial"/>
          <w:b/>
          <w:bCs/>
          <w:color w:val="595959"/>
          <w:sz w:val="28"/>
          <w:szCs w:val="28"/>
        </w:rPr>
        <w:t>2)</w:t>
      </w:r>
      <w:r>
        <w:rPr>
          <w:rFonts w:ascii="Arial" w:hAnsi="Arial" w:cs="Arial"/>
          <w:color w:val="595959"/>
          <w:sz w:val="28"/>
          <w:szCs w:val="28"/>
        </w:rPr>
        <w:t xml:space="preserve"> a decisão agravada não considerou </w:t>
      </w:r>
      <w:r w:rsidR="00C14912" w:rsidRPr="00C14912">
        <w:rPr>
          <w:rFonts w:ascii="Arial" w:hAnsi="Arial" w:cs="Arial"/>
          <w:color w:val="595959"/>
          <w:sz w:val="28"/>
          <w:szCs w:val="28"/>
        </w:rPr>
        <w:t xml:space="preserve">adequadamente </w:t>
      </w:r>
      <w:r>
        <w:rPr>
          <w:rFonts w:ascii="Arial" w:hAnsi="Arial" w:cs="Arial"/>
          <w:color w:val="595959"/>
          <w:sz w:val="28"/>
          <w:szCs w:val="28"/>
        </w:rPr>
        <w:t xml:space="preserve">a necessidade de efetividade da execução e de satisfação do crédito exequendo; </w:t>
      </w:r>
      <w:r>
        <w:rPr>
          <w:rFonts w:ascii="Arial" w:hAnsi="Arial" w:cs="Arial"/>
          <w:b/>
          <w:bCs/>
          <w:color w:val="595959"/>
          <w:sz w:val="28"/>
          <w:szCs w:val="28"/>
        </w:rPr>
        <w:t>3)</w:t>
      </w:r>
      <w:r>
        <w:rPr>
          <w:rFonts w:ascii="Arial" w:hAnsi="Arial" w:cs="Arial"/>
          <w:color w:val="595959"/>
          <w:sz w:val="28"/>
          <w:szCs w:val="28"/>
        </w:rPr>
        <w:t xml:space="preserve"> o indeferimento das diligências foi fundamentado de forma genérica, sem apreciação concreta das circunstâncias do caso; </w:t>
      </w:r>
      <w:r>
        <w:rPr>
          <w:rFonts w:ascii="Arial" w:hAnsi="Arial" w:cs="Arial"/>
          <w:b/>
          <w:bCs/>
          <w:color w:val="595959"/>
          <w:sz w:val="28"/>
          <w:szCs w:val="28"/>
        </w:rPr>
        <w:t>4)</w:t>
      </w:r>
      <w:r>
        <w:rPr>
          <w:rFonts w:ascii="Arial" w:hAnsi="Arial" w:cs="Arial"/>
          <w:color w:val="595959"/>
          <w:sz w:val="28"/>
          <w:szCs w:val="28"/>
        </w:rPr>
        <w:t xml:space="preserve"> a utilização do SISBAJUD na modalidade reiterada constitui medida legítima e adequada à localização de ativos financeiros; </w:t>
      </w:r>
      <w:r>
        <w:rPr>
          <w:rFonts w:ascii="Arial" w:hAnsi="Arial" w:cs="Arial"/>
          <w:b/>
          <w:bCs/>
          <w:color w:val="595959"/>
          <w:sz w:val="28"/>
          <w:szCs w:val="28"/>
        </w:rPr>
        <w:t>5)</w:t>
      </w:r>
      <w:r>
        <w:rPr>
          <w:rFonts w:ascii="Arial" w:hAnsi="Arial" w:cs="Arial"/>
          <w:color w:val="595959"/>
          <w:sz w:val="28"/>
          <w:szCs w:val="28"/>
        </w:rPr>
        <w:t xml:space="preserve"> o prazo da prescrição intercorrente está em curso desde o arquivamento provisório determinado pela decisão agravada.</w:t>
      </w:r>
      <w:commentRangeEnd w:id="7"/>
      <w:r>
        <w:rPr>
          <w:rStyle w:val="CommentReference"/>
        </w:rPr>
        <w:commentReference w:id="7"/>
      </w:r>
    </w:p>
    <w:p w14:paraId="23CF671B" w14:textId="77777777" w:rsidR="008D07FC" w:rsidRDefault="008D07FC">
      <w:pPr>
        <w:spacing w:after="0" w:line="360" w:lineRule="auto"/>
        <w:jc w:val="both"/>
        <w:rPr>
          <w:rFonts w:ascii="Arial" w:hAnsi="Arial" w:cs="Arial"/>
          <w:color w:val="595959"/>
          <w:sz w:val="28"/>
          <w:szCs w:val="28"/>
        </w:rPr>
      </w:pPr>
    </w:p>
    <w:p w14:paraId="66B34C99" w14:textId="34D8B26F"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reforma da decisão para que seja determinada a busca e penhora de ativos financeiros via SISBAJUD, na modalidade reiterada por 30 dias.</w:t>
      </w:r>
    </w:p>
    <w:p w14:paraId="078E88F7" w14:textId="77777777" w:rsidR="008D07FC" w:rsidRDefault="008D07FC">
      <w:pPr>
        <w:spacing w:after="0" w:line="360" w:lineRule="auto"/>
        <w:jc w:val="both"/>
        <w:rPr>
          <w:rFonts w:ascii="Arial" w:hAnsi="Arial" w:cs="Arial"/>
          <w:color w:val="595959"/>
          <w:sz w:val="28"/>
          <w:szCs w:val="28"/>
        </w:rPr>
      </w:pPr>
    </w:p>
    <w:p w14:paraId="0229171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Com razão.</w:t>
      </w:r>
    </w:p>
    <w:p w14:paraId="7D6893E4" w14:textId="77777777" w:rsidR="008D07FC" w:rsidRDefault="008D07FC">
      <w:pPr>
        <w:spacing w:after="0" w:line="360" w:lineRule="auto"/>
        <w:jc w:val="both"/>
        <w:rPr>
          <w:rFonts w:ascii="Arial" w:hAnsi="Arial" w:cs="Arial"/>
          <w:color w:val="595959"/>
          <w:sz w:val="28"/>
          <w:szCs w:val="28"/>
        </w:rPr>
      </w:pPr>
    </w:p>
    <w:p w14:paraId="51D980BD" w14:textId="77777777" w:rsidR="008D07FC" w:rsidRDefault="008D07FC">
      <w:pPr>
        <w:spacing w:after="0" w:line="360" w:lineRule="auto"/>
        <w:jc w:val="both"/>
        <w:rPr>
          <w:rFonts w:ascii="Arial" w:hAnsi="Arial" w:cs="Arial"/>
          <w:color w:val="595959"/>
          <w:sz w:val="28"/>
          <w:szCs w:val="28"/>
        </w:rPr>
      </w:pPr>
    </w:p>
    <w:p w14:paraId="202CB86A" w14:textId="640A8EF0" w:rsidR="008D07FC" w:rsidRDefault="00A4543F">
      <w:pPr>
        <w:spacing w:after="0" w:line="360" w:lineRule="auto"/>
        <w:ind w:firstLine="2268"/>
        <w:jc w:val="both"/>
        <w:rPr>
          <w:rFonts w:ascii="Arial" w:hAnsi="Arial" w:cs="Arial"/>
          <w:color w:val="595959"/>
          <w:sz w:val="28"/>
          <w:szCs w:val="28"/>
        </w:rPr>
      </w:pPr>
      <w:r>
        <w:rPr>
          <w:rFonts w:ascii="Arial" w:hAnsi="Arial" w:cs="Arial"/>
          <w:color w:val="808080"/>
          <w:sz w:val="28"/>
          <w:szCs w:val="28"/>
        </w:rPr>
        <w:t xml:space="preserve">O</w:t>
      </w:r>
      <w:commentRangeStart w:id="8"/>
      <w:r>
        <w:rPr>
          <w:rFonts w:ascii="Arial" w:hAnsi="Arial" w:cs="Arial"/>
          <w:color w:val="595959"/>
          <w:sz w:val="28"/>
          <w:szCs w:val="28"/>
        </w:rPr>
        <w:t xml:space="preserve"> </w:t>
      </w:r>
      <w:r>
        <w:rPr>
          <w:rFonts w:ascii="Arial" w:hAnsi="Arial" w:cs="Arial"/>
          <w:color w:val="808080"/>
          <w:sz w:val="28"/>
          <w:szCs w:val="28"/>
        </w:rPr>
        <w:t xml:space="preserve">art.</w:t>
      </w:r>
      <w:r>
        <w:rPr>
          <w:rFonts w:ascii="Arial" w:hAnsi="Arial" w:cs="Arial"/>
          <w:color w:val="595959"/>
          <w:sz w:val="28"/>
          <w:szCs w:val="28"/>
        </w:rPr>
        <w:t xml:space="preserve"> </w:t>
      </w:r>
      <w:r>
        <w:rPr>
          <w:rFonts w:ascii="Arial" w:hAnsi="Arial" w:cs="Arial"/>
          <w:color w:val="808080"/>
          <w:sz w:val="28"/>
          <w:szCs w:val="28"/>
        </w:rPr>
        <w:t xml:space="preserve">854, caput, do</w:t>
      </w:r>
      <w:r>
        <w:rPr>
          <w:rFonts w:ascii="Arial" w:hAnsi="Arial" w:cs="Arial"/>
          <w:color w:val="595959"/>
          <w:sz w:val="28"/>
          <w:szCs w:val="28"/>
        </w:rPr>
        <w:t xml:space="preserve"> </w:t>
      </w:r>
      <w:r>
        <w:rPr>
          <w:rFonts w:ascii="Arial" w:hAnsi="Arial" w:cs="Arial"/>
          <w:color w:val="595959"/>
          <w:sz w:val="28"/>
          <w:szCs w:val="28"/>
        </w:rPr>
        <w:t xml:space="preserve">CPC </w:t>
      </w:r>
      <w:r>
        <w:rPr>
          <w:rFonts w:ascii="Arial" w:hAnsi="Arial" w:cs="Arial"/>
          <w:color w:val="808080"/>
          <w:sz w:val="28"/>
          <w:szCs w:val="28"/>
        </w:rPr>
        <w:t xml:space="preserve">dispõe</w:t>
      </w:r>
      <w:r>
        <w:rPr>
          <w:rFonts w:ascii="Arial" w:hAnsi="Arial" w:cs="Arial"/>
          <w:color w:val="595959"/>
          <w:sz w:val="28"/>
          <w:szCs w:val="28"/>
        </w:rPr>
        <w:t xml:space="preserve">:</w:t>
      </w:r>
      <w:commentRangeEnd w:id="8"/>
      <w:r>
        <w:rPr>
          <w:rStyle w:val="CommentReference"/>
        </w:rPr>
        <w:commentReference w:id="8"/>
      </w:r>
    </w:p>
    <w:p w14:paraId="6EAB879B" w14:textId="77777777" w:rsidR="008D07FC" w:rsidRDefault="008D07FC">
      <w:pPr>
        <w:spacing w:after="0" w:line="360" w:lineRule="auto"/>
        <w:jc w:val="both"/>
        <w:rPr>
          <w:rFonts w:ascii="Arial" w:hAnsi="Arial" w:cs="Arial"/>
          <w:color w:val="595959"/>
          <w:sz w:val="28"/>
          <w:szCs w:val="28"/>
        </w:rPr>
      </w:pPr>
    </w:p>
    <w:p w14:paraId="457E41FD" w14:textId="77777777" w:rsidR="008D07FC" w:rsidRDefault="00A4543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14:paraId="17B66A58" w14:textId="77777777" w:rsidR="008D07FC" w:rsidRDefault="008D07FC">
      <w:pPr>
        <w:spacing w:after="0" w:line="360" w:lineRule="auto"/>
        <w:jc w:val="both"/>
        <w:rPr>
          <w:rFonts w:ascii="Arial" w:hAnsi="Arial" w:cs="Arial"/>
          <w:color w:val="595959"/>
          <w:sz w:val="28"/>
          <w:szCs w:val="28"/>
        </w:rPr>
      </w:pPr>
    </w:p>
    <w:p w14:paraId="4C1A66DE"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No ponto, mantenho as razões expostas na decisão liminar (ID 89044333), transcritas a seguir:</w:t>
      </w:r>
    </w:p>
    <w:p w14:paraId="2BE935A1" w14:textId="77777777" w:rsidR="008D07FC" w:rsidRDefault="008D07FC">
      <w:pPr>
        <w:spacing w:after="0" w:line="360" w:lineRule="auto"/>
        <w:jc w:val="both"/>
        <w:rPr>
          <w:rFonts w:ascii="Arial" w:hAnsi="Arial" w:cs="Arial"/>
          <w:color w:val="595959"/>
          <w:sz w:val="28"/>
          <w:szCs w:val="28"/>
        </w:rPr>
      </w:pPr>
    </w:p>
    <w:p w14:paraId="2CBB394E" w14:textId="628F75D0"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“Consta do processo de execução que a última pesquisa de bens pelo SISBAJUD ocorreu em 09/07/2025 (ID </w:t>
      </w:r>
      <w:r w:rsidR="00463AD8" w:rsidRPr="00463AD8">
        <w:rPr>
          <w:rFonts w:ascii="Arial" w:hAnsi="Arial" w:cs="Arial"/>
          <w:i/>
          <w:iCs/>
          <w:color w:val="595959"/>
          <w:sz w:val="26"/>
          <w:szCs w:val="26"/>
        </w:rPr>
        <w:t>242180704</w:t>
      </w:r>
      <w:r>
        <w:rPr>
          <w:rFonts w:ascii="Arial" w:hAnsi="Arial" w:cs="Arial"/>
          <w:i/>
          <w:iCs/>
          <w:color w:val="595959"/>
          <w:sz w:val="26"/>
          <w:szCs w:val="26"/>
        </w:rPr>
        <w:t>, origem).</w:t>
      </w:r>
    </w:p>
    <w:p w14:paraId="25923AAE"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Assim, o decurso de período superior a um ano desde a última pesquisa patrimonial configura parâmetro razoável para autorizar a renovação das diligências no sistema requerido, dada a possibilidade </w:t>
      </w:r>
      <w:r>
        <w:rPr>
          <w:rFonts w:ascii="Arial" w:hAnsi="Arial" w:cs="Arial"/>
          <w:i/>
          <w:iCs/>
          <w:color w:val="595959"/>
          <w:sz w:val="26"/>
          <w:szCs w:val="26"/>
        </w:rPr>
        <w:lastRenderedPageBreak/>
        <w:t>de alteração da situação econômica da executada e a natureza satisfativa da execução.</w:t>
      </w:r>
    </w:p>
    <w:p w14:paraId="75E1FAC7" w14:textId="77777777" w:rsidR="008D07FC" w:rsidRDefault="00A4543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Nesse sentido:</w:t>
      </w:r>
    </w:p>
    <w:p w14:paraId="795E8EC3" w14:textId="77777777" w:rsidR="008D07FC" w:rsidRPr="009A6651" w:rsidRDefault="00A4543F" w:rsidP="00156BB1">
      <w:pPr>
        <w:spacing w:after="0" w:line="360" w:lineRule="auto"/>
        <w:ind w:left="3402"/>
        <w:jc w:val="both"/>
        <w:rPr>
          <w:rFonts w:ascii="Arial" w:hAnsi="Arial" w:cs="Arial"/>
          <w:color w:val="595959"/>
          <w:sz w:val="26"/>
          <w:szCs w:val="26"/>
          <w:u w:val="single"/>
        </w:rPr>
      </w:pPr>
      <w:r>
        <w:rPr>
          <w:rFonts w:ascii="Arial" w:hAnsi="Arial" w:cs="Arial"/>
          <w:i/>
          <w:iCs/>
          <w:color w:val="595959"/>
          <w:sz w:val="26"/>
          <w:szCs w:val="26"/>
        </w:rPr>
        <w:t xml:space="preserve">‘(...) </w:t>
      </w:r>
      <w:r w:rsidRPr="009A6651">
        <w:rPr>
          <w:rFonts w:ascii="Arial" w:hAnsi="Arial" w:cs="Arial"/>
          <w:i/>
          <w:iCs/>
          <w:color w:val="595959"/>
          <w:sz w:val="26"/>
          <w:szCs w:val="26"/>
          <w:u w:val="single"/>
        </w:rPr>
        <w:t>4. A jurisprudência do TJDFT e do STJ admite a reiteração de buscas patrimoniais em sistemas eletrônicos após o transcurso de um ano, sem exigência de comprovação de alteração da situação econômica do devedor.</w:t>
      </w:r>
    </w:p>
    <w:p w14:paraId="3B97D363" w14:textId="276CB1EF" w:rsidR="008D07FC" w:rsidRDefault="00A4543F" w:rsidP="00156BB1">
      <w:pPr>
        <w:spacing w:after="0" w:line="360" w:lineRule="auto"/>
        <w:ind w:left="3402"/>
        <w:jc w:val="both"/>
        <w:rPr>
          <w:rFonts w:ascii="Arial" w:hAnsi="Arial" w:cs="Arial"/>
          <w:color w:val="595959"/>
          <w:sz w:val="26"/>
          <w:szCs w:val="26"/>
        </w:rPr>
      </w:pPr>
      <w:commentRangeStart w:id="9"/>
      <w:r w:rsidRPr="009A6651">
        <w:rPr>
          <w:rFonts w:ascii="Arial" w:hAnsi="Arial" w:cs="Arial"/>
          <w:i/>
          <w:iCs/>
          <w:color w:val="595959"/>
          <w:sz w:val="26"/>
          <w:szCs w:val="26"/>
          <w:u w:val="single"/>
        </w:rPr>
        <w:t>5. No caso concreto, considerando que as últimas pesquisas ocorreram há mais de um ano, verifica-se a razoabilidade do pedido, devendo ser deferida a reiteração das diligências.</w:t>
      </w:r>
      <w:r>
        <w:rPr>
          <w:rFonts w:ascii="Arial" w:hAnsi="Arial" w:cs="Arial"/>
          <w:i/>
          <w:iCs/>
          <w:color w:val="595959"/>
          <w:sz w:val="26"/>
          <w:szCs w:val="26"/>
        </w:rPr>
        <w:t xml:space="preserve"> (...)’ </w:t>
      </w:r>
      <w:r w:rsidRPr="000416AD">
        <w:rPr>
          <w:rFonts w:ascii="Arial" w:hAnsi="Arial" w:cs="Arial"/>
          <w:i/>
          <w:color w:val="595959"/>
          <w:sz w:val="26"/>
          <w:szCs w:val="26"/>
        </w:rPr>
        <w:t>(Acórdão 1990502, 0700850-70.2025.8.07.0000, Relator(a): AISTON HENRIQUE DE SOUSA, 4ª TURMA CÍVEL, data de julgamento: 10/04/2025, publicado no DJe: 07/05/2025.)</w:t>
      </w:r>
      <w:r w:rsidR="00E950F9">
        <w:rPr>
          <w:rFonts w:ascii="Arial" w:hAnsi="Arial" w:cs="Arial"/>
          <w:i/>
          <w:color w:val="595959"/>
          <w:sz w:val="26"/>
          <w:szCs w:val="26"/>
        </w:rPr>
        <w:t xml:space="preserve"> – Grifei.</w:t>
      </w:r>
      <w:r w:rsidRPr="000416AD">
        <w:rPr>
          <w:rFonts w:ascii="Arial" w:hAnsi="Arial" w:cs="Arial"/>
          <w:i/>
          <w:color w:val="595959"/>
          <w:sz w:val="26"/>
          <w:szCs w:val="26"/>
        </w:rPr>
        <w:t>”</w:t>
      </w:r>
      <w:commentRangeEnd w:id="9"/>
      <w:r>
        <w:rPr>
          <w:rStyle w:val="CommentReference"/>
        </w:rPr>
        <w:commentReference w:id="9"/>
      </w:r>
    </w:p>
    <w:p w14:paraId="4A95633E" w14:textId="77777777" w:rsidR="008D07FC" w:rsidRDefault="008D07FC">
      <w:pPr>
        <w:spacing w:after="0" w:line="360" w:lineRule="auto"/>
        <w:jc w:val="both"/>
        <w:rPr>
          <w:rFonts w:ascii="Arial" w:hAnsi="Arial" w:cs="Arial"/>
          <w:color w:val="595959"/>
          <w:sz w:val="28"/>
          <w:szCs w:val="28"/>
        </w:rPr>
      </w:pPr>
    </w:p>
    <w:p w14:paraId="4FD9C466" w14:textId="672AB7FE" w:rsidR="008D07FC" w:rsidRDefault="00A4543F">
      <w:pPr>
        <w:spacing w:after="0" w:line="360" w:lineRule="auto"/>
        <w:ind w:firstLine="2268"/>
        <w:jc w:val="both"/>
        <w:rPr>
          <w:rFonts w:ascii="Arial" w:hAnsi="Arial" w:cs="Arial"/>
          <w:color w:val="595959"/>
          <w:sz w:val="28"/>
          <w:szCs w:val="28"/>
        </w:rPr>
      </w:pPr>
      <w:commentRangeStart w:id="1"/>
      <w:commentRangeEnd w:id="1"/>
      <w:r>
        <w:rPr>
          <w:rFonts w:ascii="Arial" w:hAnsi="Arial" w:cs="Arial"/>
          <w:color w:val="808080"/>
          <w:sz w:val="28"/>
          <w:szCs w:val="28"/>
        </w:rPr>
        <w:t xml:space="preserve">No</w:t>
      </w:r>
      <w:commentRangeStart w:id="10"/>
      <w:r>
        <w:rPr>
          <w:rFonts w:ascii="Arial" w:hAnsi="Arial" w:cs="Arial"/>
          <w:color w:val="595959"/>
          <w:sz w:val="28"/>
          <w:szCs w:val="28"/>
          <w:highlight w:val="yellow"/>
        </w:rPr>
        <w:t xml:space="preserve"> </w:t>
      </w:r>
      <w:r>
        <w:rPr>
          <w:rFonts w:ascii="Arial" w:hAnsi="Arial" w:cs="Arial"/>
          <w:color w:val="808080"/>
          <w:sz w:val="28"/>
          <w:szCs w:val="28"/>
        </w:rPr>
        <w:t xml:space="preserve">mais</w:t>
      </w:r>
      <w:r>
        <w:rPr>
          <w:rFonts w:ascii="Arial" w:hAnsi="Arial" w:cs="Arial"/>
          <w:color w:val="595959"/>
          <w:sz w:val="28"/>
          <w:szCs w:val="28"/>
          <w:highlight w:val="yellow"/>
        </w:rPr>
        <w:t xml:space="preserve">, embora não desconheça a rotina cartorária para efetivação da reiteração da pesquisa SISBAJUD, esta 4ª Turma Cível tem </w:t>
      </w:r>
      <w:r>
        <w:rPr>
          <w:rFonts w:ascii="Arial" w:hAnsi="Arial" w:cs="Arial"/>
          <w:color w:val="595959"/>
          <w:sz w:val="28"/>
          <w:szCs w:val="28"/>
          <w:highlight w:val="yellow"/>
        </w:rPr>
        <w:t xml:space="preserve">decidido</w:t>
      </w:r>
      <w:r>
        <w:rPr>
          <w:rFonts w:ascii="Arial" w:hAnsi="Arial" w:cs="Arial"/>
          <w:color w:val="595959"/>
          <w:sz w:val="28"/>
          <w:szCs w:val="28"/>
          <w:highlight w:val="yellow"/>
        </w:rPr>
        <w:t xml:space="preserve"> que a modalidade “teimosinha” constitui funcionalidade que aprimora a efetividade da execução, de modo que não pode ser desconsiderada.</w:t>
      </w:r>
      <w:commentRangeEnd w:id="10"/>
      <w:r>
        <w:rPr>
          <w:rStyle w:val="CommentReference"/>
        </w:rPr>
        <w:commentReference w:id="10"/>
      </w:r>
    </w:p>
    <w:p w14:paraId="70505564" w14:textId="77777777" w:rsidR="008D07FC" w:rsidRDefault="008D07FC">
      <w:pPr>
        <w:spacing w:after="0" w:line="360" w:lineRule="auto"/>
        <w:jc w:val="both"/>
        <w:rPr>
          <w:rFonts w:ascii="Arial" w:hAnsi="Arial" w:cs="Arial"/>
          <w:color w:val="595959"/>
          <w:sz w:val="28"/>
          <w:szCs w:val="28"/>
        </w:rPr>
      </w:pPr>
    </w:p>
    <w:p w14:paraId="54E8E373"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056A9204" w14:textId="77777777" w:rsidR="008D07FC" w:rsidRDefault="008D07FC">
      <w:pPr>
        <w:spacing w:after="0" w:line="360" w:lineRule="auto"/>
        <w:jc w:val="both"/>
        <w:rPr>
          <w:rFonts w:ascii="Arial" w:hAnsi="Arial" w:cs="Arial"/>
          <w:color w:val="595959"/>
          <w:sz w:val="28"/>
          <w:szCs w:val="28"/>
        </w:rPr>
      </w:pPr>
    </w:p>
    <w:p w14:paraId="647051C2" w14:textId="77777777" w:rsidR="008D07FC" w:rsidRDefault="00A4543F">
      <w:pPr>
        <w:spacing w:after="0" w:line="360" w:lineRule="auto"/>
        <w:ind w:left="2268"/>
        <w:jc w:val="both"/>
        <w:rPr>
          <w:rFonts w:ascii="Arial" w:hAnsi="Arial" w:cs="Arial"/>
          <w:color w:val="595959"/>
          <w:sz w:val="26"/>
          <w:szCs w:val="26"/>
        </w:rPr>
      </w:pPr>
      <w:commentRangeStart w:id="11"/>
      <w:r>
        <w:rPr>
          <w:rFonts w:ascii="Arial" w:hAnsi="Arial" w:cs="Arial"/>
          <w:i/>
          <w:iCs/>
          <w:color w:val="595959"/>
          <w:sz w:val="26"/>
          <w:szCs w:val="26"/>
        </w:rPr>
        <w:t xml:space="preserve">“(...) III. Ante o interesse público na efetividade da jurisdição executiva, o juiz deve adotar as providências </w:t>
      </w:r>
      <w:r>
        <w:rPr>
          <w:rFonts w:ascii="Arial" w:hAnsi="Arial" w:cs="Arial"/>
          <w:i/>
          <w:iCs/>
          <w:color w:val="595959"/>
          <w:sz w:val="26"/>
          <w:szCs w:val="26"/>
        </w:rPr>
        <w:t xml:space="preserve">adequadas e necessárias para a satisfação do crédito do exequente, presente o princípio da cooperação consagrado nos artigos 6º, 772 e 773 do Código de Processo Civil. IV. A funcionalidade do SISBAJUD que permite a repetição programada da ordem de bloqueio de ativos financeiros prevista no artigo 854 do Código de Processo Civil, conhecida como ‘teimosinha’, além de racionalizar a administração dos serviços judiciários, agrega efetividade à execução. (...)” </w:t>
      </w:r>
      <w:r>
        <w:rPr>
          <w:rFonts w:ascii="Arial" w:hAnsi="Arial" w:cs="Arial"/>
          <w:iCs/>
          <w:color w:val="595959"/>
          <w:sz w:val="26"/>
          <w:szCs w:val="26"/>
        </w:rPr>
        <w:t xml:space="preserve">(Acórdão 2087914, 0737001-35.2025.8.07.0000, Relato</w:t>
      </w:r>
      <w:r>
        <w:rPr>
          <w:rFonts w:ascii="Arial" w:hAnsi="Arial" w:cs="Arial"/>
          <w:iCs/>
          <w:color w:val="595959"/>
          <w:sz w:val="26"/>
          <w:szCs w:val="26"/>
        </w:rPr>
        <w:t xml:space="preserve">r(a): JAMES EDUARDO OLIVEIRA, 4ª TURMA CÍVEL, data de julgamento: 05/02/2026, publicado no DJe: 16/03/2026.)</w:t>
      </w:r>
      <w:commentRangeEnd w:id="11"/>
      <w:r>
        <w:rPr>
          <w:rStyle w:val="CommentReference"/>
        </w:rPr>
        <w:commentReference w:id="11"/>
      </w:r>
      <w:r>
        <w:rPr>
          <w:rFonts w:ascii="Arial" w:hAnsi="Arial" w:cs="Arial"/>
          <w:iCs/>
          <w:color w:val="808080"/>
          <w:sz w:val="26"/>
          <w:szCs w:val="26"/>
        </w:rPr>
        <w:t xml:space="preserve"> – Grifei</w:t>
      </w:r>
    </w:p>
    <w:p w14:paraId="43FD630E" w14:textId="77777777" w:rsidR="008D07FC" w:rsidRDefault="008D07FC">
      <w:pPr>
        <w:spacing w:after="0" w:line="360" w:lineRule="auto"/>
        <w:jc w:val="both"/>
        <w:rPr>
          <w:rFonts w:ascii="Arial" w:hAnsi="Arial" w:cs="Arial"/>
          <w:color w:val="595959"/>
          <w:sz w:val="28"/>
          <w:szCs w:val="28"/>
        </w:rPr>
      </w:pPr>
    </w:p>
    <w:p w14:paraId="6ACDF948" w14:textId="77777777" w:rsidR="008D07FC" w:rsidRDefault="00A4543F">
      <w:pPr>
        <w:spacing w:after="0" w:line="360" w:lineRule="auto"/>
        <w:ind w:firstLine="2268"/>
        <w:jc w:val="both"/>
        <w:rPr>
          <w:rFonts w:ascii="Arial" w:hAnsi="Arial" w:cs="Arial"/>
          <w:color w:val="595959"/>
          <w:sz w:val="28"/>
          <w:szCs w:val="28"/>
        </w:rPr>
      </w:pPr>
      <w:commentRangeStart w:id="12"/>
      <w:r>
        <w:rPr>
          <w:rFonts w:ascii="Arial" w:hAnsi="Arial" w:cs="Arial"/>
          <w:color w:val="595959"/>
          <w:sz w:val="28"/>
          <w:szCs w:val="28"/>
          <w:highlight w:val="yellow"/>
        </w:rPr>
        <w:t xml:space="preserve">Dito isso, e não havendo alteração do quadro fático-jurídico delineado nos autos, com a máxima vênia ao entendimento do d. Juízo de origem, deve ser reformada a r. decisão agravada</w:t>
      </w:r>
      <w:r>
        <w:rPr>
          <w:rFonts w:ascii="Arial" w:hAnsi="Arial" w:cs="Arial"/>
          <w:color w:val="808080"/>
          <w:sz w:val="28"/>
          <w:szCs w:val="28"/>
        </w:rPr>
        <w:t xml:space="preserve">, pois o decurso de mais de um ano desde a última pesquisa (09/07/2025) autoriza a renovação da consulta (CPC 854)</w:t>
      </w:r>
      <w:r>
        <w:rPr>
          <w:rFonts w:ascii="Arial" w:hAnsi="Arial" w:cs="Arial"/>
          <w:color w:val="595959"/>
          <w:sz w:val="28"/>
          <w:szCs w:val="28"/>
          <w:highlight w:val="yellow"/>
        </w:rPr>
        <w:t xml:space="preserve">.</w:t>
      </w:r>
      <w:commentRangeEnd w:id="12"/>
      <w:r>
        <w:rPr>
          <w:rStyle w:val="CommentReference"/>
        </w:rPr>
        <w:commentReference w:id="12"/>
      </w:r>
    </w:p>
    <w:p w14:paraId="7AE14041" w14:textId="77777777" w:rsidR="008D07FC" w:rsidRDefault="008D07FC">
      <w:pPr>
        <w:spacing w:after="0" w:line="360" w:lineRule="auto"/>
        <w:jc w:val="both"/>
        <w:rPr>
          <w:rFonts w:ascii="Arial" w:hAnsi="Arial" w:cs="Arial"/>
          <w:color w:val="595959"/>
          <w:sz w:val="28"/>
          <w:szCs w:val="28"/>
        </w:rPr>
      </w:pPr>
    </w:p>
    <w:p w14:paraId="2E6AFC9E" w14:textId="77777777" w:rsidR="008D07FC" w:rsidRDefault="00A4543F">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596A0EBE" w14:textId="77777777" w:rsidR="008D07FC" w:rsidRDefault="008D07FC">
      <w:pPr>
        <w:spacing w:after="0" w:line="360" w:lineRule="auto"/>
        <w:jc w:val="both"/>
        <w:rPr>
          <w:rFonts w:ascii="Arial" w:hAnsi="Arial" w:cs="Arial"/>
          <w:color w:val="595959"/>
          <w:sz w:val="28"/>
          <w:szCs w:val="28"/>
        </w:rPr>
      </w:pPr>
    </w:p>
    <w:p w14:paraId="54C46497" w14:textId="7493D6FF"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Ante o exposto, reiterada a vênia, </w:t>
      </w:r>
      <w:r w:rsidR="006C0B3C">
        <w:rPr>
          <w:rFonts w:ascii="Arial" w:hAnsi="Arial" w:cs="Arial"/>
          <w:b/>
          <w:bCs/>
          <w:color w:val="595959"/>
          <w:sz w:val="28"/>
          <w:szCs w:val="28"/>
        </w:rPr>
        <w:t>dou provimento</w:t>
      </w:r>
      <w:r>
        <w:rPr>
          <w:rFonts w:ascii="Arial" w:hAnsi="Arial" w:cs="Arial"/>
          <w:b/>
          <w:bCs/>
          <w:color w:val="595959"/>
          <w:sz w:val="28"/>
          <w:szCs w:val="28"/>
        </w:rPr>
        <w:t xml:space="preserve"> </w:t>
      </w:r>
      <w:r w:rsidR="006C0B3C">
        <w:rPr>
          <w:rFonts w:ascii="Arial" w:hAnsi="Arial" w:cs="Arial"/>
          <w:color w:val="595959"/>
          <w:sz w:val="28"/>
          <w:szCs w:val="28"/>
        </w:rPr>
        <w:t>a</w:t>
      </w:r>
      <w:r>
        <w:rPr>
          <w:rFonts w:ascii="Arial" w:hAnsi="Arial" w:cs="Arial"/>
          <w:color w:val="595959"/>
          <w:sz w:val="28"/>
          <w:szCs w:val="28"/>
        </w:rPr>
        <w:t>o agravo de instrumento da exequente, ASSOCIAÇÃO DE ASSISTÊNCIA DOS SERVIDORES PÚBLICOS DO DISTRITO FEDERAL - ASBR, para, confirmando a decisão liminar, determinar a realização de pesquisa e eventual bloqueio de ativos financeiros em nome da executada, ELIZABETE NASCIMENTO DE OLIVEIRA, no sistema SISBAJUD, na modalidade reiterada por 30 (trinta) dias.</w:t>
      </w:r>
    </w:p>
    <w:p w14:paraId="0D53DF55" w14:textId="77777777" w:rsidR="008D07FC" w:rsidRDefault="008D07FC">
      <w:pPr>
        <w:spacing w:after="0" w:line="360" w:lineRule="auto"/>
        <w:jc w:val="both"/>
        <w:rPr>
          <w:rFonts w:ascii="Arial" w:hAnsi="Arial" w:cs="Arial"/>
          <w:color w:val="595959"/>
          <w:sz w:val="28"/>
          <w:szCs w:val="28"/>
        </w:rPr>
      </w:pPr>
    </w:p>
    <w:p w14:paraId="65AB77A0" w14:textId="77777777" w:rsidR="008D07FC" w:rsidRDefault="00A4543F">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0FBD8A2D" w14:textId="77777777" w:rsidR="005A09F9" w:rsidRDefault="0085546F" w:rsidP="00CA42B7">
      <w:pPr>
        <w:pageBreakBefore/>
        <w:spacing w:after="0" w:line="360" w:lineRule="auto"/>
        <w:rPr>
          <w:rFonts w:ascii="Arial" w:hAnsi="Arial" w:cs="Arial"/>
          <w:color w:val="008000"/>
          <w:sz w:val="28"/>
          <w:szCs w:val="28"/>
        </w:rPr>
      </w:pPr>
      <w:r w:rsidRPr="00CA42B7">
        <w:rPr>
          <w:rFonts w:ascii="Arial" w:hAnsi="Arial" w:cs="Arial"/>
          <w:color w:val="008000"/>
          <w:sz w:val="28"/>
          <w:szCs w:val="28"/>
        </w:rPr>
        <w:lastRenderedPageBreak/>
        <w:t>Número do processo:</w:t>
      </w:r>
      <w:r w:rsidR="007B384A">
        <w:rPr>
          <w:rFonts w:ascii="Arial" w:hAnsi="Arial" w:cs="Arial"/>
          <w:color w:val="008000"/>
          <w:sz w:val="28"/>
          <w:szCs w:val="28"/>
        </w:rPr>
        <w:t xml:space="preserve"> </w:t>
      </w:r>
      <w:hyperlink r:id="rId15" w:tooltip="Clique com o botão direito para copiar" w:history="1">
        <w:r w:rsidRPr="00CA42B7">
          <w:rPr>
            <w:rStyle w:val="Hyperlink"/>
            <w:rFonts w:ascii="Arial" w:hAnsi="Arial" w:cs="Arial"/>
            <w:color w:val="008000"/>
            <w:sz w:val="28"/>
            <w:szCs w:val="28"/>
            <w:u w:val="none"/>
          </w:rPr>
          <w:t>0705070-45.2024.8.07.0001</w:t>
        </w:r>
      </w:hyperlink>
    </w:p>
    <w:p w14:paraId="0DCCC3A6" w14:textId="77777777" w:rsidR="003F3582" w:rsidRPr="005A09F9" w:rsidRDefault="003F3582" w:rsidP="005A09F9">
      <w:pPr>
        <w:spacing w:after="0" w:line="360" w:lineRule="auto"/>
        <w:rPr>
          <w:rFonts w:ascii="Arial" w:hAnsi="Arial" w:cs="Arial"/>
          <w:color w:val="008000"/>
          <w:sz w:val="28"/>
          <w:szCs w:val="28"/>
        </w:rPr>
      </w:pPr>
      <w:r w:rsidRPr="005A09F9">
        <w:rPr>
          <w:rFonts w:ascii="Arial" w:hAnsi="Arial" w:cs="Arial"/>
          <w:color w:val="008000"/>
          <w:sz w:val="28"/>
          <w:szCs w:val="28"/>
        </w:rPr>
        <w:t>Classe judicial: EXECUÇÃO DE TÍTULO EXTRAJUDICIAL (12154)</w:t>
      </w:r>
    </w:p>
    <w:p w14:paraId="01B87FCA" w14:textId="77777777" w:rsidR="003F3582" w:rsidRPr="005A09F9" w:rsidRDefault="003F3582" w:rsidP="005A09F9">
      <w:pPr>
        <w:spacing w:after="0" w:line="360" w:lineRule="auto"/>
        <w:rPr>
          <w:rFonts w:ascii="Arial" w:hAnsi="Arial" w:cs="Arial"/>
          <w:color w:val="008000"/>
          <w:sz w:val="28"/>
          <w:szCs w:val="28"/>
        </w:rPr>
      </w:pPr>
      <w:r w:rsidRPr="005A09F9">
        <w:rPr>
          <w:rFonts w:ascii="Arial" w:hAnsi="Arial" w:cs="Arial"/>
          <w:color w:val="008000"/>
          <w:sz w:val="28"/>
          <w:szCs w:val="28"/>
        </w:rPr>
        <w:t>EXEQUENTE: ASSOCIACAO DE ASSISTENCIA DOS SERVIDORES PUBLICOS DO DISTRITO FEDERAL - ASBR</w:t>
      </w:r>
    </w:p>
    <w:p w14:paraId="43E8A852" w14:textId="77777777" w:rsidR="003F3582" w:rsidRPr="00CA42B7" w:rsidRDefault="003F3582" w:rsidP="00CA42B7">
      <w:pPr>
        <w:spacing w:after="0" w:line="360" w:lineRule="auto"/>
        <w:rPr>
          <w:rFonts w:ascii="Arial" w:hAnsi="Arial" w:cs="Arial"/>
          <w:color w:val="008000"/>
          <w:sz w:val="28"/>
          <w:szCs w:val="28"/>
        </w:rPr>
      </w:pPr>
      <w:r w:rsidRPr="00CA42B7">
        <w:rPr>
          <w:rFonts w:ascii="Arial" w:hAnsi="Arial" w:cs="Arial"/>
          <w:color w:val="008000"/>
          <w:sz w:val="28"/>
          <w:szCs w:val="28"/>
        </w:rPr>
        <w:t>EXECUTADO: ELIZABETE NASCIMENTO OLIVEIRA</w:t>
      </w:r>
    </w:p>
    <w:p w14:paraId="7080E572" w14:textId="77777777" w:rsidR="00793C3D" w:rsidRDefault="00793C3D" w:rsidP="009809FB">
      <w:pPr>
        <w:spacing w:after="0" w:line="360" w:lineRule="auto"/>
        <w:jc w:val="center"/>
        <w:rPr>
          <w:rFonts w:ascii="Arial" w:hAnsi="Arial" w:cs="Arial"/>
          <w:b/>
          <w:bCs/>
          <w:color w:val="008000"/>
          <w:sz w:val="28"/>
          <w:szCs w:val="28"/>
        </w:rPr>
      </w:pPr>
    </w:p>
    <w:p w14:paraId="4493113A" w14:textId="07695F7D" w:rsidR="009809FB" w:rsidRDefault="003F3582" w:rsidP="009809FB">
      <w:pPr>
        <w:spacing w:after="0" w:line="360" w:lineRule="auto"/>
        <w:jc w:val="center"/>
        <w:rPr>
          <w:rFonts w:ascii="Arial" w:hAnsi="Arial" w:cs="Arial"/>
          <w:b/>
          <w:bCs/>
          <w:color w:val="008000"/>
          <w:sz w:val="28"/>
          <w:szCs w:val="28"/>
        </w:rPr>
      </w:pPr>
      <w:r w:rsidRPr="00CA42B7">
        <w:rPr>
          <w:rFonts w:ascii="Arial" w:hAnsi="Arial" w:cs="Arial"/>
          <w:b/>
          <w:bCs/>
          <w:color w:val="008000"/>
          <w:sz w:val="28"/>
          <w:szCs w:val="28"/>
        </w:rPr>
        <w:t>DECISÃO</w:t>
      </w:r>
    </w:p>
    <w:p w14:paraId="435B6541" w14:textId="77777777" w:rsidR="00793C3D" w:rsidRDefault="00793C3D" w:rsidP="009809FB">
      <w:pPr>
        <w:spacing w:after="0" w:line="360" w:lineRule="auto"/>
        <w:jc w:val="center"/>
        <w:rPr>
          <w:rFonts w:ascii="Arial" w:hAnsi="Arial" w:cs="Arial"/>
          <w:b/>
          <w:bCs/>
          <w:color w:val="008000"/>
          <w:sz w:val="28"/>
          <w:szCs w:val="28"/>
        </w:rPr>
      </w:pPr>
    </w:p>
    <w:p w14:paraId="1B0053AC" w14:textId="4A3A95D6" w:rsidR="0085546F" w:rsidRPr="00CA42B7" w:rsidRDefault="0085546F"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 pesquisa anterior realizada pelo sistema SISBAJUD foi infrutífera (id.</w:t>
      </w:r>
      <w:r w:rsidR="007B384A">
        <w:rPr>
          <w:rFonts w:ascii="Arial" w:hAnsi="Arial" w:cs="Arial"/>
          <w:color w:val="008000"/>
          <w:sz w:val="28"/>
          <w:szCs w:val="28"/>
        </w:rPr>
        <w:t xml:space="preserve"> </w:t>
      </w:r>
      <w:hyperlink r:id="rId16" w:tgtFrame="_blank" w:tooltip="Clique com o botão direito para copiar" w:history="1">
        <w:r w:rsidRPr="00CA42B7">
          <w:rPr>
            <w:rStyle w:val="Hyperlink"/>
            <w:rFonts w:ascii="Arial" w:hAnsi="Arial" w:cs="Arial"/>
            <w:color w:val="008000"/>
            <w:sz w:val="28"/>
            <w:szCs w:val="28"/>
            <w:u w:val="none"/>
          </w:rPr>
          <w:t>242180700</w:t>
        </w:r>
      </w:hyperlink>
      <w:r w:rsidRPr="00CA42B7">
        <w:rPr>
          <w:rFonts w:ascii="Arial" w:hAnsi="Arial" w:cs="Arial"/>
          <w:color w:val="008000"/>
          <w:sz w:val="28"/>
          <w:szCs w:val="28"/>
        </w:rPr>
        <w:t>), circunstância que, neste momento, não indica probabilidade concreta de que a reiteração automática da medida produza resultado útil e proporcional ao andamento do processo.</w:t>
      </w:r>
    </w:p>
    <w:p w14:paraId="722A467F"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 execução se desenvolve no interesse do credor, nos termos do art. 797 do CPC, e deve buscar a satisfação do crédito com efetividade. Por outro lado, os atos executivos também devem observar critérios de utilidade, necessidade, proporcionalidade e eficiência, de modo que a renovação de diligências patrimoniais não se converta em providência meramente repetitiva, sem indicativo mínimo de alteração da situação patrimonial da parte executada.</w:t>
      </w:r>
    </w:p>
    <w:p w14:paraId="1138A47A"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No caso, embora a penhora de ativos financeiros seja medida preferencial na ordem legal do art. 835 do CPC e possa ser realizada por meio do SISBAJUD, a modalidade de busca automaticamente reiterada pressupõe juízo de adequação à luz das circunstâncias dos autos. Não basta, para tanto, a simples existência de débito pendente. É necessário que haja elementos que indiquem a probabilidade de êxito da medida, especialmente quando pesquisa anterior recente tenha apresentado resultado inexpressivo ou insuficiente diante do montante executado.</w:t>
      </w:r>
    </w:p>
    <w:p w14:paraId="6195CA97"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lastRenderedPageBreak/>
        <w:t>Além disso, a busca reiterada de ativos financeiros, embora automatizada em sua origem, gera protocolo para cada dia de reiteração. Cada resultado deve ser analisado, lido, juntado individualmente aos autos e conferido em relação aos demais dias de pesquisa, o que demanda atuação cartorária sucessiva e substancialmente equivalente à realização de buscas individuais em dias diversos.</w:t>
      </w:r>
    </w:p>
    <w:p w14:paraId="0CC31EE9"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Nesse contexto, considerando o elevado acervo processual do Cartório Judicial Único e o quantitativo disponível de servidores, a utilização da ferramenta deve observar critérios mínimos de racionalidade administrativa, a fim de permitir que todos os exequentes que postularem a pesquisa patrimonial tenham acesso ao SISBAJUD em tempo razoável, em atenção ao art. 5º, LXXVIII, da Constituição Federal.</w:t>
      </w:r>
    </w:p>
    <w:p w14:paraId="41C63B25" w14:textId="77777777" w:rsidR="009809FB" w:rsidRDefault="003F3582" w:rsidP="009809FB">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Assim, sem prejuízo de futura renovação do pedido caso sejam apresentados elementos concretos que indiquem alteração da capacidade financeira da parte executada, ingresso recente de valores, recebimento de crédito, atividade econômica atual ou outra circunstância apta a justificar nova tentativa,</w:t>
      </w:r>
      <w:r>
        <w:rPr>
          <w:rFonts w:ascii="Arial" w:hAnsi="Arial" w:cs="Arial"/>
          <w:color w:val="008000"/>
          <w:sz w:val="28"/>
          <w:szCs w:val="28"/>
        </w:rPr>
        <w:t xml:space="preserve"> </w:t>
      </w:r>
      <w:r w:rsidRPr="00CA42B7">
        <w:rPr>
          <w:rFonts w:ascii="Arial" w:hAnsi="Arial" w:cs="Arial"/>
          <w:b/>
          <w:bCs/>
          <w:color w:val="008000"/>
          <w:sz w:val="28"/>
          <w:szCs w:val="28"/>
        </w:rPr>
        <w:t>indefiro</w:t>
      </w:r>
      <w:r w:rsidRPr="00CA42B7">
        <w:rPr>
          <w:rFonts w:ascii="Arial" w:hAnsi="Arial" w:cs="Arial"/>
          <w:color w:val="008000"/>
          <w:sz w:val="28"/>
          <w:szCs w:val="28"/>
        </w:rPr>
        <w:t>, por ora, o pedido de realização de nova pesquisa SISBAJUD na modalidade automaticamente reiterada.</w:t>
      </w:r>
    </w:p>
    <w:p w14:paraId="2D6C83F4" w14:textId="3685B039" w:rsidR="0085546F" w:rsidRPr="00CA42B7" w:rsidRDefault="0085546F" w:rsidP="009809FB">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Também, realizada a pesquisa INFOJUD pelo Juízo (id.</w:t>
      </w:r>
      <w:r w:rsidR="007B384A">
        <w:rPr>
          <w:rFonts w:ascii="Arial" w:hAnsi="Arial" w:cs="Arial"/>
          <w:color w:val="008000"/>
          <w:sz w:val="28"/>
          <w:szCs w:val="28"/>
        </w:rPr>
        <w:t xml:space="preserve"> </w:t>
      </w:r>
      <w:hyperlink r:id="rId17" w:tgtFrame="_blank" w:tooltip="Clique com o botão direito para copiar" w:history="1">
        <w:r w:rsidRPr="00CA42B7">
          <w:rPr>
            <w:rStyle w:val="Hyperlink"/>
            <w:rFonts w:ascii="Arial" w:hAnsi="Arial" w:cs="Arial"/>
            <w:color w:val="008000"/>
            <w:sz w:val="28"/>
            <w:szCs w:val="28"/>
            <w:u w:val="none"/>
          </w:rPr>
          <w:t>214018622</w:t>
        </w:r>
      </w:hyperlink>
      <w:r w:rsidRPr="00CA42B7">
        <w:rPr>
          <w:rFonts w:ascii="Arial" w:hAnsi="Arial" w:cs="Arial"/>
          <w:color w:val="008000"/>
          <w:sz w:val="28"/>
          <w:szCs w:val="28"/>
        </w:rPr>
        <w:t>), não foram localizados bens suficientes para satisfação do débito, de forma que</w:t>
      </w:r>
      <w:r w:rsidR="007B384A">
        <w:rPr>
          <w:rFonts w:ascii="Arial" w:hAnsi="Arial" w:cs="Arial"/>
          <w:color w:val="008000"/>
          <w:sz w:val="28"/>
          <w:szCs w:val="28"/>
        </w:rPr>
        <w:t xml:space="preserve"> </w:t>
      </w:r>
      <w:r w:rsidRPr="00CA42B7">
        <w:rPr>
          <w:rFonts w:ascii="Arial" w:hAnsi="Arial" w:cs="Arial"/>
          <w:color w:val="008000"/>
          <w:sz w:val="28"/>
          <w:szCs w:val="28"/>
        </w:rPr>
        <w:t>não há razoabilidade em realizar a consulta requerida quando os elementos trazidos aos autos indicam a ausência de patrimônio, cuja reiteração</w:t>
      </w:r>
      <w:r w:rsidR="007B384A">
        <w:rPr>
          <w:rFonts w:ascii="Arial" w:hAnsi="Arial" w:cs="Arial"/>
          <w:color w:val="008000"/>
          <w:sz w:val="28"/>
          <w:szCs w:val="28"/>
        </w:rPr>
        <w:t xml:space="preserve"> </w:t>
      </w:r>
      <w:r w:rsidRPr="00CA42B7">
        <w:rPr>
          <w:rFonts w:ascii="Arial" w:hAnsi="Arial" w:cs="Arial"/>
          <w:b/>
          <w:bCs/>
          <w:color w:val="008000"/>
          <w:sz w:val="28"/>
          <w:szCs w:val="28"/>
        </w:rPr>
        <w:t>também indefiro</w:t>
      </w:r>
      <w:r w:rsidRPr="00CA42B7">
        <w:rPr>
          <w:rFonts w:ascii="Arial" w:hAnsi="Arial" w:cs="Arial"/>
          <w:color w:val="008000"/>
          <w:sz w:val="28"/>
          <w:szCs w:val="28"/>
        </w:rPr>
        <w:t>.</w:t>
      </w:r>
      <w:r w:rsidR="007B384A">
        <w:rPr>
          <w:rFonts w:ascii="Arial" w:hAnsi="Arial" w:cs="Arial"/>
          <w:color w:val="008000"/>
          <w:sz w:val="28"/>
          <w:szCs w:val="28"/>
        </w:rPr>
        <w:t xml:space="preserve"> </w:t>
      </w:r>
    </w:p>
    <w:p w14:paraId="65641D4F"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Caso deseje buscar veículos e/ou imóveis da parte executada, o credor poderá diligenciar diretamente, sem necessidade de intervenção judicial.</w:t>
      </w:r>
      <w:r>
        <w:rPr>
          <w:rFonts w:ascii="Arial" w:hAnsi="Arial" w:cs="Arial"/>
          <w:color w:val="008000"/>
          <w:sz w:val="28"/>
          <w:szCs w:val="28"/>
        </w:rPr>
        <w:t xml:space="preserve"> </w:t>
      </w:r>
    </w:p>
    <w:p w14:paraId="263F17AE"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lastRenderedPageBreak/>
        <w:t>Ressalto que a tarefa de empreender diligências</w:t>
      </w:r>
      <w:r>
        <w:rPr>
          <w:rFonts w:ascii="Arial" w:hAnsi="Arial" w:cs="Arial"/>
          <w:color w:val="008000"/>
          <w:sz w:val="28"/>
          <w:szCs w:val="28"/>
        </w:rPr>
        <w:t xml:space="preserve"> </w:t>
      </w:r>
      <w:r w:rsidRPr="00CA42B7">
        <w:rPr>
          <w:rFonts w:ascii="Arial" w:hAnsi="Arial" w:cs="Arial"/>
          <w:color w:val="008000"/>
          <w:sz w:val="28"/>
          <w:szCs w:val="28"/>
        </w:rPr>
        <w:t>com o intuito de localizar bens, valores e direitos do devedor passíveis de penhora, compete, precipuamente, ao credor.</w:t>
      </w:r>
      <w:r>
        <w:rPr>
          <w:rFonts w:ascii="Arial" w:hAnsi="Arial" w:cs="Arial"/>
          <w:color w:val="008000"/>
          <w:sz w:val="28"/>
          <w:szCs w:val="28"/>
        </w:rPr>
        <w:t xml:space="preserve"> </w:t>
      </w:r>
    </w:p>
    <w:p w14:paraId="08822F36" w14:textId="77777777" w:rsidR="00793C3D" w:rsidRDefault="003F3582"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O</w:t>
      </w:r>
      <w:r>
        <w:rPr>
          <w:rFonts w:ascii="Arial" w:hAnsi="Arial" w:cs="Arial"/>
          <w:color w:val="008000"/>
          <w:sz w:val="28"/>
          <w:szCs w:val="28"/>
        </w:rPr>
        <w:t xml:space="preserve"> </w:t>
      </w:r>
      <w:r w:rsidRPr="00CA42B7">
        <w:rPr>
          <w:rFonts w:ascii="Arial" w:hAnsi="Arial" w:cs="Arial"/>
          <w:color w:val="008000"/>
          <w:sz w:val="28"/>
          <w:szCs w:val="28"/>
        </w:rPr>
        <w:t>princípio da cooperação não confere ao Poder Judiciário o dever de empreender, reiteradamente e de maneira injustificada, pesquisas nos sistemas conveniados com o intuito de localizar bens do devedor que possam ser penhorados.</w:t>
      </w:r>
      <w:r>
        <w:rPr>
          <w:rFonts w:ascii="Arial" w:hAnsi="Arial" w:cs="Arial"/>
          <w:color w:val="008000"/>
          <w:sz w:val="28"/>
          <w:szCs w:val="28"/>
        </w:rPr>
        <w:t xml:space="preserve"> </w:t>
      </w:r>
    </w:p>
    <w:p w14:paraId="4667473C" w14:textId="34A7129F" w:rsidR="0085546F" w:rsidRPr="00CA42B7" w:rsidRDefault="0085546F" w:rsidP="00793C3D">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Nessa toada, já tendo decorrido o prazo suspensivo de 01 (um) ano previsto no art. 921, inc. III e § 1º, do Código de Processo Civil, conforme decisão de id.</w:t>
      </w:r>
      <w:r w:rsidR="007B384A">
        <w:rPr>
          <w:rFonts w:ascii="Arial" w:hAnsi="Arial" w:cs="Arial"/>
          <w:color w:val="008000"/>
          <w:sz w:val="28"/>
          <w:szCs w:val="28"/>
        </w:rPr>
        <w:t xml:space="preserve"> </w:t>
      </w:r>
      <w:hyperlink r:id="rId18" w:tgtFrame="_blank" w:tooltip="Clique com o botão direito para copiar" w:history="1">
        <w:r w:rsidRPr="00CA42B7">
          <w:rPr>
            <w:rStyle w:val="Hyperlink"/>
            <w:rFonts w:ascii="Arial" w:hAnsi="Arial" w:cs="Arial"/>
            <w:color w:val="008000"/>
            <w:sz w:val="28"/>
            <w:szCs w:val="28"/>
            <w:u w:val="none"/>
          </w:rPr>
          <w:t>241737860</w:t>
        </w:r>
      </w:hyperlink>
      <w:r w:rsidRPr="00CA42B7">
        <w:rPr>
          <w:rFonts w:ascii="Arial" w:hAnsi="Arial" w:cs="Arial"/>
          <w:color w:val="008000"/>
          <w:sz w:val="28"/>
          <w:szCs w:val="28"/>
        </w:rPr>
        <w:t>,</w:t>
      </w:r>
      <w:r w:rsidR="007B384A">
        <w:rPr>
          <w:rFonts w:ascii="Arial" w:hAnsi="Arial" w:cs="Arial"/>
          <w:color w:val="008000"/>
          <w:sz w:val="28"/>
          <w:szCs w:val="28"/>
        </w:rPr>
        <w:t xml:space="preserve"> </w:t>
      </w:r>
      <w:r w:rsidRPr="00CA42B7">
        <w:rPr>
          <w:rFonts w:ascii="Arial" w:hAnsi="Arial" w:cs="Arial"/>
          <w:b/>
          <w:bCs/>
          <w:color w:val="008000"/>
          <w:sz w:val="28"/>
          <w:szCs w:val="28"/>
        </w:rPr>
        <w:t>arquivem-se os autos provisoriamente pelo prazo de prescrição intercorrente</w:t>
      </w:r>
      <w:r w:rsidRPr="00CA42B7">
        <w:rPr>
          <w:rFonts w:ascii="Arial" w:hAnsi="Arial" w:cs="Arial"/>
          <w:color w:val="008000"/>
          <w:sz w:val="28"/>
          <w:szCs w:val="28"/>
        </w:rPr>
        <w:t>, conforme determina o § 2º do supramencionado dispositivo normativo, cujo prazo passou a fluir a partir de 15/07/2026, conforme expediente processual.</w:t>
      </w:r>
    </w:p>
    <w:p w14:paraId="433CB75D" w14:textId="77777777" w:rsidR="003F3582" w:rsidRPr="00CA42B7" w:rsidRDefault="003F3582" w:rsidP="00CA42B7">
      <w:pPr>
        <w:spacing w:after="0" w:line="360" w:lineRule="auto"/>
        <w:ind w:firstLine="2268"/>
        <w:jc w:val="both"/>
        <w:rPr>
          <w:rFonts w:ascii="Arial" w:hAnsi="Arial" w:cs="Arial"/>
          <w:color w:val="008000"/>
          <w:sz w:val="28"/>
          <w:szCs w:val="28"/>
        </w:rPr>
      </w:pPr>
      <w:r w:rsidRPr="00CA42B7">
        <w:rPr>
          <w:rFonts w:ascii="Arial" w:hAnsi="Arial" w:cs="Arial"/>
          <w:color w:val="008000"/>
          <w:sz w:val="28"/>
          <w:szCs w:val="28"/>
        </w:rPr>
        <w:t>Intimem-se.</w:t>
      </w:r>
      <w:r>
        <w:rPr>
          <w:rFonts w:ascii="Arial" w:hAnsi="Arial" w:cs="Arial"/>
          <w:color w:val="008000"/>
          <w:sz w:val="28"/>
          <w:szCs w:val="28"/>
        </w:rPr>
        <w:t xml:space="preserve"> </w:t>
      </w:r>
    </w:p>
    <w:p w14:paraId="66369308" w14:textId="77777777" w:rsidR="00793C3D" w:rsidRDefault="00793C3D" w:rsidP="00CA42B7">
      <w:pPr>
        <w:spacing w:after="0" w:line="360" w:lineRule="auto"/>
        <w:ind w:firstLine="2268"/>
        <w:jc w:val="both"/>
        <w:rPr>
          <w:rFonts w:ascii="Arial" w:hAnsi="Arial" w:cs="Arial"/>
          <w:b/>
          <w:bCs/>
          <w:color w:val="008000"/>
          <w:sz w:val="28"/>
          <w:szCs w:val="28"/>
        </w:rPr>
      </w:pPr>
    </w:p>
    <w:p w14:paraId="2C3EC4AB" w14:textId="0559EF1B" w:rsidR="003F3582" w:rsidRPr="00CA42B7" w:rsidRDefault="003F3582" w:rsidP="00793C3D">
      <w:pPr>
        <w:spacing w:after="0" w:line="360" w:lineRule="auto"/>
        <w:jc w:val="center"/>
        <w:rPr>
          <w:rFonts w:ascii="Arial" w:hAnsi="Arial" w:cs="Arial"/>
          <w:color w:val="008000"/>
          <w:sz w:val="28"/>
          <w:szCs w:val="28"/>
        </w:rPr>
      </w:pPr>
      <w:r w:rsidRPr="00CA42B7">
        <w:rPr>
          <w:rFonts w:ascii="Arial" w:hAnsi="Arial" w:cs="Arial"/>
          <w:b/>
          <w:bCs/>
          <w:color w:val="008000"/>
          <w:sz w:val="28"/>
          <w:szCs w:val="28"/>
        </w:rPr>
        <w:t>DOCUMENTO DATADO E ASSINADO ELETRONICAMENTE CONFORME CERTIFICAÇÃO DIGITAL</w:t>
      </w:r>
    </w:p>
    <w:p w14:paraId="2EA444CF" w14:textId="77777777" w:rsidR="003F3582" w:rsidRPr="00CA42B7" w:rsidRDefault="003F3582" w:rsidP="00CA42B7">
      <w:pPr>
        <w:spacing w:after="0" w:line="360" w:lineRule="auto"/>
        <w:ind w:firstLine="2268"/>
        <w:jc w:val="both"/>
        <w:rPr>
          <w:rFonts w:ascii="Arial" w:hAnsi="Arial" w:cs="Arial"/>
          <w:color w:val="008000"/>
          <w:sz w:val="28"/>
          <w:szCs w:val="28"/>
        </w:rPr>
      </w:pPr>
    </w:p>
    <w:sectPr w:rsidR="003F3582" w:rsidRPr="00CA42B7">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6T18:00:00Z" w:initials="OOG">
    <w:p w14:paraId="1391EA4C" w14:textId="77777777" w:rsidR="00971663" w:rsidRDefault="00A4543F" w:rsidP="00971663">
      <w:pPr>
        <w:pStyle w:val="Textodecomentrio"/>
      </w:pPr>
      <w:r>
        <w:rPr>
          <w:rStyle w:val="Refdecomentrio"/>
        </w:rPr>
        <w:annotationRef/>
      </w:r>
      <w:r w:rsidR="00971663">
        <w:t>Conclusão: 01/10/2026</w:t>
      </w:r>
    </w:p>
    <w:p w14:paraId="5FD61CAE" w14:textId="77777777" w:rsidR="00971663" w:rsidRDefault="00971663" w:rsidP="00971663">
      <w:pPr>
        <w:pStyle w:val="Textodecomentrio"/>
      </w:pPr>
      <w:r>
        <w:t>Entrega: 23/10/2026</w:t>
      </w:r>
    </w:p>
    <w:p w14:paraId="41CED0E8" w14:textId="77777777" w:rsidR="00971663" w:rsidRDefault="00971663" w:rsidP="00971663">
      <w:pPr>
        <w:pStyle w:val="Textodecomentrio"/>
      </w:pPr>
      <w:r>
        <w:t>Certeza: 10</w:t>
      </w:r>
    </w:p>
  </w:comment>
  <w:comment w:id="1" w:author="Orana Oliveira Guerra - GDSXSR" w:date="2026-10-23T16:28:00Z" w:initials="OO">
    <w:p w14:paraId="002DA621" w14:textId="77777777" w:rsidR="007B0A13" w:rsidRDefault="007B0A13" w:rsidP="007B0A13">
      <w:pPr>
        <w:pStyle w:val="Textodecomentrio"/>
      </w:pPr>
      <w:r>
        <w:rPr>
          <w:rStyle w:val="Refdecomentrio"/>
        </w:rPr>
        <w:annotationRef/>
      </w:r>
      <w:r>
        <w:t>Jurisprudência conferida</w:t>
      </w:r>
    </w:p>
  </w:comment>
  <w:comment w:id="2" w:author="Assessor GDSXSR" w:initials="AG" w:date="2026-10-29T18:27:03Z">
    <w:p>
      <w:pPr>
        <w:pStyle w:val="CommentText"/>
      </w:pPr>
      <w:r>
        <w:rPr>
          <w:rStyle w:val="CommentReference"/>
        </w:rPr>
        <w:annotationRef/>
      </w:r>
      <w:r>
        <w:t>ASSESSOR GDSXSR — Alterei o item 1 para o nome da exequente em caixa normal, "visando à satisfação" e o valor do crédito entre parênteses (C-34A, C-3H).</w:t>
      </w:r>
    </w:p>
  </w:comment>
  <w:comment w:id="3" w:author="Assessor GDSXSR" w:initials="AG" w:date="2026-10-29T18:27:03Z">
    <w:p>
      <w:pPr>
        <w:pStyle w:val="CommentText"/>
      </w:pPr>
      <w:r>
        <w:rPr>
          <w:rStyle w:val="CommentReference"/>
        </w:rPr>
        <w:annotationRef/>
      </w:r>
      <w:r>
        <w:t>ASSESSOR GDSXSR — Acrescentei "da exequente": o último item da ementa nomeia quem recorreu (C-3D).</w:t>
      </w:r>
    </w:p>
  </w:comment>
  <w:comment w:id="4" w:author="Assessor GDSXSR" w:initials="AG" w:date="2026-10-29T18:27:03Z">
    <w:p>
      <w:pPr>
        <w:pStyle w:val="CommentText"/>
      </w:pPr>
      <w:r>
        <w:rPr>
          <w:rStyle w:val="CommentReference"/>
        </w:rPr>
        <w:annotationRef/>
      </w:r>
      <w:r>
        <w:t>ASSESSOR GDSXSR — Retirei os Acórdãos 2102603 e 2102477, que saíram do corpo do voto (C-33, C-65). Pendência (C-52): o iajus confirmou os processos 0700850-70 (j. 10/04/2025) e 0737001-35 (j. 05/02/2026), da 4ª Turma Cível, com relator e data iguais aos da minuta, mas não devolve o número do acórdão nem o DJe; conferir os números 1990502 e 2087914 e as datas de publicação no JurisDF. Tentativas: iajus, busca por número CNJ.</w:t>
      </w:r>
    </w:p>
  </w:comment>
  <w:comment w:id="5" w:author="Assessor GDSXSR" w:initials="AG" w:date="2026-10-29T18:27:03Z">
    <w:p>
      <w:pPr>
        <w:pStyle w:val="CommentText"/>
      </w:pPr>
      <w:r>
        <w:rPr>
          <w:rStyle w:val="CommentReference"/>
        </w:rPr>
        <w:annotationRef/>
      </w:r>
      <w:r>
        <w:t>ASSESSOR GDSXSR — Troquei a marca "[dado anonimizado]" por "INFOJUD", conforme a decisão agravada anexada ("realizada a pesquisa INFOJUD pelo Juízo") e o relatório da liminar. Resumo mantido no mais (C-39).</w:t>
      </w:r>
    </w:p>
  </w:comment>
  <w:comment w:id="6" w:author="Assessor GDSXSR" w:initials="AG" w:date="2026-10-29T18:27:03Z">
    <w:p>
      <w:pPr>
        <w:pStyle w:val="CommentText"/>
      </w:pPr>
      <w:r>
        <w:rPr>
          <w:rStyle w:val="CommentReference"/>
        </w:rPr>
        <w:annotationRef/>
      </w:r>
      <w:r>
        <w:t>ASSESSOR GDSXSR — Alterei o título para dizer a decisão sobre o pedido, e não só o assunto (C-3W b, C-3C).</w:t>
      </w:r>
    </w:p>
  </w:comment>
  <w:comment w:id="7" w:author="Assessor GDSXSR" w:initials="AG" w:date="2026-10-29T18:27:03Z">
    <w:p>
      <w:pPr>
        <w:pStyle w:val="CommentText"/>
      </w:pPr>
      <w:r>
        <w:rPr>
          <w:rStyle w:val="CommentReference"/>
        </w:rPr>
        <w:annotationRef/>
      </w:r>
      <w:r>
        <w:t>ASSESSOR GDSXSR — Pendência (C-52): a alegação 5 (prescrição intercorrente em curso desde o arquivamento provisório) não consta do relatório da liminar, que traz o RENAJUD como item 5. Conferir no agravo (ID da petição). A decisão agravada de fato fixou o início do prazo em 15/07/2026; a reforma afasta o arquivamento que a motivou, e a alegação não altera o resultado. Mantive o texto.</w:t>
      </w:r>
    </w:p>
  </w:comment>
  <w:comment w:id="8" w:author="Assessor GDSXSR" w:initials="AG" w:date="2026-10-29T18:27:03Z">
    <w:p>
      <w:pPr>
        <w:pStyle w:val="CommentText"/>
      </w:pPr>
      <w:r>
        <w:rPr>
          <w:rStyle w:val="CommentReference"/>
        </w:rPr>
        <w:annotationRef/>
      </w:r>
      <w:r>
        <w:t>ASSESSOR GDSXSR — Suprimi o parágrafo anterior, que só delimita a controvérsia (C-02, C-17), e ajustei a introdução da norma para a forma "O art. 854, caput, do CPC dispõe:" (C-20).</w:t>
      </w:r>
    </w:p>
  </w:comment>
  <w:comment w:id="9" w:author="Assessor GDSXSR" w:initials="AG" w:date="2026-10-29T18:27:03Z">
    <w:p>
      <w:pPr>
        <w:pStyle w:val="CommentText"/>
      </w:pPr>
      <w:r>
        <w:rPr>
          <w:rStyle w:val="CommentReference"/>
        </w:rPr>
        <w:annotationRef/>
      </w:r>
      <w:r>
        <w:t>ASSESSOR GDSXSR — Suprimi o enfrentamento escrito pelo assessor depois da liminar sobre o decurso de mais de um ano (parágrafo e Acórdãos 2102603 e 2102477): a liminar transcrita já responde ao ponto com precedente da Turma, e um precedente por tese basta (C-17, C-65). Transcrição da liminar mantida integral (C-17 v42). Os dois acórdãos saíram também da ementa.</w:t>
      </w:r>
    </w:p>
  </w:comment>
  <w:comment w:id="10" w:author="Assessor GDSXSR" w:initials="AG" w:date="2026-10-29T18:27:03Z">
    <w:p>
      <w:pPr>
        <w:pStyle w:val="CommentText"/>
      </w:pPr>
      <w:r>
        <w:rPr>
          <w:rStyle w:val="CommentReference"/>
        </w:rPr>
        <w:annotationRef/>
      </w:r>
      <w:r>
        <w:t>ASSESSOR GDSXSR — Troquei "Além disso," por "No mais," (C-16, C-23) e realcei a premissa que responde ao argumento da racionalidade cartorária, que a liminar não enfrentou (C-43).</w:t>
      </w:r>
    </w:p>
  </w:comment>
  <w:comment w:id="11" w:author="Assessor GDSXSR" w:initials="AG" w:date="2026-10-29T18:27:03Z">
    <w:p>
      <w:pPr>
        <w:pStyle w:val="CommentText"/>
      </w:pPr>
      <w:r>
        <w:rPr>
          <w:rStyle w:val="CommentReference"/>
        </w:rPr>
        <w:annotationRef/>
      </w:r>
      <w:r>
        <w:t>ASSESSOR GDSXSR — Acrescentei "– Grifei" ao precedente transcrito (C-62). Acórdão 2087914 (processo 0737001-35.2025.8.07.0000, Des. James Eduardo Oliveira, 4ª Turma Cível, j. 05/02/2026) localizado no iajus; a ementa confere com o trecho III. Número do acórdão e DJe: ver pendência na ementa.</w:t>
      </w:r>
    </w:p>
  </w:comment>
  <w:comment w:id="12" w:author="Assessor GDSXSR" w:initials="AG" w:date="2026-10-29T18:27:03Z">
    <w:p>
      <w:pPr>
        <w:pStyle w:val="CommentText"/>
      </w:pPr>
      <w:r>
        <w:rPr>
          <w:rStyle w:val="CommentReference"/>
        </w:rPr>
        <w:annotationRef/>
      </w:r>
      <w:r>
        <w:t>ASSESSOR GDSXSR — Prendi a razão da reforma ao fecho por "pois", com a data da última pesquisa e o ID de origem, e realcei a frase decisória (C-17 v40, C-43).</w:t>
      </w:r>
    </w:p>
  </w:comment>
  <w:comment w:id="13" w:author="Assessor GDSXSR" w:initials="AG" w:date="2026-10-29T18:27:03Z">
    <w:p>
      <w:pPr>
        <w:pStyle w:val="CommentText"/>
      </w:pPr>
      <w:r>
        <w:rPr>
          <w:rStyle w:val="CommentReference"/>
        </w:rPr>
        <w:annotationRef/>
      </w:r>
      <w:r>
        <w:t>ASSESSOR GDSXSR — Alterações do revisor em cinza; título EMENTA movido para a esquerda (C-42). Conferidos: CPC 854 (caput transcrito, texto literal confere com a redação vigente); relatório que adota o da liminar e pedido de RENAJUD não conhecido sem capítulo próprio (C-3S, C-3T); dispositivo sem honorários recursais (perfil AGI). Resultado e fundamentos mantidos (C-03).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ED0E8" w15:done="0"/>
  <w15:commentEx w15:paraId="002DA6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D80E78" w16cex:dateUtc="2026-10-23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ED0E8" w16cid:durableId="41CED0E8"/>
  <w16cid:commentId w16cid:paraId="002DA621" w16cid:durableId="1DD80E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E8D7E" w14:textId="77777777" w:rsidR="00A4543F" w:rsidRDefault="00A4543F" w:rsidP="003A42DE">
      <w:pPr>
        <w:spacing w:after="0" w:line="240" w:lineRule="auto"/>
      </w:pPr>
      <w:r>
        <w:separator/>
      </w:r>
    </w:p>
  </w:endnote>
  <w:endnote w:type="continuationSeparator" w:id="0">
    <w:p w14:paraId="4F965F1B" w14:textId="77777777" w:rsidR="00A4543F" w:rsidRDefault="00A4543F" w:rsidP="003A42DE">
      <w:pPr>
        <w:spacing w:after="0" w:line="240" w:lineRule="auto"/>
      </w:pPr>
      <w:r>
        <w:continuationSeparator/>
      </w:r>
    </w:p>
  </w:endnote>
  <w:endnote w:type="continuationNotice" w:id="1">
    <w:p w14:paraId="57B654BB" w14:textId="77777777" w:rsidR="00A4543F" w:rsidRDefault="00A454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0555" w14:textId="77777777" w:rsidR="00156BB1" w:rsidRDefault="00156BB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C08D" w14:textId="77777777" w:rsidR="00156BB1" w:rsidRDefault="00156BB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723F" w14:textId="77777777" w:rsidR="00A4543F" w:rsidRDefault="00A4543F" w:rsidP="003A42DE">
      <w:pPr>
        <w:spacing w:after="0" w:line="240" w:lineRule="auto"/>
      </w:pPr>
      <w:r>
        <w:separator/>
      </w:r>
    </w:p>
  </w:footnote>
  <w:footnote w:type="continuationSeparator" w:id="0">
    <w:p w14:paraId="46DC3983" w14:textId="77777777" w:rsidR="00A4543F" w:rsidRDefault="00A4543F" w:rsidP="003A42DE">
      <w:pPr>
        <w:spacing w:after="0" w:line="240" w:lineRule="auto"/>
      </w:pPr>
      <w:r>
        <w:continuationSeparator/>
      </w:r>
    </w:p>
  </w:footnote>
  <w:footnote w:type="continuationNotice" w:id="1">
    <w:p w14:paraId="057D9C6B" w14:textId="77777777" w:rsidR="00A4543F" w:rsidRDefault="00A454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115B" w14:textId="77777777" w:rsidR="00156BB1" w:rsidRDefault="00156BB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6EF2" w14:textId="77777777" w:rsidR="00156BB1" w:rsidRDefault="00156BB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BAC5" w14:textId="77777777" w:rsidR="00156BB1" w:rsidRDefault="00156B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416AD"/>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C0AB0"/>
    <w:rsid w:val="000C1A64"/>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56BB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C5290"/>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21ED9"/>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2D6F"/>
    <w:rsid w:val="003A42DE"/>
    <w:rsid w:val="003A4E55"/>
    <w:rsid w:val="003B3398"/>
    <w:rsid w:val="003C4B89"/>
    <w:rsid w:val="003D11BE"/>
    <w:rsid w:val="003D3FEE"/>
    <w:rsid w:val="003D4AC5"/>
    <w:rsid w:val="003E436D"/>
    <w:rsid w:val="003F3582"/>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3AD8"/>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B653D"/>
    <w:rsid w:val="004C0465"/>
    <w:rsid w:val="004C33F1"/>
    <w:rsid w:val="004C591E"/>
    <w:rsid w:val="004C7418"/>
    <w:rsid w:val="004D3E2F"/>
    <w:rsid w:val="004E27C1"/>
    <w:rsid w:val="004E61E1"/>
    <w:rsid w:val="004E6253"/>
    <w:rsid w:val="004F262B"/>
    <w:rsid w:val="004F58CC"/>
    <w:rsid w:val="00506A7D"/>
    <w:rsid w:val="00506D76"/>
    <w:rsid w:val="00517F10"/>
    <w:rsid w:val="005260FD"/>
    <w:rsid w:val="00530C7C"/>
    <w:rsid w:val="00534782"/>
    <w:rsid w:val="00537AE0"/>
    <w:rsid w:val="00542919"/>
    <w:rsid w:val="00542FD5"/>
    <w:rsid w:val="0054511D"/>
    <w:rsid w:val="00550DE0"/>
    <w:rsid w:val="00557342"/>
    <w:rsid w:val="00560427"/>
    <w:rsid w:val="005654BC"/>
    <w:rsid w:val="005662D3"/>
    <w:rsid w:val="0057351F"/>
    <w:rsid w:val="00573C5D"/>
    <w:rsid w:val="00576A45"/>
    <w:rsid w:val="0057726B"/>
    <w:rsid w:val="00586CF2"/>
    <w:rsid w:val="00586EB6"/>
    <w:rsid w:val="00590B43"/>
    <w:rsid w:val="005925FC"/>
    <w:rsid w:val="005953DB"/>
    <w:rsid w:val="0059689A"/>
    <w:rsid w:val="00597864"/>
    <w:rsid w:val="005A09F9"/>
    <w:rsid w:val="005A1AD9"/>
    <w:rsid w:val="005B1C70"/>
    <w:rsid w:val="005B3A9E"/>
    <w:rsid w:val="005B7851"/>
    <w:rsid w:val="005C2DC2"/>
    <w:rsid w:val="005C31C4"/>
    <w:rsid w:val="005C69F8"/>
    <w:rsid w:val="005D438E"/>
    <w:rsid w:val="005D6271"/>
    <w:rsid w:val="005E3F4E"/>
    <w:rsid w:val="00600D42"/>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921E1"/>
    <w:rsid w:val="00693B0D"/>
    <w:rsid w:val="006B2691"/>
    <w:rsid w:val="006B2A89"/>
    <w:rsid w:val="006B2CF6"/>
    <w:rsid w:val="006B3020"/>
    <w:rsid w:val="006B555B"/>
    <w:rsid w:val="006C0B3C"/>
    <w:rsid w:val="006C2F8C"/>
    <w:rsid w:val="006C6C58"/>
    <w:rsid w:val="006C6E29"/>
    <w:rsid w:val="006D07B9"/>
    <w:rsid w:val="006D0993"/>
    <w:rsid w:val="006D3824"/>
    <w:rsid w:val="006F10C9"/>
    <w:rsid w:val="006F725D"/>
    <w:rsid w:val="007055C1"/>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60E9"/>
    <w:rsid w:val="00787C80"/>
    <w:rsid w:val="00791D48"/>
    <w:rsid w:val="00793C3D"/>
    <w:rsid w:val="00794CD6"/>
    <w:rsid w:val="007A3F4D"/>
    <w:rsid w:val="007B0A13"/>
    <w:rsid w:val="007B265E"/>
    <w:rsid w:val="007B384A"/>
    <w:rsid w:val="007B4139"/>
    <w:rsid w:val="007C0FEF"/>
    <w:rsid w:val="007C196D"/>
    <w:rsid w:val="007C4969"/>
    <w:rsid w:val="007C4990"/>
    <w:rsid w:val="007C7C97"/>
    <w:rsid w:val="007D00F1"/>
    <w:rsid w:val="007D27C7"/>
    <w:rsid w:val="007D3BA7"/>
    <w:rsid w:val="007D4432"/>
    <w:rsid w:val="007E1C8C"/>
    <w:rsid w:val="007E319A"/>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5546F"/>
    <w:rsid w:val="0086390F"/>
    <w:rsid w:val="0087110A"/>
    <w:rsid w:val="008777DF"/>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7FC"/>
    <w:rsid w:val="008D0C9F"/>
    <w:rsid w:val="008D5996"/>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4B29"/>
    <w:rsid w:val="009571DF"/>
    <w:rsid w:val="00957E6B"/>
    <w:rsid w:val="00960398"/>
    <w:rsid w:val="00966A46"/>
    <w:rsid w:val="00971663"/>
    <w:rsid w:val="00972EF3"/>
    <w:rsid w:val="0097497B"/>
    <w:rsid w:val="0097780C"/>
    <w:rsid w:val="009809FB"/>
    <w:rsid w:val="00980CE7"/>
    <w:rsid w:val="00981634"/>
    <w:rsid w:val="009820B5"/>
    <w:rsid w:val="009827B6"/>
    <w:rsid w:val="00987E9A"/>
    <w:rsid w:val="009940F4"/>
    <w:rsid w:val="0099680F"/>
    <w:rsid w:val="009A136D"/>
    <w:rsid w:val="009A6651"/>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543F"/>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4E09"/>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4CC8"/>
    <w:rsid w:val="00B37857"/>
    <w:rsid w:val="00B41866"/>
    <w:rsid w:val="00B525A4"/>
    <w:rsid w:val="00B5663B"/>
    <w:rsid w:val="00B606B1"/>
    <w:rsid w:val="00B60851"/>
    <w:rsid w:val="00B62DB5"/>
    <w:rsid w:val="00B641BB"/>
    <w:rsid w:val="00B73FAD"/>
    <w:rsid w:val="00B75D6D"/>
    <w:rsid w:val="00B90CEF"/>
    <w:rsid w:val="00B96606"/>
    <w:rsid w:val="00BA1022"/>
    <w:rsid w:val="00BA3360"/>
    <w:rsid w:val="00BA65D0"/>
    <w:rsid w:val="00BA6F38"/>
    <w:rsid w:val="00BA700C"/>
    <w:rsid w:val="00BB2608"/>
    <w:rsid w:val="00BB6749"/>
    <w:rsid w:val="00BC1A88"/>
    <w:rsid w:val="00BC439E"/>
    <w:rsid w:val="00BD03AB"/>
    <w:rsid w:val="00BE143B"/>
    <w:rsid w:val="00BE75D7"/>
    <w:rsid w:val="00BF1494"/>
    <w:rsid w:val="00BF173F"/>
    <w:rsid w:val="00BF255B"/>
    <w:rsid w:val="00BF4903"/>
    <w:rsid w:val="00C01659"/>
    <w:rsid w:val="00C06269"/>
    <w:rsid w:val="00C12218"/>
    <w:rsid w:val="00C14912"/>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0E8"/>
    <w:rsid w:val="00C94119"/>
    <w:rsid w:val="00C952EA"/>
    <w:rsid w:val="00CA06BB"/>
    <w:rsid w:val="00CA324E"/>
    <w:rsid w:val="00CA42B7"/>
    <w:rsid w:val="00CB0848"/>
    <w:rsid w:val="00CB4E4C"/>
    <w:rsid w:val="00CB6E7F"/>
    <w:rsid w:val="00CB7FF8"/>
    <w:rsid w:val="00CC0AA1"/>
    <w:rsid w:val="00CC7150"/>
    <w:rsid w:val="00CD0AA9"/>
    <w:rsid w:val="00CD23C3"/>
    <w:rsid w:val="00CD417F"/>
    <w:rsid w:val="00CE27B0"/>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35755"/>
    <w:rsid w:val="00D4104B"/>
    <w:rsid w:val="00D41D6E"/>
    <w:rsid w:val="00D42A8F"/>
    <w:rsid w:val="00D42B4A"/>
    <w:rsid w:val="00D47883"/>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07E9"/>
    <w:rsid w:val="00E741A9"/>
    <w:rsid w:val="00E74479"/>
    <w:rsid w:val="00E748E4"/>
    <w:rsid w:val="00E76D30"/>
    <w:rsid w:val="00E806F5"/>
    <w:rsid w:val="00E84E8A"/>
    <w:rsid w:val="00E85A12"/>
    <w:rsid w:val="00E86190"/>
    <w:rsid w:val="00E864A4"/>
    <w:rsid w:val="00E91CD1"/>
    <w:rsid w:val="00E950F9"/>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3604396/24173786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3604396/214018622"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3604396/24218070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pje.tjdft.jus.br/pje/seam/resource/rest/pje-legacy/documento/download/285174649"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C4B89"/>
    <w:rsid w:val="003D50C8"/>
    <w:rsid w:val="00465A25"/>
    <w:rsid w:val="004756EB"/>
    <w:rsid w:val="004C591E"/>
    <w:rsid w:val="00515AB3"/>
    <w:rsid w:val="00534782"/>
    <w:rsid w:val="005953DB"/>
    <w:rsid w:val="005E4FE9"/>
    <w:rsid w:val="007055C1"/>
    <w:rsid w:val="00730800"/>
    <w:rsid w:val="00773803"/>
    <w:rsid w:val="0077693D"/>
    <w:rsid w:val="00816916"/>
    <w:rsid w:val="00855F86"/>
    <w:rsid w:val="008C4978"/>
    <w:rsid w:val="009A52A1"/>
    <w:rsid w:val="009C5448"/>
    <w:rsid w:val="00AB26AC"/>
    <w:rsid w:val="00AD4E09"/>
    <w:rsid w:val="00AD59B1"/>
    <w:rsid w:val="00B424EC"/>
    <w:rsid w:val="00B9403F"/>
    <w:rsid w:val="00C34425"/>
    <w:rsid w:val="00C7198A"/>
    <w:rsid w:val="00C839A2"/>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C00DFE-35BF-4B78-A0F9-BEABC8FB4AEC}">
  <we:reference id="WA200010453" version="1.0.0.1" store="Omex" storeType="OMEX"/>
  <we:alternateReferences>
    <we:reference id="WA200010453" version="1.0.0.1" store="WA200010453" storeType="OMEX"/>
  </we:alternateReferences>
  <we:properties>
    <we:property name="claude.fileId" value="&quot;65195618-6e6c-45f6-a86a-92f570e3fd6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630956F3-6E79-4CAF-8D74-7A3DAD023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2632</Words>
  <Characters>14214</Characters>
  <Application>Microsoft Office Word</Application>
  <DocSecurity>0</DocSecurity>
  <Lines>118</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2026-10-29T17:53:00Z</dcterms:created>
  <dcterms:modified xsi:type="dcterms:W3CDTF">2026-10-29T17:53:00Z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