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7777777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1726FD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0700969-76.2026.8.07.0006</w:t>
            </w:r>
            <w:commentRangeEnd w:id="0"/>
            <w:r w:rsidR="00833BD8"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1726FD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WANDERLEI ALVES DA SILVA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1726FD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77777777" w:rsidR="00770E7F" w:rsidRPr="009F36E1" w:rsidRDefault="00770E7F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BANCO AGIBANK S.A.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B1C792C" w14:textId="77777777" w:rsidR="00EF5067" w:rsidRDefault="000210BD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</w:p>
    <w:p w14:paraId="1E6173C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BA3C7F4" w14:textId="52FDA06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APELAÇÃO CÍVEL. DIREITO PROCESSUAL CIVIL. AÇÃO REVISIONAL DE CONTRATO BANCÁRIO</w:t>
      </w:r>
      <w:commentRangeEnd w:id="5"/>
      <w:r>
        <w:rPr>
          <w:rStyle w:val="CommentReference"/>
        </w:rPr>
        <w:commentReference w:id="5"/>
      </w:r>
      <w:r>
        <w:rPr>
          <w:rFonts w:ascii="Arial" w:hAnsi="Arial" w:cs="Arial"/>
          <w:color w:val="595959"/>
          <w:sz w:val="28"/>
          <w:szCs w:val="28"/>
        </w:rPr>
        <w:t xml:space="preserve">. </w:t>
      </w:r>
      <w:r>
        <w:rPr>
          <w:rFonts w:ascii="Arial" w:hAnsi="Arial" w:cs="Arial"/>
          <w:color w:val="595959"/>
          <w:sz w:val="28"/>
          <w:szCs w:val="28"/>
        </w:rPr>
        <w:t xml:space="preserve">FRACIONAMENTO DE AÇÕES. INDÍCIOS DE LITIGÂNCIA ABUSIVA. EMENDA DETERMINADA EM PROCESSO CONEXO. INTERESSE PROCESSUAL. </w:t>
      </w:r>
      <w:r>
        <w:rPr>
          <w:rFonts w:ascii="Arial" w:hAnsi="Arial" w:cs="Arial"/>
          <w:color w:val="595959"/>
          <w:sz w:val="28"/>
          <w:szCs w:val="28"/>
        </w:rPr>
        <w:t xml:space="preserve">EXTINÇÃO SEM RESOLUÇÃO DO MÉRITO.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RECURSO</w:t>
      </w:r>
      <w:r>
        <w:rPr>
          <w:rFonts w:ascii="Arial" w:hAnsi="Arial" w:cs="Arial"/>
          <w:color w:val="595959"/>
          <w:sz w:val="28"/>
          <w:szCs w:val="28"/>
        </w:rPr>
        <w:t xml:space="preserve"> NÃO PROVIDO.</w:t>
      </w:r>
    </w:p>
    <w:p w14:paraId="753A9EA0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64E448C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6"/>
      <w:r>
        <w:rPr>
          <w:rFonts w:ascii="Arial" w:hAnsi="Arial" w:cs="Arial"/>
          <w:color w:val="595959"/>
          <w:sz w:val="28"/>
          <w:szCs w:val="28"/>
        </w:rPr>
        <w:t xml:space="preserve">1. Ação revisional de contrato bancário proposta por pessoa natural aposentada contra BANCO AGIBANK S.A., com pedido de limitação dos juros remuneratórios de crédito pessoal não consignado à taxa média de mercado e de repetição do indébito</w:t>
      </w:r>
      <w:commentRangeEnd w:id="6"/>
      <w:r>
        <w:rPr>
          <w:rStyle w:val="CommentReference"/>
        </w:rPr>
        <w:commentReference w:id="6"/>
      </w:r>
      <w:r>
        <w:rPr>
          <w:rFonts w:ascii="Arial" w:hAnsi="Arial" w:cs="Arial"/>
          <w:color w:val="808080"/>
          <w:sz w:val="28"/>
          <w:szCs w:val="28"/>
        </w:rPr>
        <w:t xml:space="preserve"> (R$ 751,02)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24C9B0DF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sentença extinguiu o processo sem resolução do mérito, por falta de interesse processual, porque o autor ajuizou sete ações revisionais contra o mesmo banco e a emenda para reunir os contratos foi determinada em outro processo.</w:t>
      </w:r>
    </w:p>
    <w:p w14:paraId="68933107" w14:textId="7A174964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lastRenderedPageBreak/>
        <w:t>3. O autor apel</w:t>
      </w:r>
      <w:r w:rsidR="00337C05">
        <w:rPr>
          <w:rFonts w:ascii="Arial" w:hAnsi="Arial" w:cs="Arial"/>
          <w:color w:val="595959"/>
          <w:sz w:val="28"/>
          <w:szCs w:val="28"/>
        </w:rPr>
        <w:t>ou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 w:rsidR="00337C05">
        <w:rPr>
          <w:rFonts w:ascii="Arial" w:hAnsi="Arial" w:cs="Arial"/>
          <w:color w:val="595959"/>
          <w:sz w:val="28"/>
          <w:szCs w:val="28"/>
        </w:rPr>
        <w:t>sustentando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 w:rsidR="00EC2426">
        <w:rPr>
          <w:rFonts w:ascii="Arial" w:hAnsi="Arial" w:cs="Arial"/>
          <w:color w:val="595959"/>
          <w:sz w:val="28"/>
          <w:szCs w:val="28"/>
        </w:rPr>
        <w:t xml:space="preserve">que a gratuidade requerida na inicial foi tacitamente deferida, que </w:t>
      </w:r>
      <w:r>
        <w:rPr>
          <w:rFonts w:ascii="Arial" w:hAnsi="Arial" w:cs="Arial"/>
          <w:color w:val="595959"/>
          <w:sz w:val="28"/>
          <w:szCs w:val="28"/>
        </w:rPr>
        <w:t>cada ação trata de contrato distinto, que não há risco de decisões conflitantes, que a cumulação de pedidos é faculdade e</w:t>
      </w:r>
      <w:r w:rsidR="00EC2426" w:rsidRPr="00EC2426">
        <w:rPr>
          <w:rFonts w:ascii="Arial" w:hAnsi="Arial" w:cs="Arial"/>
          <w:color w:val="595959"/>
          <w:sz w:val="28"/>
          <w:szCs w:val="28"/>
        </w:rPr>
        <w:t xml:space="preserve"> requereu o prosseguimento do feito.</w:t>
      </w:r>
      <w:r w:rsidR="00EC2426">
        <w:rPr>
          <w:rFonts w:ascii="Arial" w:hAnsi="Arial" w:cs="Arial"/>
          <w:color w:val="595959"/>
          <w:sz w:val="28"/>
          <w:szCs w:val="28"/>
        </w:rPr>
        <w:t xml:space="preserve"> </w:t>
      </w:r>
    </w:p>
    <w:p w14:paraId="71CCC776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580CE59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4. Há duas questões em discussão: (i) saber se cabe deferir a gratuidade de justiça para a fase recursal à pessoa natural cujo pedido não foi apreciado na origem; e (ii) saber se o fracionamento de ações revisionais contra a mesma instituição financeira, com emenda determinada em processo conexo para reunir os contratos, autoriza a extinção do processo sem resolução do mérito por falta de interesse processual.</w:t>
      </w:r>
    </w:p>
    <w:p w14:paraId="01D199AC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6101029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5. A alegação de insuficiência de recursos deduzida por pessoa natural presume-se verdadeira (CPC 99 § 3º). Sem elemento nos autos que a infirme, defere-se a gratuidade de justiça apenas para a fase recursal.</w:t>
      </w:r>
    </w:p>
    <w:p w14:paraId="7ECD7A6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6. A cumulação de pedidos contra o mesmo réu é faculdade do autor (CPC 327), mas não afasta o dever do juiz de prevenir ato contrário à dignidade da justiça (CPC 139 III).</w:t>
      </w:r>
    </w:p>
    <w:p w14:paraId="2BDCC111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7. Constatados indícios de litigância abusiva, o juiz pode exigir a emenda da petição inicial para demonstrar o interesse de agir (Tema Repetitivo 1.198/STJ).</w:t>
      </w:r>
    </w:p>
    <w:p w14:paraId="4EE77D5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8. O ajuizamento de sete ações revisionais contra o mesmo banco, com o mesmo pedido e a mesma causa de pedir, diferindo apenas o contrato, caracteriza fracionamento de demandas e indício de litigância abusiva (Recomendação CNJ 159/2024).</w:t>
      </w:r>
    </w:p>
    <w:p w14:paraId="21BF8BF5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9. Determinada a emenda, em processo conexo, para reunir os contratos, a extinção da ação fracionada por falta de interesse </w:t>
      </w:r>
      <w:r>
        <w:rPr>
          <w:rFonts w:ascii="Arial" w:hAnsi="Arial" w:cs="Arial"/>
          <w:color w:val="595959"/>
          <w:sz w:val="28"/>
          <w:szCs w:val="28"/>
        </w:rPr>
        <w:lastRenderedPageBreak/>
        <w:t>processual é regular (CPC 485 VI) e não ofende o acesso à justiça (CF 5º XXXV).</w:t>
      </w:r>
    </w:p>
    <w:p w14:paraId="4C68EF53" w14:textId="77777777" w:rsidR="00EF5067" w:rsidRDefault="000210BD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51D2A44E" w14:textId="77777777" w:rsidR="001C7537" w:rsidRDefault="000210BD" w:rsidP="001C753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10. </w:t>
      </w:r>
      <w:r w:rsidR="001C7537" w:rsidRPr="001C7537">
        <w:rPr>
          <w:rFonts w:ascii="Arial" w:hAnsi="Arial" w:cs="Arial"/>
          <w:color w:val="595959"/>
          <w:sz w:val="28"/>
          <w:szCs w:val="28"/>
        </w:rPr>
        <w:t>Negou-se provimento ao apelo do autor. Deferiu-se a gratuidade de justiça ao autor apenas para esta fase recursal.</w:t>
      </w:r>
    </w:p>
    <w:p w14:paraId="7BCCF0EB" w14:textId="5FAED949" w:rsidR="00EF5067" w:rsidRDefault="000210BD" w:rsidP="001C753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004352E6" w14:textId="77777777" w:rsidR="00EF5067" w:rsidRDefault="000210BD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CF</w:t>
      </w:r>
      <w:r>
        <w:rPr>
          <w:rFonts w:ascii="Arial" w:hAnsi="Arial" w:cs="Arial"/>
          <w:color w:val="595959"/>
          <w:sz w:val="26"/>
          <w:szCs w:val="26"/>
        </w:rPr>
        <w:t xml:space="preserve"> 5º</w:t>
      </w:r>
      <w:r>
        <w:rPr>
          <w:rFonts w:ascii="Arial" w:hAnsi="Arial" w:cs="Arial"/>
          <w:color w:val="595959"/>
          <w:sz w:val="26"/>
          <w:szCs w:val="26"/>
        </w:rPr>
        <w:t xml:space="preserve"> XXXV; CPC</w:t>
      </w:r>
      <w:r>
        <w:rPr>
          <w:rFonts w:ascii="Arial" w:hAnsi="Arial" w:cs="Arial"/>
          <w:color w:val="595959"/>
          <w:sz w:val="26"/>
          <w:szCs w:val="26"/>
        </w:rPr>
        <w:t xml:space="preserve"> 99</w:t>
      </w:r>
      <w:r>
        <w:rPr>
          <w:rFonts w:ascii="Arial" w:hAnsi="Arial" w:cs="Arial"/>
          <w:color w:val="595959"/>
          <w:sz w:val="26"/>
          <w:szCs w:val="26"/>
        </w:rPr>
        <w:t xml:space="preserve"> § 3º, 139</w:t>
      </w:r>
      <w:r>
        <w:rPr>
          <w:rFonts w:ascii="Arial" w:hAnsi="Arial" w:cs="Arial"/>
          <w:color w:val="595959"/>
          <w:sz w:val="26"/>
          <w:szCs w:val="26"/>
        </w:rPr>
        <w:t xml:space="preserve"> III, 327 e 485</w:t>
      </w:r>
      <w:r>
        <w:rPr>
          <w:rFonts w:ascii="Arial" w:hAnsi="Arial" w:cs="Arial"/>
          <w:color w:val="595959"/>
          <w:sz w:val="26"/>
          <w:szCs w:val="26"/>
        </w:rPr>
        <w:t xml:space="preserve"> VI; Recomendação CNJ nº 159/2024.</w:t>
      </w:r>
    </w:p>
    <w:p w14:paraId="31CFE7D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7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commentRangeEnd w:id="7"/>
      <w:r>
        <w:rPr>
          <w:rStyle w:val="CommentReference"/>
        </w:rPr>
        <w:commentReference w:id="7"/>
      </w:r>
      <w:r>
        <w:rPr>
          <w:rFonts w:ascii="Arial" w:hAnsi="Arial" w:cs="Arial"/>
          <w:color w:val="595959"/>
          <w:sz w:val="26"/>
          <w:szCs w:val="26"/>
        </w:rPr>
        <w:t xml:space="preserve"> STJ, REsp nº 2.021.665/MS, Tema Repetitivo 1.198, Rel. Min. Moura Ribeiro, Corte Especial, j. 13/03/2025, DJEN 11/06/2026; TJDFT, Acórdão </w:t>
      </w:r>
      <w:r>
        <w:rPr>
          <w:rFonts w:ascii="Arial" w:hAnsi="Arial" w:cs="Arial"/>
          <w:color w:val="595959"/>
          <w:sz w:val="26"/>
          <w:szCs w:val="26"/>
        </w:rPr>
        <w:t xml:space="preserve">2066137,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color w:val="595959"/>
          <w:sz w:val="26"/>
          <w:szCs w:val="26"/>
        </w:rPr>
        <w:t xml:space="preserve"> nº 0705389-22.2025.8.07.0019, Rel. Des. Aiston Henrique de Sousa, 4ª Turma Cível, j. 06/11/2025, DJe 27/11/2025</w:t>
      </w:r>
      <w:r>
        <w:rPr>
          <w:rFonts w:ascii="Arial" w:hAnsi="Arial" w:cs="Arial"/>
          <w:color w:val="595959"/>
          <w:sz w:val="26"/>
          <w:szCs w:val="26"/>
        </w:rPr>
        <w:t xml:space="preserve">.</w:t>
      </w:r>
    </w:p>
    <w:p w14:paraId="0FFE1C5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9219C9" w14:textId="68AA30B4" w:rsidR="00EF5067" w:rsidRDefault="000210BD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 xml:space="preserve">RESUMO DA </w:t>
      </w:r>
      <w:r w:rsidRPr="00D565C8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APELAÇÃO</w:t>
      </w:r>
      <w:r w:rsidR="00D565C8" w:rsidRPr="00D565C8">
        <w:rPr>
          <w:b/>
          <w:bCs/>
          <w:color w:val="EE0000"/>
          <w:highlight w:val="yellow"/>
        </w:rPr>
        <w:t xml:space="preserve"> </w:t>
      </w:r>
      <w:r w:rsidR="00D565C8" w:rsidRPr="00D565C8"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EM SENTIDO CONTRÁRIO AO VOTO</w:t>
      </w:r>
    </w:p>
    <w:p w14:paraId="59F4083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RECURSAIS</w:t>
      </w:r>
    </w:p>
    <w:p w14:paraId="01ECEC4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Gratuidade de justiça e preparo</w:t>
      </w:r>
    </w:p>
    <w:p w14:paraId="7931D4CE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Sustenta que a gratuidade requerida na inicial não foi apreciada e se presume tacitamente deferida, o que o dispensa do preparo.</w:t>
      </w:r>
    </w:p>
    <w:p w14:paraId="07BDE1B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Contratos distintos</w:t>
      </w:r>
    </w:p>
    <w:p w14:paraId="1A8821A3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Afirma que as ações envolvem contratos diversos, com datas, valores, prazos, taxas e cláusulas próprias, e que cada uma exige análise específica.</w:t>
      </w:r>
    </w:p>
    <w:p w14:paraId="737F37F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Ausência de risco de decisões conflitantes</w:t>
      </w:r>
    </w:p>
    <w:p w14:paraId="7293D394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Alega que o reconhecimento da abusividade em um contrato não interfere nos demais, de modo que não há risco de decisões contraditórias.</w:t>
      </w:r>
    </w:p>
    <w:p w14:paraId="2C28B98C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Cumulação como faculdade e acesso à justiça</w:t>
      </w:r>
    </w:p>
    <w:p w14:paraId="3162EF2D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Defende que a cumulação de pedidos compatíveis é mera faculdade, que impô-la viola o acesso à justiça (CF 5º XXXV) e que a reunião forçada das ações beneficia o banco.</w:t>
      </w:r>
    </w:p>
    <w:p w14:paraId="3B7E577B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Precedentes do TJSC</w:t>
      </w:r>
    </w:p>
    <w:p w14:paraId="78EEE41E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5. Invoca precedentes do TJSC que cassaram sentenças de extinção de ações revisionais autônomas.</w:t>
      </w:r>
    </w:p>
    <w:p w14:paraId="7FB25C5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PEDIDO</w:t>
      </w:r>
    </w:p>
    <w:p w14:paraId="788C6E5B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6. Requer o provimento do apelo para afastar a extinção e determinar o regular prosseguimento do feito.</w:t>
      </w:r>
    </w:p>
    <w:p w14:paraId="3E729EA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E3D67C6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RELATÓRIO</w:t>
      </w:r>
    </w:p>
    <w:p w14:paraId="24C3017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81C8A65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Adoto o relatório da r. sentença:</w:t>
      </w:r>
    </w:p>
    <w:p w14:paraId="29F6462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7EEB4AA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 de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AÇÃO REVISIONAL DE CONTRATO BANCÁRIO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ajuizada sob a égide do rito comum do Código de Processo Civil por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WANDERLEI ALVES DA SILVA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em face </w:t>
      </w:r>
      <w:r w:rsidRPr="001E433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BANCO AGIBANK S.A.</w:t>
      </w:r>
      <w:r>
        <w:rPr>
          <w:rFonts w:ascii="Arial" w:hAnsi="Arial" w:cs="Arial"/>
          <w:i/>
          <w:iCs/>
          <w:color w:val="595959"/>
          <w:sz w:val="26"/>
          <w:szCs w:val="26"/>
        </w:rPr>
        <w:t>, partes qualificadas em epígrafe.</w:t>
      </w:r>
    </w:p>
    <w:p w14:paraId="4B95BDD1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Narra a parte autora que os contratos são inválidos por juros excessivos.</w:t>
      </w:r>
    </w:p>
    <w:p w14:paraId="4A9FCF85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Foram os autos conclusos para decisão.</w:t>
      </w:r>
    </w:p>
    <w:p w14:paraId="6FE8FDED" w14:textId="77777777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Esse é o relato do que reputo ser necessário. Passo a decidir.” (ID 90312726).</w:t>
      </w:r>
    </w:p>
    <w:p w14:paraId="58625A6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033954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MM. Juiz sentenciante, Dr. Matheus Stamillo Santarelli Zuliani, da Vara Cível de Planaltina, julgou no seguinte sentido:</w:t>
      </w:r>
    </w:p>
    <w:p w14:paraId="571BFCE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7C1D4C6" w14:textId="77777777" w:rsidR="00EF5067" w:rsidRPr="00746E7B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“</w:t>
      </w:r>
      <w:r w:rsidRPr="00746E7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Ante o exposto JULGO EXTINTO, sem resolução do mérito, o presente processo, por falta de interesse processual, com fundamento no art. 485, VI, do Código de Processo Civil.</w:t>
      </w:r>
    </w:p>
    <w:p w14:paraId="120CAC3D" w14:textId="77777777" w:rsidR="00EF5067" w:rsidRPr="00746E7B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i/>
          <w:iCs/>
          <w:color w:val="595959"/>
          <w:sz w:val="26"/>
          <w:szCs w:val="26"/>
        </w:rPr>
      </w:pPr>
      <w:r w:rsidRPr="00746E7B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E ainda, CANCELO A DISTRIBUIÇÃO destes autos, adotando-se as cautelas de praxe.</w:t>
      </w:r>
    </w:p>
    <w:p w14:paraId="0B3860C0" w14:textId="2930E5D5" w:rsidR="00EF5067" w:rsidRDefault="000210B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9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Sem custas e sem </w:t>
      </w:r>
      <w:commentRangeEnd w:id="9"/>
      <w:r>
        <w:rPr>
          <w:rStyle w:val="CommentReference"/>
        </w:rPr>
        <w:commentReference w:id="9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honorários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. (...)”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90312726)</w:t>
      </w:r>
    </w:p>
    <w:p w14:paraId="0CE46F4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28CF1B9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8"/>
      <w:r>
        <w:rPr>
          <w:rFonts w:ascii="Arial" w:hAnsi="Arial" w:cs="Arial"/>
          <w:color w:val="595959"/>
          <w:sz w:val="28"/>
          <w:szCs w:val="28"/>
        </w:rPr>
        <w:t xml:space="preserve">Apelo do autor, WANDERLEI ALVES DA SILVA</w:t>
      </w:r>
      <w:commentRangeEnd w:id="8"/>
      <w:r>
        <w:rPr>
          <w:rStyle w:val="CommentReference"/>
        </w:rPr>
        <w:commentReference w:id="8"/>
      </w:r>
      <w:r>
        <w:rPr>
          <w:rFonts w:ascii="Arial" w:hAnsi="Arial" w:cs="Arial"/>
          <w:color w:val="808080"/>
          <w:sz w:val="28"/>
          <w:szCs w:val="28"/>
        </w:rPr>
        <w:t xml:space="preserve"> (ID 90312732)</w:t>
      </w:r>
      <w:r>
        <w:rPr>
          <w:rFonts w:ascii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hAnsi="Arial" w:cs="Arial"/>
          <w:color w:val="595959"/>
          <w:sz w:val="28"/>
          <w:szCs w:val="28"/>
        </w:rPr>
        <w:t xml:space="preserve"> a gratuidade requerida na inicial não foi apreciada e se presume tacitamente deferida, o que o dispensa do preparo;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hAnsi="Arial" w:cs="Arial"/>
          <w:color w:val="595959"/>
          <w:sz w:val="28"/>
          <w:szCs w:val="28"/>
        </w:rPr>
        <w:t xml:space="preserve"> as ações tratam de contratos distintos, com datas, valores, prazos, taxas e cláusulas próprias</w:t>
      </w:r>
      <w:r>
        <w:rPr>
          <w:rFonts w:ascii="Arial" w:hAnsi="Arial" w:cs="Arial"/>
          <w:color w:val="808080"/>
          <w:sz w:val="28"/>
          <w:szCs w:val="28"/>
        </w:rPr>
        <w:t xml:space="preserve">;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b/>
          <w:rFonts w:ascii="Arial" w:hAnsi="Arial" w:cs="Arial"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595959"/>
          <w:sz w:val="28"/>
          <w:szCs w:val="28"/>
        </w:rPr>
        <w:t xml:space="preserve"> não há risco de decisões conflitantes, </w:t>
      </w:r>
      <w:r>
        <w:rPr>
          <w:rFonts w:ascii="Arial" w:hAnsi="Arial" w:cs="Arial"/>
          <w:color w:val="808080"/>
          <w:sz w:val="28"/>
          <w:szCs w:val="28"/>
        </w:rPr>
        <w:t xml:space="preserve">pois a abusividade </w:t>
      </w:r>
      <w:r>
        <w:rPr>
          <w:rFonts w:ascii="Arial" w:hAnsi="Arial" w:cs="Arial"/>
          <w:color w:val="595959"/>
          <w:sz w:val="28"/>
          <w:szCs w:val="28"/>
        </w:rPr>
        <w:t xml:space="preserve">de </w:t>
      </w:r>
      <w:r>
        <w:rPr>
          <w:rFonts w:ascii="Arial" w:hAnsi="Arial" w:cs="Arial"/>
          <w:color w:val="808080"/>
          <w:sz w:val="28"/>
          <w:szCs w:val="28"/>
        </w:rPr>
        <w:t xml:space="preserve">um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contrato não interfere nos demais; </w:t>
      </w:r>
      <w:r>
        <w:rPr>
          <w:b/>
          <w:rFonts w:ascii="Arial" w:hAnsi="Arial" w:cs="Arial"/>
          <w:color w:val="808080"/>
          <w:sz w:val="28"/>
          <w:szCs w:val="28"/>
        </w:rPr>
        <w:t xml:space="preserve">4)</w:t>
      </w:r>
      <w:r>
        <w:rPr>
          <w:rFonts w:ascii="Arial" w:hAnsi="Arial" w:cs="Arial"/>
          <w:color w:val="808080"/>
          <w:sz w:val="28"/>
          <w:szCs w:val="28"/>
        </w:rPr>
        <w:t xml:space="preserve"> a cumulação de pedidos é faculdade, e impô-la viola o acesso à justiça (CF 5º XXXV) e beneficia o banco; </w:t>
      </w:r>
      <w:r>
        <w:rPr>
          <w:b/>
          <w:rFonts w:ascii="Arial" w:hAnsi="Arial" w:cs="Arial"/>
          <w:color w:val="808080"/>
          <w:sz w:val="28"/>
          <w:szCs w:val="28"/>
        </w:rPr>
        <w:t xml:space="preserve">5)</w:t>
      </w:r>
      <w:r>
        <w:rPr>
          <w:rFonts w:ascii="Arial" w:hAnsi="Arial" w:cs="Arial"/>
          <w:color w:val="808080"/>
          <w:sz w:val="28"/>
          <w:szCs w:val="28"/>
        </w:rPr>
        <w:t xml:space="preserve"> precedentes do TJSC afastam</w:t>
      </w:r>
      <w:r>
        <w:rPr>
          <w:rFonts w:ascii="Arial" w:hAnsi="Arial" w:cs="Arial"/>
          <w:color w:val="595959"/>
          <w:sz w:val="28"/>
          <w:szCs w:val="28"/>
        </w:rPr>
        <w:t xml:space="preserve"> a extinção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ações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revisionais autônomas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6422094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8CA655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o provimento do apelo para afastar a extinção e determinar o regular prosseguimento do feito.</w:t>
      </w:r>
    </w:p>
    <w:p w14:paraId="579ED38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325FE3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Sem contrarrazões.</w:t>
      </w:r>
    </w:p>
    <w:p w14:paraId="63958C5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34FC8E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3AC9D17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B75A210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1AD725DE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AD47869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Senhor Desembargador SÉRGIO ROCHA – Relator.</w:t>
      </w:r>
    </w:p>
    <w:p w14:paraId="541C27E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73418B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Ação ajuizada em 26/01/2026. Sentença proferida em 20/02/2026. Apelo interposto em 17/03/2026. Valor da causa: R$ 751,02.</w:t>
      </w:r>
    </w:p>
    <w:p w14:paraId="04A4329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A35A119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APELO DO AUTOR, WANDERLEI ALVES DA SILVA</w:t>
      </w:r>
    </w:p>
    <w:p w14:paraId="6672188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2246BE1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D565C8">
        <w:rPr>
          <w:rFonts w:ascii="Arial" w:hAnsi="Arial" w:cs="Arial"/>
          <w:color w:val="595959"/>
          <w:sz w:val="28"/>
          <w:szCs w:val="28"/>
          <w:highlight w:val="yellow"/>
        </w:rPr>
        <w:t>DO DEFERIMENTO DA GRATUIDADE DE JUSTIÇA APENAS PARA ESTA FASE RECURSAL</w:t>
      </w:r>
    </w:p>
    <w:p w14:paraId="0A4B795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C7B004F" w14:textId="35CFD505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autor alega que</w:t>
      </w:r>
      <w:r w:rsidR="007001F2"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>a gratuidade requerida na inicial não foi apreciada e se presume tacitamente deferida, razão pela qual não recolheu o preparo (ID 90312732).</w:t>
      </w:r>
    </w:p>
    <w:p w14:paraId="65C79A4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576B637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dispensa do preparo.</w:t>
      </w:r>
    </w:p>
    <w:p w14:paraId="263931B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347212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razão.</w:t>
      </w:r>
    </w:p>
    <w:p w14:paraId="260918C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6081DB3" w14:textId="6083F663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pedido foi formulado na petição inicial e não foi apreciado na origem, e a sentença dispensou as custas (ID 90312726).</w:t>
      </w:r>
    </w:p>
    <w:p w14:paraId="4068379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929745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0"/>
      <w:r>
        <w:rPr>
          <w:rFonts w:ascii="Arial" w:hAnsi="Arial" w:cs="Arial"/>
          <w:color w:val="595959"/>
          <w:sz w:val="28"/>
          <w:szCs w:val="28"/>
        </w:rPr>
        <w:t xml:space="preserve">Dispõe o art. 99, </w:t>
      </w:r>
      <w:commentRangeEnd w:id="10"/>
      <w:r>
        <w:rPr>
          <w:rStyle w:val="CommentReference"/>
        </w:rPr>
        <w:commentReference w:id="10"/>
      </w:r>
      <w:r>
        <w:rPr>
          <w:rFonts w:ascii="Arial" w:hAnsi="Arial" w:cs="Arial"/>
          <w:color w:val="808080"/>
          <w:sz w:val="28"/>
          <w:szCs w:val="28"/>
        </w:rPr>
        <w:t xml:space="preserve">caput e </w:t>
      </w:r>
      <w:r>
        <w:rPr>
          <w:rFonts w:ascii="Arial" w:hAnsi="Arial" w:cs="Arial"/>
          <w:color w:val="595959"/>
          <w:sz w:val="28"/>
          <w:szCs w:val="28"/>
        </w:rPr>
        <w:t xml:space="preserve">§ 3º, do CPC:</w:t>
      </w:r>
    </w:p>
    <w:p w14:paraId="466141A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left="2268"/>
        <w:jc w:val="both"/>
        <w:rPr/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Art. 99. O pedido de gratuidade da justiça pode ser formulado na petição inicial, na contestação, na petição para ingresso de terceiro no processo ou em recurso.</w:t>
      </w:r>
    </w:p>
    <w:p>
      <w:pPr>
        <w:spacing w:after="0" w:line="360" w:lineRule="auto"/>
        <w:ind w:left="2268"/>
        <w:jc w:val="both"/>
        <w:rPr/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(...)</w:t>
      </w:r>
    </w:p>
    <w:p w14:paraId="1C20ED9A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§ 3º Presume-se verdadeira a alegação de insuficiência deduzida exclusivamente por pessoa natural.”</w:t>
      </w:r>
    </w:p>
    <w:p w14:paraId="3647F46E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78DE61" w14:textId="128548C6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1"/>
      <w:r>
        <w:rPr>
          <w:rFonts w:ascii="Arial" w:hAnsi="Arial" w:cs="Arial"/>
          <w:color w:val="595959"/>
          <w:sz w:val="28"/>
          <w:szCs w:val="28"/>
        </w:rPr>
        <w:t xml:space="preserve">No caso, </w:t>
      </w:r>
      <w:commentRangeEnd w:id="11"/>
      <w:r>
        <w:rPr>
          <w:rStyle w:val="CommentReference"/>
        </w:rPr>
        <w:commentReference w:id="11"/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o autor, pessoa natural aposentada, afirmou a insuficiência de recursos, e nada nos autos a infirma. O apelado, citado para responder ao recurso, não a impugnou</w:t>
      </w:r>
      <w:r>
        <w:rPr>
          <w:rFonts w:ascii="Arial" w:hAnsi="Arial" w:cs="Arial"/>
          <w:color w:val="595959"/>
          <w:sz w:val="28"/>
          <w:szCs w:val="28"/>
        </w:rPr>
        <w:t xml:space="preserve"> (ID 90312736).</w:t>
      </w:r>
    </w:p>
    <w:p w14:paraId="14F7EE7B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684A3D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 w:rsidRPr="007001F2">
        <w:rPr>
          <w:rFonts w:ascii="Arial" w:hAnsi="Arial" w:cs="Arial"/>
          <w:color w:val="595959"/>
          <w:sz w:val="28"/>
          <w:szCs w:val="28"/>
          <w:highlight w:val="yellow"/>
          <w:u w:val="single"/>
        </w:rPr>
        <w:lastRenderedPageBreak/>
        <w:t>Assim, defiro a gratuidade de justiça ao autor apenas para esta fase recursal</w:t>
      </w:r>
      <w:r>
        <w:rPr>
          <w:rFonts w:ascii="Arial" w:hAnsi="Arial" w:cs="Arial"/>
          <w:color w:val="595959"/>
          <w:sz w:val="28"/>
          <w:szCs w:val="28"/>
        </w:rPr>
        <w:t>.</w:t>
      </w:r>
    </w:p>
    <w:p w14:paraId="298EA5E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07F0D2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apelo.</w:t>
      </w:r>
    </w:p>
    <w:p w14:paraId="05289A4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1B25BD3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commentRangeStart w:id="1"/>
      <w:r w:rsidRPr="007001F2">
        <w:rPr>
          <w:rFonts w:ascii="Arial" w:hAnsi="Arial" w:cs="Arial"/>
          <w:color w:val="595959"/>
          <w:sz w:val="28"/>
          <w:szCs w:val="28"/>
        </w:rPr>
        <w:t>DA MANUTENÇÃO DA EXTINÇÃO DO PROCESSO POR FRACIONAMENTO DE AÇÕES</w:t>
      </w:r>
      <w:commentRangeEnd w:id="1"/>
      <w:r>
        <w:rPr>
          <w:rStyle w:val="Refdecomentrio"/>
          <w:rFonts w:ascii="Arial" w:hAnsi="Arial" w:cs="Arial"/>
          <w:color w:val="595959"/>
          <w:sz w:val="28"/>
          <w:szCs w:val="28"/>
        </w:rPr>
        <w:commentReference w:id="1"/>
      </w:r>
    </w:p>
    <w:p w14:paraId="7687358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1DD662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O autor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as ações tratam de contratos distintos, com datas, valores, prazos, taxas e cláusulas próprias, de modo que a extinção não se justifica;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não há risco de decisões conflitantes, pois a abusividade de um contrato não interfere nos demais;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 cumulação de pedidos é faculdade, e impô-la viola o acesso à justiça (CF 5º XXXV), além de caracterizar reunião artificial que beneficia o banco;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precedentes do TJSC afastam a extinção de ações revisionais autônomas (ID 90312732).</w:t>
      </w:r>
    </w:p>
    <w:p w14:paraId="5FB65321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09FF78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o afastamento da extinção e o regular prosseguimento do feito.</w:t>
      </w:r>
    </w:p>
    <w:p w14:paraId="43E8988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30C88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Sem razão.</w:t>
      </w:r>
    </w:p>
    <w:p w14:paraId="6389366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1F843E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2"/>
      <w:r>
        <w:rPr>
          <w:rFonts w:ascii="Arial" w:hAnsi="Arial" w:cs="Arial"/>
          <w:color w:val="595959"/>
          <w:sz w:val="28"/>
          <w:szCs w:val="28"/>
        </w:rPr>
        <w:t xml:space="preserve">O CPC admite a cumulação de pedidos contra o mesmo réu, ainda que não haja conexão</w:t>
      </w:r>
      <w:commentRangeEnd w:id="12"/>
      <w:r>
        <w:rPr>
          <w:rStyle w:val="CommentReference"/>
        </w:rPr>
        <w:commentReference w:id="12"/>
      </w:r>
      <w:r>
        <w:rPr>
          <w:rFonts w:ascii="Arial" w:hAnsi="Arial" w:cs="Arial"/>
          <w:color w:val="595959"/>
          <w:sz w:val="28"/>
          <w:szCs w:val="28"/>
        </w:rPr>
        <w:t xml:space="preserve">:</w:t>
      </w:r>
    </w:p>
    <w:p w14:paraId="4C523A9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99E200D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“Art. 327. É lícita a cumulação, em um único processo, contra o mesmo réu, de vários pedidos, ainda que entre eles não haja conexão.”</w:t>
      </w:r>
    </w:p>
    <w:p w14:paraId="124055DD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92AA92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Essa faculdade, contudo, não afasta o poder do juiz de dirigir o processo e de prevenir ou reprimir ato contrário à dignidade da justiça, como dispõe o art. 139, III, do CPC:</w:t>
      </w:r>
    </w:p>
    <w:p w14:paraId="04A8C51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99CECF9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“Art. 139. O juiz dirigirá o processo conforme as disposições deste Código, incumbindo-lhe:</w:t>
      </w:r>
    </w:p>
    <w:p w14:paraId="743BF774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3B9105AB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III - prevenir ou reprimir qualquer ato contrário à dignidade da justiça e indeferir postulações meramente protelatórias; (...)”</w:t>
      </w:r>
    </w:p>
    <w:p w14:paraId="4593339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B2EB964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Nessa linha, o c. STJ, no julgamento do Tema Repetitivo 1.198, fixou a seguinte tese:</w:t>
      </w:r>
    </w:p>
    <w:p w14:paraId="0A8AF824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05E2325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“Constatados indícios de litigância abusiva, o juiz pode exigir, de modo fundamentado e com observância à razoabilidade do caso concreto, a emenda da petição inicial a fim de demonstrar o interesse de agir e a autenticidade da postulação, respeitadas as regras de distribuição do ônus da prova.” (REsp n. 2.021.665/MS, relator Ministro Moura Ribeiro, Corte Especial, julgado em 13/3/2025, DJEN de 11/6/2026.)</w:t>
      </w:r>
    </w:p>
    <w:p w14:paraId="0677006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E5777F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No caso, </w:t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o autor ajuizou sete ações revisionais contra o mesmo banco, com o mesmo pedido e a mesma causa de pedir, diferindo apenas o contrato</w:t>
      </w:r>
      <w:r>
        <w:rPr>
          <w:rFonts w:ascii="Arial" w:hAnsi="Arial" w:cs="Arial"/>
          <w:color w:val="595959"/>
          <w:sz w:val="28"/>
          <w:szCs w:val="28"/>
        </w:rPr>
        <w:t xml:space="preserve"> (ID 90312726).</w:t>
      </w:r>
    </w:p>
    <w:p w14:paraId="1CA10A1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90C7D9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3"/>
      <w:r>
        <w:rPr>
          <w:rFonts w:ascii="Arial" w:hAnsi="Arial" w:cs="Arial"/>
          <w:color w:val="595959"/>
          <w:sz w:val="28"/>
          <w:szCs w:val="28"/>
        </w:rPr>
        <w:t>A sentença registra que, no processo n. 0710988-78.2025.8.07.0006, foi determinada a emenda da inicial para incluir os contratos discutidos nas demais ações (ID 90312726).</w:t>
      </w:r>
      <w:commentRangeEnd w:id="13"/>
      <w:r>
        <w:rPr>
          <w:rStyle w:val="CommentReference"/>
        </w:rPr>
        <w:commentReference w:id="13"/>
      </w:r>
    </w:p>
    <w:p w14:paraId="1F3A683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EBCCA78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14"/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A pulverização de pretensões idênticas em sete ações sobrecarrega o Judiciário e se amolda ao fracionamento de demandas que a Recomendação CNJ 159/2024 aponta como indício de litigância abusiva.</w:t>
      </w:r>
      <w:commentRangeEnd w:id="14"/>
      <w:r>
        <w:rPr>
          <w:rStyle w:val="CommentReference"/>
        </w:rPr>
        <w:commentReference w:id="14"/>
      </w:r>
    </w:p>
    <w:p w14:paraId="4BB011D2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A86FE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Por isso, </w:t>
      </w:r>
      <w:r w:rsidRPr="007001F2">
        <w:rPr>
          <w:rFonts w:ascii="Arial" w:hAnsi="Arial" w:cs="Arial"/>
          <w:color w:val="595959"/>
          <w:sz w:val="28"/>
          <w:szCs w:val="28"/>
          <w:highlight w:val="yellow"/>
        </w:rPr>
        <w:t>a determinação de emenda, em um só processo, para reunir os contratos atende ao Tema Repetitivo 1.198 e preserva o exame de todos eles</w:t>
      </w:r>
      <w:r>
        <w:rPr>
          <w:rFonts w:ascii="Arial" w:hAnsi="Arial" w:cs="Arial"/>
          <w:color w:val="595959"/>
          <w:sz w:val="28"/>
          <w:szCs w:val="28"/>
        </w:rPr>
        <w:t>, sem ofensa ao acesso à justiça (CF 5º XXXV).</w:t>
      </w:r>
    </w:p>
    <w:p w14:paraId="24DA60E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8C4C2F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Nesse sentido:</w:t>
      </w:r>
    </w:p>
    <w:p w14:paraId="5F78E61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1F97BC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2"/>
      <w:commentRangeStart w:id="15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</w:t>
      </w:r>
      <w:commentRangeEnd w:id="15"/>
      <w:r>
        <w:rPr>
          <w:rStyle w:val="CommentReference"/>
        </w:rPr>
        <w:commentReference w:id="15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(...)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4</w:t>
      </w:r>
      <w:r>
        <w:rPr>
          <w:rFonts w:ascii="Arial" w:hAnsi="Arial" w:cs="Arial"/>
          <w:i/>
          <w:iCs/>
          <w:color w:val="595959"/>
          <w:sz w:val="26"/>
          <w:szCs w:val="26"/>
          <w:highlight w:val="yellow"/>
        </w:rPr>
        <w:t xml:space="preserve">. A distribuição de sete demandas idênticas em um curto espaço de tempo, patrocinadas pela mesma advogada, nas quais alterou-se apenas o polo passivo, evidencia o fracionamento artificial de ações. Tal prática se amolda aos indícios de litigância predatória descritos na Recomendação nº 159/2024 do Conselho Nacional de Justiça. A conduta sobrecarrega o sistema judiciário e prejudica o andamento de demandas legítimas. A determinação de emenda da petição inicial em um dos processos para unificar as demandas conexas, com a consequente extinção das demais, é medida adequada e decorre do poder geral de cautela do juiz para coibir o abuso do direito de </w:t>
      </w:r>
      <w:r>
        <w:rPr>
          <w:rFonts w:ascii="Arial" w:hAnsi="Arial" w:cs="Arial"/>
          <w:i/>
          <w:iCs/>
          <w:color w:val="595959"/>
          <w:sz w:val="26"/>
          <w:szCs w:val="26"/>
          <w:highlight w:val="yellow"/>
        </w:rPr>
        <w:t xml:space="preserve">ação.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(...)” (Acórdão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2066137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0705389-22.2025.8.07.0019, Relator(a): AISTON HENRIQUE DE SOUSA, 4ª TURMA CÍVEL, data de julgamento: 06/11/2025, publicado no DJe: 27/11/2025.)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2"/>
      <w:r w:rsidR="003022B3">
        <w:rPr>
          <w:rStyle w:val="Refdecomentrio"/>
          <w:rFonts w:ascii="Arial" w:hAnsi="Arial" w:cs="Arial"/>
          <w:i/>
          <w:iCs/>
          <w:color w:val="595959"/>
          <w:sz w:val="26"/>
          <w:szCs w:val="26"/>
        </w:rPr>
        <w:commentReference w:id="2"/>
      </w:r>
    </w:p>
    <w:p w14:paraId="10BFDB4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3"/>
      <w:commentRangeEnd w:id="3"/>
    </w:p>
    <w:p w14:paraId="2B4C2E20" w14:textId="77777777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24925AB7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DAEF73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lastRenderedPageBreak/>
        <w:t xml:space="preserve">Ante o exposto, </w:t>
      </w:r>
      <w:r>
        <w:rPr>
          <w:rFonts w:ascii="Arial" w:hAnsi="Arial" w:cs="Arial"/>
          <w:b/>
          <w:bCs/>
          <w:color w:val="595959"/>
          <w:sz w:val="28"/>
          <w:szCs w:val="28"/>
        </w:rPr>
        <w:t>nego</w:t>
      </w:r>
      <w:r>
        <w:rPr>
          <w:rFonts w:ascii="Arial" w:hAnsi="Arial" w:cs="Arial"/>
          <w:color w:val="595959"/>
          <w:sz w:val="28"/>
          <w:szCs w:val="28"/>
        </w:rPr>
        <w:t xml:space="preserve"> provimento ao apelo do autor, WANDERLEI ALVES DA SILVA.</w:t>
      </w:r>
    </w:p>
    <w:p w14:paraId="5C4E1566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A97DAE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Defiro</w:t>
      </w:r>
      <w:r>
        <w:rPr>
          <w:rFonts w:ascii="Arial" w:hAnsi="Arial" w:cs="Arial"/>
          <w:color w:val="595959"/>
          <w:sz w:val="28"/>
          <w:szCs w:val="28"/>
        </w:rPr>
        <w:t xml:space="preserve"> a gratuidade de justiça ao autor apenas para esta fase recursal.</w:t>
      </w:r>
    </w:p>
    <w:p w14:paraId="6EB57228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1E9691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Sem honorários recursais (CPC 85 § 11).</w:t>
      </w:r>
    </w:p>
    <w:p w14:paraId="3272255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00EA5E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2D00B84A" w14:textId="77777777" w:rsidR="00EF5067" w:rsidRDefault="000210BD">
      <w:pPr>
        <w:spacing w:after="0" w:line="360" w:lineRule="auto"/>
      </w:pPr>
      <w:r>
        <w:br w:type="page"/>
      </w:r>
    </w:p>
    <w:p w14:paraId="0FAAA908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Número do processo: 0700969-76.2026.8.07.0006</w:t>
      </w:r>
    </w:p>
    <w:p w14:paraId="21234996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Classe judicial: PROCEDIMENTO COMUM CÍVEL (7)</w:t>
      </w:r>
    </w:p>
    <w:p w14:paraId="61CAC360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AUTOR: WANDERLEI ALVES DA SILVA</w:t>
      </w:r>
    </w:p>
    <w:p w14:paraId="3AB62972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REU: BANCO AGIBANK S.A</w:t>
      </w:r>
    </w:p>
    <w:p w14:paraId="7747293B" w14:textId="77777777" w:rsidR="00EF45EE" w:rsidRDefault="00EF45EE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</w:p>
    <w:p w14:paraId="7960BFA5" w14:textId="77777777" w:rsidR="00EF5067" w:rsidRDefault="000210BD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SENTENÇA</w:t>
      </w:r>
    </w:p>
    <w:p w14:paraId="77BDC3FA" w14:textId="77777777" w:rsidR="00EF45EE" w:rsidRDefault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0FA516D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Vistos.</w:t>
      </w:r>
    </w:p>
    <w:p w14:paraId="4B6A71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Trata-se de AÇÃO REVISIONAL DE CONTRATO BANCÁRIO ajuizada sob a égide do rito comum do Código de Processo Civil por WANDERLEI ALVES DA SILVA em face BANCO AGIBANK S.A., partes qualificadas em epígrafe.</w:t>
      </w:r>
    </w:p>
    <w:p w14:paraId="4D7FE0FB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Narra a parte autora que os contratos são inválidos por juros excessivos.</w:t>
      </w:r>
    </w:p>
    <w:p w14:paraId="3DE6CE2E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Foram os autos conclusos para decisão.</w:t>
      </w:r>
    </w:p>
    <w:p w14:paraId="5A80A21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Esse é o relato do que reputo ser necessário. Passo a decidir.</w:t>
      </w:r>
    </w:p>
    <w:p w14:paraId="13D7FF7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Esse Magistrado, atento ao nome do requerente, percebeu que o autor ajuizou 7 demandas contra o BANCO AGIBANK S.A., com o mesmo pedido [revisional] e a mesma causa de pedir [juros] diferenciando apenas nos contratos [0710988-78.2025.8.07.0006; 0710986-11.2025.8.07.0006; 0700970-61.2026.8.07.0006; 0700979-23.2026.8.07.0006; 0700972-31.2026.8.07.0006; 0700969-76.2026.8.07.0006 e 0712625-04.2024.8.07.0005].</w:t>
      </w:r>
    </w:p>
    <w:p w14:paraId="607126C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 xml:space="preserve">Trata-se, pois, de temática comum que poderia — e deveria — ter sido concentrada em uma única demanda, ainda que contra diversas instituições financeiras, por força dos princípios da </w:t>
      </w:r>
      <w:r>
        <w:rPr>
          <w:rFonts w:ascii="Arial" w:hAnsi="Arial" w:cs="Arial"/>
          <w:color w:val="008000"/>
          <w:sz w:val="28"/>
          <w:szCs w:val="28"/>
        </w:rPr>
        <w:lastRenderedPageBreak/>
        <w:t>cooperação, economia processual, celeridade e da própria racionalidade do sistema de justiça.</w:t>
      </w:r>
    </w:p>
    <w:p w14:paraId="6FE9FF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Ressalto que esta unidade administrativa do Distrito Federal possui mais de 400 novas distribuições mensais e sobrecarrega-se com mais de 8 mil processos em tramitação, o que impõe maior atenção das partes e de seus patronos quanto ao uso responsável da máquina judiciária.</w:t>
      </w:r>
    </w:p>
    <w:p w14:paraId="7EEA9699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circunstância de o advogado ser profissional domiciliado em outra unidade da Federação não justifica a pulverização de demandas com causa de pedir substancialmente idêntica. Pelo contrário, reforça-se o dever de diligência e boa-fé, impondo-se o protocolo conjunto das pretensões semelhantes para evitar sobrecarga do Judiciário e decisões potencialmente conflitantes. Tal conduta, ademais, prestigia o princípio da celeridade processual, de estatura constitucional (art. 5º, LXXVIII, CF).</w:t>
      </w:r>
    </w:p>
    <w:p w14:paraId="08A0559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Nota-se que a primeira demanda distribuída foi a de n. 0712625-04.2024.8.07.0005 já arquivada definitivamente. A mais recente é a de n. 0710988-78.2025.8.07.0006 distribuída em 30/10/2025.</w:t>
      </w:r>
    </w:p>
    <w:p w14:paraId="0A00F60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Também consta que a demanda distribuída sob o n. 0700970-61.2026.8.07.0006 em 26/1/2026 não tem petição inicial.</w:t>
      </w:r>
    </w:p>
    <w:p w14:paraId="61EC02E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Dessa forma, deverá o autor emendar a inicial distribuída nos autos 0710988-78.2025.8.07.0006 para incluir todos os 5 contratos discutidos em outras demandas, devendo trazer nova petição inicial na integra.</w:t>
      </w:r>
    </w:p>
    <w:p w14:paraId="36390C6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Essa decisão foi dada naqueles autos.</w:t>
      </w:r>
    </w:p>
    <w:p w14:paraId="459D77C7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Nesse, agora, resta a extinção sem resolução do mérito.</w:t>
      </w:r>
    </w:p>
    <w:p w14:paraId="4508D526" w14:textId="77777777" w:rsidR="00EF5067" w:rsidRDefault="000210BD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DA EXTINÇÃO DO PROCESSO PELA AUSÊNCIA DE INTERESSE DE AGIR.</w:t>
      </w:r>
    </w:p>
    <w:p w14:paraId="7EE5F40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advocacia predatória se caracteriza pelo ajuizamento abusivo e massivo de ações com petições genéricas, visando vantagens indevidas, fraudes ou enriquecimento ilícito.</w:t>
      </w:r>
    </w:p>
    <w:p w14:paraId="56D0DACF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Os principais indícios incluem alto volume de processos idênticos, uso de documentos falsos ou desatualizados, e captação ilícita de clientes. O Conselho Nacional de Justiça - CNJ identifica essas práticas por meio de núcleos de inteligência, resultando em penalidades por má-fé.</w:t>
      </w:r>
    </w:p>
    <w:p w14:paraId="25671EA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Diante de indícios de litigância predatória, o juiz está autorizado a exigir do advogado que ajuizou a ação a procuração assinada pelo cliente e com firma reconhecida.</w:t>
      </w:r>
    </w:p>
    <w:p w14:paraId="0010A6C6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 conclusão é da 3ª Turma do Superior Tribunal de Justiça, que negou provimento a três recursos especiais contra decisões do Tribunal de Justiça de São Paulo.</w:t>
      </w:r>
    </w:p>
    <w:p w14:paraId="19DA97D4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“Constatados indícios de litigância abusiva, o juiz pode exigir, de modo fundamentado e com observância à razoabilidade do caso concreto, a emenda da petição inicial a fim de demonstrar o interesse de agir e a autenticidade da postulação, respeitadas as regras de distribuição do ônus da prova” [STJ - REsp 2.160.148, REsp 2.200.938 e REsp 2.222.834].</w:t>
      </w:r>
    </w:p>
    <w:p w14:paraId="71FF65B3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Diante desse cenário, inexiste interesse processual útil em manter a presente demanda dissociada do processo n. 0710988-78.2025.8.07.0006 o qual já se discute a mesma matéria de fundo. A solução adequada, racional e proporcional é a concentração do debate jurídico em um único processo permitindo ao Judiciário apreciar o conjunto da controvérsia de modo integral e eficiente.</w:t>
      </w:r>
    </w:p>
    <w:p w14:paraId="6DED68A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lastRenderedPageBreak/>
        <w:t>Assim, a presente ação revela-se inadequada, carecendo o autor de interesse processual, motivo pelo qual se impõe sua extinção sem resolução do mérito, nos termos do art. 485, VI, do CPC.</w:t>
      </w:r>
    </w:p>
    <w:p w14:paraId="47D584CC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Ante o exposto JULGO EXTINTO, sem resolução do mérito, o presente processo, por falta de interesse processual, com fundamento no art. 485, VI, do Código de Processo Civil.</w:t>
      </w:r>
    </w:p>
    <w:p w14:paraId="655458C1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E ainda, CANCELO A DISTRIBUIÇÃO destes autos, adotando-se as cautelas de praxe.</w:t>
      </w:r>
    </w:p>
    <w:p w14:paraId="6FDDCB5D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Sem custas e sem honorários.</w:t>
      </w:r>
    </w:p>
    <w:p w14:paraId="2ACF942A" w14:textId="77777777" w:rsidR="00EF5067" w:rsidRDefault="000210BD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Publique-se. Intimem-se. Cumpra-se. Decisão registrada eletronicamente.</w:t>
      </w:r>
    </w:p>
    <w:p w14:paraId="1E49F672" w14:textId="77777777" w:rsidR="00EF45EE" w:rsidRDefault="00EF45EE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10638589" w14:textId="48E89932" w:rsidR="00EF5067" w:rsidRDefault="000210BD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MATHEUS STAMILLO SANTARELLI ZULIANI</w:t>
      </w:r>
    </w:p>
    <w:p w14:paraId="55068FD7" w14:textId="77777777" w:rsidR="00EF5067" w:rsidRDefault="000210BD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Juiz de Direito</w:t>
      </w:r>
    </w:p>
    <w:p w14:paraId="322A1E2B" w14:textId="77777777" w:rsidR="00EF45EE" w:rsidRDefault="00EF45EE" w:rsidP="00EF45EE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  <w:r>
        <w:rPr>
          <w:rFonts w:ascii="Arial" w:hAnsi="Arial" w:cs="Arial"/>
          <w:color w:val="008000"/>
          <w:sz w:val="28"/>
          <w:szCs w:val="28"/>
        </w:rPr>
        <w:t>Documento datado e assinado eletronicamente em 20/02/2026.</w:t>
      </w:r>
    </w:p>
    <w:p w14:paraId="51407DE2" w14:textId="77777777" w:rsidR="00EF45EE" w:rsidRDefault="00EF45EE" w:rsidP="00EF45EE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</w:p>
    <w:p w14:paraId="77C91859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008000"/>
          <w:sz w:val="28"/>
          <w:szCs w:val="28"/>
        </w:rPr>
      </w:pPr>
    </w:p>
    <w:p w14:paraId="1061A590" w14:textId="77777777" w:rsidR="00EF45EE" w:rsidRDefault="00EF45EE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</w:p>
    <w:p w14:paraId="1E592FE4" w14:textId="77777777" w:rsidR="00EF45EE" w:rsidRDefault="00EF45EE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</w:p>
    <w:p w14:paraId="78B80816" w14:textId="0D194AD9" w:rsidR="00EF5067" w:rsidRDefault="000210BD">
      <w:pPr>
        <w:spacing w:after="0" w:line="360" w:lineRule="auto"/>
        <w:jc w:val="center"/>
        <w:rPr>
          <w:rFonts w:ascii="Arial" w:hAnsi="Arial" w:cs="Arial"/>
          <w:b/>
          <w:bCs/>
          <w:color w:val="800080"/>
          <w:sz w:val="28"/>
          <w:szCs w:val="28"/>
        </w:rPr>
      </w:pPr>
      <w:commentRangeStart w:id="4"/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PRECEDENTES</w:t>
      </w:r>
      <w:commentRangeStart w:id="16"/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commentRangeEnd w:id="16"/>
      <w:r>
        <w:rPr>
          <w:rStyle w:val="CommentReference"/>
        </w:rPr>
        <w:commentReference w:id="16"/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CONTRÁRIOS</w:t>
      </w:r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AO</w:t>
      </w:r>
      <w:r>
        <w:rPr>
          <w:rFonts w:ascii="Arial" w:hAnsi="Arial" w:cs="Arial"/>
          <w:b/>
          <w:bCs/>
          <w:color w:val="80008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/>
          <w:bCs/>
          <w:color w:val="808080"/>
          <w:sz w:val="28"/>
          <w:szCs w:val="28"/>
          <w:highlight w:val="yellow"/>
        </w:rPr>
        <w:t xml:space="preserve">VOTO</w:t>
      </w:r>
      <w:commentRangeEnd w:id="4"/>
      <w:r w:rsidR="00A56F3A">
        <w:rPr>
          <w:rStyle w:val="Refdecomentrio"/>
          <w:rFonts w:ascii="Arial" w:hAnsi="Arial" w:cs="Arial"/>
          <w:b/>
          <w:bCs/>
          <w:color w:val="800080"/>
          <w:sz w:val="28"/>
          <w:szCs w:val="28"/>
        </w:rPr>
        <w:commentReference w:id="4"/>
      </w:r>
    </w:p>
    <w:p w14:paraId="471B3AA3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p w14:paraId="7AA568C9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80008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“DIREITO PROCESSUAL CIVIL. AÇÃO DECLARATÓRIA DE INEXIGIBILIDADE DE DÍVIDA. APARENTE FRACIONAMENTO ABUSIVO DE DEMANDAS. FATO QUE NÃO AUTORIZA A EXTINÇÃO DO PROCESSO POR FALTA DE INTERESSE DE AGIR. SENTENÇA CASSADA. I. O fracionamento de ações que poderiam ser aglutinadas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numa só demanda, ainda que sinalize litigância abusiva ou predatória, não induz falta de interesse processual, porquanto não retira a necessidade, a utilidade e a adequação da pretensão deduzida, razão pela qual não dá respaldo à extinção do processo com fundamento nos artigos 330, inciso III, e 485, inciso VI, do Código de Processo Civil.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II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Se o autor considera que a dívida incluída na “Serasa Limpa Nome” está prescrita, há claro interesse processual para o ajuizamento da demanda que tem por objeto a declaração de inexigibilidade e a exclusão da plataforma, presente o disposto no artigo 17 do Código de Processo Civil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III. O combate à litigância predatória não justifica a supressão do exercício do direito de ação assegurado pelo artigo 5º, inciso XXXV, da Constituição Federal, sob o pretexto de falta de interesse de agir.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IV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De acordo com a inteligência do artigo 113 do Código de Processo Civil, o litisconsórcio passivo facultativo é uma opção do autor que, por sua própria natureza, não pode ser imposta judicialmente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V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Se a hipótese é de litisconsórcio passivo facultativo, ainda que se conclua pela caracterização de litigância predatória, não se pode subtrair do autor a prerrogativa da sua formação.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VI. Concluindo pela fragmentação abusiva de demandas, o juiz pode determinar a sua reunião para julgamento conjunto na forma do artigo 55, caput e §§ 1º e 3º, do Código de Processo Civil, providência, aliás, constante da Recomendação CNJ 159/2024, mas não extinguir o processo por falta de interesse de agir. VII. Apelação conhecida e provida.” (Acórdão 2087876, 0721614-11.2024.8.07.0001, Relator(a): JAMES EDUARDO OLIVEIRA, 4ª TURMA CÍVEL, data de julgamento: 05/02/2026, publicado no DJe: 16/03/2026.)</w:t>
      </w:r>
    </w:p>
    <w:p w14:paraId="36B1E49A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p w14:paraId="619BABE7" w14:textId="77777777" w:rsidR="00EF5067" w:rsidRDefault="000210BD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800080"/>
          <w:sz w:val="26"/>
          <w:szCs w:val="26"/>
        </w:rPr>
      </w:pP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“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APELAÇÃO. GRATUIDADE DE JUSTIÇA. DEFERIMENTO. INDEFERIMENTO DA PETIÇÃO INICIAL. INSCRIÇÃO SUPLEMENTAR NA OAB/DF. REPRESENTAÇÃO PROCESSUAL. PROCURAÇÃO COM ASSINATURA RECONHECIDA POR AUTENTICIDADE. RIGOR EXCESSIVO. LITIGÂNCIA PREDATÓRIA. NÃO CONFIGURADA. EMENDA DA PETIÇÃO INICIAL. DOCUMENTOS INDISPENSÁVEIS APRESENTADOS. PRECEDENTES. RECURSO CONHECIDO E PROVIDO. SENTENÇA CASSADA. 1. A Constituição Federal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CF), em seu artigo 5º, LXXIV, contempla o direito fundamental de acesso à justiça, mediante a garantia da gratuidade da justiça aos que comprovarem insuficiência de recursos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2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Para a concessão do benefício, o juiz não pode se basear exclusivamente em parâmetros objetivos; deve analisar a possibilidade de a parte arcar com as custas, honorários e encargos processuais sem prejuízo do mínimo existencial, que é variável conforme situação individual de cada família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3, Na hipótese, estão comprovados os requisitos necessários para a concessão do benefício processual.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4. Não existe óbice ao ajuizamento de processo por advogado de outro estado da federação para a defesa dos direitos do jurisdicionado. Do mesmo modo, não há nenhum impedimento ao ajuizamento de diversos processos contra o mesmo réu ou contra réus distintos para discutir eventuais violações de direitos. A extinção de processos com base em tal fundamentação carece de qualquer amparo legal. Cabe ao autor escolher o seu representante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processual e decidir se deseja discutir todas as ilegalidades aferidas em um só processo ou em feitos distintos.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5. No que concerne à procuração, inexiste a obrigatoriedade de firma reconhecida. Os documentos públicos ou particulares, quando juntados por advogados, presumem-se verdadeiros e fazem a mesma prova que os originais 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art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425, VI, do CPC)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É ônus da parte contrária impugnar a falsidade ou a autenticidade deles (art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429 do CPC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 6. Excepciona-se a regra quando a diligência se fizer necessária para esclarecer divergência entre a assinatura da procuração e outros documentos juntados ao feito. Todavia, não é o caso dos autos. 7. O juízo atuou com rigor excessivo ao extinguir o processo por ausência dos referidos documentos. A sentença deve ser cassada para que o feito retorne à origem para o regular prosseguimento.</w:t>
      </w:r>
      <w:r>
        <w:rPr>
          <w:rFonts w:ascii="Arial" w:hAnsi="Arial" w:cs="Arial"/>
          <w:i/>
          <w:iCs/>
          <w:color w:val="800080"/>
          <w:sz w:val="26"/>
          <w:szCs w:val="26"/>
        </w:rPr>
        <w:t xml:space="preserve"> 8. Recurso provido. Sentença cassada. Regular prosseguimento do feito.” (Acórdão 2095878, 0703438-32.2025.8.07.0006, Relator(a): LEONARDO ROSCOE BESSA, 6ª TURMA CÍVEL, data de julgamento: 25/02/2026, publicado no DJe: 12/03/2026.)</w:t>
      </w:r>
    </w:p>
    <w:p w14:paraId="2C1EB375" w14:textId="77777777" w:rsidR="00EF5067" w:rsidRDefault="00EF5067">
      <w:pPr>
        <w:spacing w:after="0" w:line="360" w:lineRule="auto"/>
        <w:jc w:val="both"/>
        <w:rPr>
          <w:rFonts w:ascii="Arial" w:hAnsi="Arial" w:cs="Arial"/>
          <w:color w:val="800080"/>
          <w:sz w:val="28"/>
          <w:szCs w:val="28"/>
        </w:rPr>
      </w:pPr>
    </w:p>
    <w:sectPr w:rsidR="00EF50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9T17:26:00Z" w:initials="OO">
    <w:p w14:paraId="494B37C4" w14:textId="77777777" w:rsidR="00833BD8" w:rsidRDefault="00833BD8">
      <w:pPr>
        <w:pStyle w:val="Textodecomentrio"/>
      </w:pPr>
      <w:r>
        <w:rPr>
          <w:rStyle w:val="Refdecomentrio"/>
        </w:rPr>
        <w:annotationRef/>
      </w:r>
      <w:r>
        <w:t>Conclusão: 02/10/2026</w:t>
      </w:r>
    </w:p>
    <w:p w14:paraId="5A0BA119" w14:textId="77777777" w:rsidR="00833BD8" w:rsidRDefault="00833BD8">
      <w:pPr>
        <w:pStyle w:val="Textodecomentrio"/>
      </w:pPr>
      <w:r>
        <w:t>Entrega: 30/10/2026</w:t>
      </w:r>
    </w:p>
    <w:p w14:paraId="148BD6C1" w14:textId="0B30291B" w:rsidR="00833BD8" w:rsidRDefault="00833BD8">
      <w:pPr>
        <w:pStyle w:val="Textodecomentrio"/>
      </w:pPr>
      <w:r>
        <w:t>Certeza: 9</w:t>
      </w:r>
    </w:p>
  </w:comment>
  <w:comment w:id="1" w:author="Orana Oliveira Guerra - GDSXSR" w:date="2026-10-29T19:09:00Z" w:initials="OOG">
    <w:p w14:paraId="02DEF0B5" w14:textId="484923FF" w:rsidR="003B3CAD" w:rsidRDefault="000210BD" w:rsidP="003B3CAD">
      <w:pPr>
        <w:pStyle w:val="Textodecomentrio"/>
      </w:pPr>
      <w:r>
        <w:annotationRef/>
      </w:r>
      <w:r w:rsidR="003B3CAD">
        <w:rPr>
          <w:color w:val="000000"/>
        </w:rPr>
        <w:t>Modelo: 7 APC 0700972-31 Fernando Marcos NP fracionamento de ações revisionais litigância abusiva emenda em processo conexo. Processo com mesmo autor, mesmo banco e mesma sentença, que extinguiu as sete revisionais listadas. Há jurisprudência da 4ª Turma Cível em sentido contrário (James Eduardo Oliveira), transcrita ao final da minuta.</w:t>
      </w:r>
    </w:p>
  </w:comment>
  <w:comment w:id="2" w:author="Orana Oliveira Guerra - GDSXSR" w:date="2026-10-29T17:22:00Z" w:initials="OO">
    <w:p w14:paraId="65CD8858" w14:textId="77777777" w:rsidR="003022B3" w:rsidRDefault="003022B3" w:rsidP="003022B3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3" w:author="Orana Oliveira Guerra - GDSXSR" w:date="2026-10-29T17:21:00Z" w:initials="OO">
    <w:p w14:paraId="1845924A" w14:textId="77777777" w:rsidR="009C6628" w:rsidRDefault="009C6628" w:rsidP="009C662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Orana Oliveira Guerra - GDSXSR" w:date="2026-10-29T17:25:00Z" w:initials="OO">
    <w:p w14:paraId="3D53AA1E" w14:textId="77777777" w:rsidR="00A56F3A" w:rsidRDefault="00A56F3A" w:rsidP="00A56F3A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Revisão geral. Alterei: título EMENTA à esquerda (C-42); cabeçalho da ementa sem a gratuidade e com “RECURSO NÃO PROVIDO” (C-3P a); valor da causa no fim do item 1 (C-34); rodapés na forma compacta e sem o Acórdão 2086286 (C-20, C-65, C-67); relatório com o ID do apelo, as cinco alegações em parágrafo único e a grafia e o ID da transcrição do dispositivo da sentença (C-30, C-3N); art. 99 em bloco com a cabeça (C-66); art. 327 sem oração de conclusão não apoiada nos autos (C-02, C-21); realce do parágrafo que aplica a Recomendação CNJ (C-43); “(...)” e “– Grifei” no acórdão 2066137 (C-62); sem “A r. sentença, portanto, deve ser mantida.” no último capítulo (C-3A). Resultado mantido (NP; C-03, C-53). O bloco final em violeta traz acórdão da 4ª Turma Cível em sentido contrário ao voto (Acórdão 2087876, Des. James Eduardo Oliveira, j. 05/02/2026), retitulado “PRECEDENTES CONTRÁRIOS AO VOTO” com as ementas íntegras (C-46).</w:t>
      </w:r>
    </w:p>
  </w:comment>
  <w:comment w:id="6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Acrescentei o valor da causa (R$ 751,02, da linha de dados do voto) ao fim do item 1, entre parênteses (C-34, v43). Pendência (C-24, C-52): sem os autos e sem acesso ao PJe nesta thread, não conferi os IDs 90312726, 90312732 e 90312736, as datas da linha de dados, a condição de aposentado do autor, o pedido de repetição do indébito, a ausência de contrarrazões e o andamento da emenda no processo 0710988-78.2025.8.07.0006.</w:t>
      </w:r>
    </w:p>
  </w:comment>
  <w:comment w:id="7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Rodapés: forma compacta em “Dispositivos relevantes citados” e identificação do TJDFT sem a sigla da classe (C-67). Retirei o Acórdão 2086286 (8ª Turma), que só repetia a tese já sustentada pelo Acórdão 2066137, da 4ª Turma Cível (C-65, C-67). Tema 1.198/STJ: tese literal, julgamento em 13/03/2025 e vigência conferidos no iajus; o iajus não devolve o nº do REsp nem a data do DJEN (11/06/2026), mantidos como na minuta, conforme a versão final da APC 0700972-31 (C-67, v25) — conferir no SCON/STJ (C-72).</w:t>
      </w:r>
    </w:p>
  </w:comment>
  <w:comment w:id="8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Incluí o ID do apelo na fórmula do relatório e enumerei as cinco alegações do apelo, as mesmas que o voto enfrenta (C-30). ID 90312732 tomado do voto; não conferido nos autos (C-52).</w:t>
      </w:r>
    </w:p>
  </w:comment>
  <w:comment w:id="9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Corrigi “Honorários” para “honorários”, como na sentença anexa, e acrescentei o ID ao fim do trecho transcrito, com o corte “(...)” no mesmo parágrafo (C-3N, v46).</w:t>
      </w:r>
    </w:p>
  </w:comment>
  <w:comment w:id="10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Art. 99 transcrito em um só bloco, com a cabeça, “(...)” e o § 3º, como manda C-66; a identificação entre parênteses sai porque a frase de introdução já cita os dispositivos. Texto conferido no Planalto, via iajus.</w:t>
      </w:r>
    </w:p>
  </w:comment>
  <w:comment w:id="11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Pendência (C-24, C-52): a condição de aposentado do autor e a ausência de impugnação do apelado (ID 90312736) dependem dos autos, que não recebi; mantive a redação da minuta.</w:t>
      </w:r>
    </w:p>
  </w:comment>
  <w:comment w:id="12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Retirei “e o autor pode discutir contratos distintos em ações próprias”: o art. 327 do CPC apenas admite a cumulação, e a oração conclusiva não tem apoio no dispositivo nem nos autos (C-02, C-21).</w:t>
      </w:r>
    </w:p>
  </w:comment>
  <w:comment w:id="13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Pendência (C-24, C-52): a emenda determinada no processo 0710988-78.2025.8.07.0006 consta só da sentença (ID 90312726); conferir no PJe a decisão e se o prazo foi cumprido.</w:t>
      </w:r>
    </w:p>
  </w:comment>
  <w:comment w:id="14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 — Recomendação CNJ nº 159, de 23/10/2024, art. 1º, caput: “Recomendar aos(às) juízes(as) e tribunais que adotem medidas para identificar, tratar e sobretudo prevenir a litigância abusiva, entendida como o desvio ou manifesto excesso dos limites impostos pela finalidade social, jurídica, política e/ou econômica do direito de acesso ao Poder Judiciário, inclusive no polo passivo, comprometendo a capacidade de prestação jurisdicional e o acesso à Justiça.” Anexo A, item 6: “proposição de várias ações judiciais sobre o mesmo tema, pela mesma parte autora, distribuídas de forma fragmentada;” (fonte: atos.cnj.jus.br). Realcei o parágrafo, que fixa a premissa decisiva do capítulo (C-43).</w:t>
      </w:r>
    </w:p>
  </w:comment>
  <w:comment w:id="15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Acórdão 2066137 (4ª Turma Cível): ementa e item 4 conferidos no iajus, com texto literal; o iajus não devolve o nº do acórdão nem o DJe (06/11/2025 e 27/11/2025 vêm da minuta) — completar no JurisDF (C-67, C-72). Acrescentei “(...)” no início e “– Grifei” ao fim (C-62). Retirei o Acórdão 2086286 (8ª Turma), pois um precedente por tese basta (C-65, C-67).</w:t>
      </w:r>
    </w:p>
  </w:comment>
  <w:comment w:id="16" w:author="Assessor GDSXSR" w:initials="RG" w:date="2026-10-31T18:16:31Z">
    <w:p>
      <w:pPr>
        <w:pStyle w:val="CommentText"/>
      </w:pPr>
      <w:r>
        <w:rPr>
          <w:rStyle w:val="CommentReference"/>
        </w:rPr>
        <w:annotationRef/>
      </w:r>
      <w:r>
        <w:t>ASSESSOR GDSXSR — Bloco final em violeta, depois da sentença em verde (C-45, C-46). Acórdão 2087876 (4ª Turma Cível, Des. James Eduardo Oliveira, j. 05/02/2026) decide que o fracionamento não autoriza a extinção por falta de interesse e que o juiz pode determinar a reunião das ações; é a mesma Turma e é contrário ao voto, de modo que merece a atenção do Desembargador. Não alterei o resultado (C-03, C-53). Completei as duas ementas na íntegra, conferidas no iajus; nº dos acórdãos e DJe vêm da minuta e não foram conferidos (C-52).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8BD6C1" w15:done="0"/>
  <w15:commentEx w15:paraId="02DEF0B5" w15:done="0"/>
  <w15:commentEx w15:paraId="65CD8858" w15:done="0"/>
  <w15:commentEx w15:paraId="1845924A" w15:done="0"/>
  <w15:commentEx w15:paraId="3D53AA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B32380" w16cex:dateUtc="2026-10-29T20:26:00Z"/>
  <w16cex:commentExtensible w16cex:durableId="7E10FEAF" w16cex:dateUtc="2026-10-29T19:09:00Z"/>
  <w16cex:commentExtensible w16cex:durableId="4AF4102C" w16cex:dateUtc="2026-10-29T20:22:00Z"/>
  <w16cex:commentExtensible w16cex:durableId="2B49C088" w16cex:dateUtc="2026-10-29T20:21:00Z"/>
  <w16cex:commentExtensible w16cex:durableId="0126F109" w16cex:dateUtc="2026-10-29T2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8BD6C1" w16cid:durableId="02B32380"/>
  <w16cid:commentId w16cid:paraId="02DEF0B5" w16cid:durableId="7E10FEAF"/>
  <w16cid:commentId w16cid:paraId="65CD8858" w16cid:durableId="4AF4102C"/>
  <w16cid:commentId w16cid:paraId="1845924A" w16cid:durableId="2B49C088"/>
  <w16cid:commentId w16cid:paraId="3D53AA1E" w16cid:durableId="0126F1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0105" w14:textId="77777777" w:rsidR="001726FD" w:rsidRDefault="001726FD" w:rsidP="003A42DE">
      <w:pPr>
        <w:spacing w:after="0" w:line="240" w:lineRule="auto"/>
      </w:pPr>
      <w:r>
        <w:separator/>
      </w:r>
    </w:p>
  </w:endnote>
  <w:endnote w:type="continuationSeparator" w:id="0">
    <w:p w14:paraId="422B640F" w14:textId="77777777" w:rsidR="001726FD" w:rsidRDefault="001726FD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E559" w14:textId="77777777" w:rsidR="00A56F3A" w:rsidRDefault="00A56F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1D83A" w14:textId="77777777" w:rsidR="00A56F3A" w:rsidRDefault="00A56F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D768B" w14:textId="77777777" w:rsidR="001726FD" w:rsidRDefault="001726FD" w:rsidP="003A42DE">
      <w:pPr>
        <w:spacing w:after="0" w:line="240" w:lineRule="auto"/>
      </w:pPr>
      <w:r>
        <w:separator/>
      </w:r>
    </w:p>
  </w:footnote>
  <w:footnote w:type="continuationSeparator" w:id="0">
    <w:p w14:paraId="646B22E8" w14:textId="77777777" w:rsidR="001726FD" w:rsidRDefault="001726FD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9859" w14:textId="77777777" w:rsidR="00A56F3A" w:rsidRDefault="00A56F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B123" w14:textId="77777777" w:rsidR="00A56F3A" w:rsidRDefault="00A56F3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2B41" w14:textId="77777777" w:rsidR="00A56F3A" w:rsidRDefault="00A56F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0BD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7A7E"/>
    <w:rsid w:val="00151611"/>
    <w:rsid w:val="00157519"/>
    <w:rsid w:val="00161CD2"/>
    <w:rsid w:val="00162FF4"/>
    <w:rsid w:val="00167F3A"/>
    <w:rsid w:val="001726FD"/>
    <w:rsid w:val="001801E9"/>
    <w:rsid w:val="00183B77"/>
    <w:rsid w:val="001A09B8"/>
    <w:rsid w:val="001C466B"/>
    <w:rsid w:val="001C7537"/>
    <w:rsid w:val="001D2162"/>
    <w:rsid w:val="001E433B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22B3"/>
    <w:rsid w:val="00303FAE"/>
    <w:rsid w:val="0031063D"/>
    <w:rsid w:val="00312291"/>
    <w:rsid w:val="00316B1F"/>
    <w:rsid w:val="00321068"/>
    <w:rsid w:val="00323779"/>
    <w:rsid w:val="00323D27"/>
    <w:rsid w:val="00333CAB"/>
    <w:rsid w:val="00337C05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2959"/>
    <w:rsid w:val="003B3398"/>
    <w:rsid w:val="003B3CAD"/>
    <w:rsid w:val="003D11BE"/>
    <w:rsid w:val="003D3FEE"/>
    <w:rsid w:val="003E436D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5172B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D7626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41BB6"/>
    <w:rsid w:val="00661CF3"/>
    <w:rsid w:val="006658A2"/>
    <w:rsid w:val="006921E1"/>
    <w:rsid w:val="00693B0D"/>
    <w:rsid w:val="006B2A89"/>
    <w:rsid w:val="006B555B"/>
    <w:rsid w:val="006C6E29"/>
    <w:rsid w:val="006D07B9"/>
    <w:rsid w:val="006D0993"/>
    <w:rsid w:val="006D3824"/>
    <w:rsid w:val="006F725D"/>
    <w:rsid w:val="007001F2"/>
    <w:rsid w:val="00711FE9"/>
    <w:rsid w:val="00723D58"/>
    <w:rsid w:val="00726567"/>
    <w:rsid w:val="00730800"/>
    <w:rsid w:val="00744BDF"/>
    <w:rsid w:val="00746E7B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33BD8"/>
    <w:rsid w:val="0085425F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36F0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C1026"/>
    <w:rsid w:val="009C4045"/>
    <w:rsid w:val="009C6628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A03057"/>
    <w:rsid w:val="00A2661C"/>
    <w:rsid w:val="00A31C13"/>
    <w:rsid w:val="00A330C4"/>
    <w:rsid w:val="00A3595E"/>
    <w:rsid w:val="00A56F3A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7E65"/>
    <w:rsid w:val="00AC20E1"/>
    <w:rsid w:val="00B04942"/>
    <w:rsid w:val="00B17310"/>
    <w:rsid w:val="00B30DAE"/>
    <w:rsid w:val="00B41866"/>
    <w:rsid w:val="00B52FD0"/>
    <w:rsid w:val="00B5663B"/>
    <w:rsid w:val="00B606B1"/>
    <w:rsid w:val="00B60851"/>
    <w:rsid w:val="00B60DCB"/>
    <w:rsid w:val="00B61931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0820"/>
    <w:rsid w:val="00C94119"/>
    <w:rsid w:val="00CA324E"/>
    <w:rsid w:val="00CB0848"/>
    <w:rsid w:val="00CB4E4C"/>
    <w:rsid w:val="00CB7FF8"/>
    <w:rsid w:val="00CC7150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104B"/>
    <w:rsid w:val="00D42B4A"/>
    <w:rsid w:val="00D516B2"/>
    <w:rsid w:val="00D52E56"/>
    <w:rsid w:val="00D565C8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DF2810"/>
    <w:rsid w:val="00E12EE1"/>
    <w:rsid w:val="00E211F5"/>
    <w:rsid w:val="00E26735"/>
    <w:rsid w:val="00E437CF"/>
    <w:rsid w:val="00E53472"/>
    <w:rsid w:val="00E53CAF"/>
    <w:rsid w:val="00E611E9"/>
    <w:rsid w:val="00E647A0"/>
    <w:rsid w:val="00E755E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2426"/>
    <w:rsid w:val="00EC5732"/>
    <w:rsid w:val="00ED0A9E"/>
    <w:rsid w:val="00ED44BA"/>
    <w:rsid w:val="00ED5E8E"/>
    <w:rsid w:val="00EE027D"/>
    <w:rsid w:val="00EE760E"/>
    <w:rsid w:val="00EF2715"/>
    <w:rsid w:val="00EF45EE"/>
    <w:rsid w:val="00EF5067"/>
    <w:rsid w:val="00EF7509"/>
    <w:rsid w:val="00F041BA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2EF9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4214D0"/>
    <w:rsid w:val="00465A25"/>
    <w:rsid w:val="00481385"/>
    <w:rsid w:val="00532D91"/>
    <w:rsid w:val="0057370F"/>
    <w:rsid w:val="00617896"/>
    <w:rsid w:val="00730800"/>
    <w:rsid w:val="00777F2A"/>
    <w:rsid w:val="00792B6C"/>
    <w:rsid w:val="007D5396"/>
    <w:rsid w:val="0082704D"/>
    <w:rsid w:val="008C4978"/>
    <w:rsid w:val="009436F0"/>
    <w:rsid w:val="00962A91"/>
    <w:rsid w:val="00C90820"/>
    <w:rsid w:val="00E12EE1"/>
    <w:rsid w:val="00E15E1F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42EA4A-7EBC-4079-B0CC-5ADFED39CDD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ce0bce8-f93a-4814-b3a4-a9ba576af8a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2C1D65-2BAB-463B-9859-B14304695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2922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2026-10-29T20:31:00Z</dcterms:created>
  <dcterms:modified xsi:type="dcterms:W3CDTF">2026-10-29T20:31:00Z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