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00173733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47F49BAB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2" w:type="dxa"/>
            <w:gridSpan w:val="3"/>
            <w:hideMark/>
          </w:tcPr>
          <w:p w14:paraId="299F0D40" w14:textId="0E04C6DE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55CC1E66" w14:textId="684DDAA8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</w:p>
          <w:p w14:paraId="12B71A35" w14:textId="0DCA5F16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</w:p>
          <w:p w14:paraId="15750CFE" w14:textId="27AE92BB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  <w:tr w:rsidR="004236F7" w:rsidRPr="009F36E1" w14:paraId="506E1C45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C778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590B4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77777777" w:rsidR="004236F7" w:rsidRPr="009F36E1" w:rsidRDefault="004236F7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0741226-64.2026.8.07.0000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4236F7" w:rsidRPr="009F36E1" w14:paraId="4B19599A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C778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BANCO BRADESCO CARTÕES S.A.</w:t>
            </w:r>
          </w:p>
        </w:tc>
      </w:tr>
      <w:tr w:rsidR="004236F7" w:rsidRPr="009F36E1" w14:paraId="01956A99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C7789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56D3BF91" w:rsidR="004236F7" w:rsidRPr="009F36E1" w:rsidRDefault="00E8715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ALBERTO BAUM</w:t>
            </w:r>
          </w:p>
        </w:tc>
      </w:tr>
      <w:tr w:rsidR="004236F7" w:rsidRPr="009F36E1" w14:paraId="04C2C9E0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A8550DC" w14:textId="77777777" w:rsidR="008C7D23" w:rsidRPr="007E1C8C" w:rsidRDefault="008C7D23" w:rsidP="008C7D23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</w:pPr>
      <w:commentRangeStart w:id="1"/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  <w:commentRangeEnd w:id="1"/>
      <w:r>
        <w:rPr>
          <w:rStyle w:val="CommentReference"/>
        </w:rPr>
        <w:commentReference w:id="1"/>
      </w:r>
    </w:p>
    <w:p w14:paraId="65182A18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AGRAVO DE INSTRUMENTO. DIREITO PROCESSUAL CIVIL. CUMPRIMENTO DE SENTENÇA. EXECUTADO CITADO POR EDITAL. CURADORIA ESPECIAL. PENHORA. INTIMAÇÃO DO EXECUTADO. EDITAL. RECURSO PROVIDO.</w:t>
      </w:r>
    </w:p>
    <w:p w14:paraId="6B13D752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7338679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1. </w:t>
      </w:r>
      <w:r>
        <w:rPr>
          <w:rFonts w:ascii="Arial" w:hAnsi="Arial" w:cs="Arial"/>
          <w:color w:val="808080"/>
          <w:sz w:val="28"/>
          <w:szCs w:val="28"/>
        </w:rPr>
        <w:t xml:space="preserve">Cumprimento</w:t>
      </w:r>
      <w:r>
        <w:rPr>
          <w:rFonts w:ascii="Arial" w:hAnsi="Arial" w:cs="Arial"/>
          <w:color w:val="595959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proposto</w:t>
      </w:r>
      <w:r>
        <w:rPr>
          <w:rFonts w:ascii="Arial" w:hAnsi="Arial" w:cs="Arial"/>
          <w:color w:val="595959"/>
          <w:sz w:val="28"/>
          <w:szCs w:val="28"/>
        </w:rPr>
        <w:t xml:space="preserve"> por </w:t>
      </w:r>
      <w:r>
        <w:rPr>
          <w:rFonts w:ascii="Arial" w:hAnsi="Arial" w:cs="Arial"/>
          <w:color w:val="808080"/>
          <w:sz w:val="28"/>
          <w:szCs w:val="28"/>
        </w:rPr>
        <w:t xml:space="preserve">Banco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Bradesco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Cartões</w:t>
      </w:r>
      <w:r>
        <w:rPr>
          <w:rFonts w:ascii="Arial" w:hAnsi="Arial" w:cs="Arial"/>
          <w:color w:val="595959"/>
          <w:sz w:val="28"/>
          <w:szCs w:val="28"/>
        </w:rPr>
        <w:t xml:space="preserve"> S.A. contra pessoa natural</w:t>
      </w:r>
      <w:r>
        <w:rPr>
          <w:rFonts w:ascii="Arial" w:hAnsi="Arial" w:cs="Arial"/>
          <w:color w:val="595959"/>
          <w:sz w:val="28"/>
          <w:szCs w:val="28"/>
        </w:rPr>
        <w:t xml:space="preserve"> citada por edital, </w:t>
      </w:r>
      <w:r>
        <w:rPr>
          <w:rFonts w:ascii="Arial" w:hAnsi="Arial" w:cs="Arial"/>
          <w:color w:val="808080"/>
          <w:sz w:val="28"/>
          <w:szCs w:val="28"/>
        </w:rPr>
        <w:t xml:space="preserve">visando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color w:val="595959"/>
          <w:sz w:val="28"/>
          <w:szCs w:val="28"/>
        </w:rPr>
        <w:t xml:space="preserve"> satisfação de crédito </w:t>
      </w:r>
      <w:r>
        <w:rPr>
          <w:rFonts w:ascii="Arial" w:hAnsi="Arial" w:cs="Arial"/>
          <w:color w:val="808080"/>
          <w:sz w:val="28"/>
          <w:szCs w:val="28"/>
        </w:rPr>
        <w:t xml:space="preserve">reconhecido em ação </w:t>
      </w:r>
      <w:r>
        <w:rPr>
          <w:rFonts w:ascii="Arial" w:hAnsi="Arial" w:cs="Arial"/>
          <w:color w:val="595959"/>
          <w:sz w:val="28"/>
          <w:szCs w:val="28"/>
        </w:rPr>
        <w:t xml:space="preserve">de </w:t>
      </w:r>
      <w:r>
        <w:rPr>
          <w:rFonts w:ascii="Arial" w:hAnsi="Arial" w:cs="Arial"/>
          <w:color w:val="808080"/>
          <w:sz w:val="28"/>
          <w:szCs w:val="28"/>
        </w:rPr>
        <w:t xml:space="preserve">cobrança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color w:val="595959"/>
          <w:sz w:val="28"/>
          <w:szCs w:val="28"/>
        </w:rPr>
        <w:t xml:space="preserve">R$ 186.366,85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55EBD191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decisão agravada indeferiu o pedido de intimação do executado acerca da penhora, ao fundamento de que o prazo para impugnação flui da publicação do ato de intimação da constrição (CPC 346) e de que cabe à curadoria especial atuar na defesa do executado não comparecido.</w:t>
      </w:r>
    </w:p>
    <w:p w14:paraId="52D3984B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3. O exequente agrava requerendo a reforma da decisão para que se determine a intimação do executado, por edital, acerca da penhora realizada, ao sustentar que o </w:t>
      </w:r>
      <w:r>
        <w:rPr>
          <w:rFonts w:ascii="Arial" w:hAnsi="Arial" w:cs="Arial"/>
          <w:color w:val="808080"/>
          <w:sz w:val="28"/>
          <w:szCs w:val="28"/>
        </w:rPr>
        <w:t xml:space="preserve">CPC</w:t>
      </w:r>
      <w:r>
        <w:rPr>
          <w:rFonts w:ascii="Arial" w:hAnsi="Arial" w:cs="Arial"/>
          <w:color w:val="595959"/>
          <w:sz w:val="28"/>
          <w:szCs w:val="28"/>
        </w:rPr>
        <w:t xml:space="preserve"> 841</w:t>
      </w:r>
      <w:r>
        <w:rPr>
          <w:rFonts w:ascii="Arial" w:hAnsi="Arial" w:cs="Arial"/>
          <w:color w:val="595959"/>
          <w:sz w:val="28"/>
          <w:szCs w:val="28"/>
        </w:rPr>
        <w:t xml:space="preserve"> prevalece sobre a regra geral do </w:t>
      </w:r>
      <w:r>
        <w:rPr>
          <w:rFonts w:ascii="Arial" w:hAnsi="Arial" w:cs="Arial"/>
          <w:color w:val="808080"/>
          <w:sz w:val="28"/>
          <w:szCs w:val="28"/>
        </w:rPr>
        <w:t xml:space="preserve">CPC</w:t>
      </w:r>
      <w:r>
        <w:rPr>
          <w:rFonts w:ascii="Arial" w:hAnsi="Arial" w:cs="Arial"/>
          <w:color w:val="595959"/>
          <w:sz w:val="28"/>
          <w:szCs w:val="28"/>
        </w:rPr>
        <w:t xml:space="preserve"> 346, que a atuação da curadoria especial não substitui </w:t>
      </w:r>
      <w:r>
        <w:rPr>
          <w:rFonts w:ascii="Arial" w:hAnsi="Arial" w:cs="Arial"/>
          <w:color w:val="595959"/>
          <w:sz w:val="28"/>
          <w:szCs w:val="28"/>
        </w:rPr>
        <w:t xml:space="preserve">a intimação do executado e que o executado revel, citado fictamente e sem advogado constituído, deve ser intimado pessoalmente ou, não localizado, por edital.</w:t>
      </w:r>
    </w:p>
    <w:p w14:paraId="1A864F50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2D9D7047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4. A questão em discussão consiste em saber se a atuação de curador especial supre a intimação, acerca da penhora, do executado citado por edital e sem advogado constituído.</w:t>
      </w:r>
    </w:p>
    <w:p w14:paraId="0BE920D3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099CE7A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5. Formalizada a penhora, o executado que não constituiu advogado nos autos deve ser intimado pessoalmente (CPC 841 § 2º), regra específica que não se afasta pela disciplina geral do revel (CPC 346).</w:t>
      </w:r>
    </w:p>
    <w:p w14:paraId="636F3FC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6. O curador especial nomeado ao executado citado fictamente não se equipara a advogado constituído, pois não mantém vínculo de confiança nem possibilidade concreta de comunicação com a parte.</w:t>
      </w:r>
    </w:p>
    <w:p w14:paraId="3DEE1D17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7. Estando o executado em local desconhecido, a intimação acerca da penhora deve ser realizada por edital.</w:t>
      </w:r>
    </w:p>
    <w:p w14:paraId="72DEE1DB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8. A intimação editalícia e a vedação ao levantamento dos valores constritos até o decurso do prazo para impugnação asseguram o contraditório, sem necessidade de suspensão integral do cumprimento de sentença.</w:t>
      </w:r>
    </w:p>
    <w:p w14:paraId="6B8B7AFA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60F9C2BA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9. Deu-se provimento ao agravo de instrumento </w:t>
      </w:r>
      <w:r>
        <w:rPr>
          <w:rFonts w:ascii="Arial" w:hAnsi="Arial" w:cs="Arial"/>
          <w:color w:val="808080"/>
          <w:sz w:val="28"/>
          <w:szCs w:val="28"/>
        </w:rPr>
        <w:t xml:space="preserve">do exequente </w:t>
      </w:r>
      <w:r>
        <w:rPr>
          <w:rFonts w:ascii="Arial" w:hAnsi="Arial" w:cs="Arial"/>
          <w:color w:val="595959"/>
          <w:sz w:val="28"/>
          <w:szCs w:val="28"/>
        </w:rPr>
        <w:t xml:space="preserve">para</w:t>
      </w:r>
      <w:r>
        <w:rPr>
          <w:rFonts w:ascii="Arial" w:hAnsi="Arial" w:cs="Arial"/>
          <w:color w:val="808080"/>
          <w:sz w:val="28"/>
          <w:szCs w:val="28"/>
        </w:rPr>
        <w:t xml:space="preserve">, confirmando a liminar,</w:t>
      </w:r>
      <w:r>
        <w:rPr>
          <w:rFonts w:ascii="Arial" w:hAnsi="Arial" w:cs="Arial"/>
          <w:color w:val="595959"/>
          <w:sz w:val="28"/>
          <w:szCs w:val="28"/>
        </w:rPr>
        <w:t xml:space="preserve"> determinar a intimação do executado, por edital, acerca da penhora realizada, vedado o levantamento dos valores constritos até o decurso do prazo para eventual impugnação.</w:t>
      </w:r>
    </w:p>
    <w:p w14:paraId="68B047CA" w14:textId="77777777" w:rsidR="004B721C" w:rsidRDefault="000C7789">
      <w:pPr>
        <w:keepNext/>
        <w:spacing w:after="0" w:line="360" w:lineRule="auto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4DBEF1A4" w14:textId="77777777" w:rsidR="004B721C" w:rsidRDefault="000C7789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CPC, arts. 346 e 841, § 2º.</w:t>
      </w:r>
    </w:p>
    <w:p w14:paraId="3148F19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2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r>
        <w:rPr>
          <w:rFonts w:ascii="Arial" w:hAnsi="Arial" w:cs="Arial"/>
          <w:color w:val="595959"/>
          <w:sz w:val="26"/>
          <w:szCs w:val="26"/>
        </w:rPr>
        <w:t xml:space="preserve"> STJ, REsp nº 2.086.883/PR, Rel. </w:t>
      </w:r>
      <w:r>
        <w:rPr>
          <w:rFonts w:ascii="Arial" w:hAnsi="Arial" w:cs="Arial"/>
          <w:color w:val="808080"/>
          <w:sz w:val="26"/>
          <w:szCs w:val="26"/>
        </w:rPr>
        <w:t xml:space="preserve">Min.</w:t>
      </w:r>
      <w:r>
        <w:rPr>
          <w:rFonts w:ascii="Arial" w:hAnsi="Arial" w:cs="Arial"/>
          <w:color w:val="595959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Marco</w:t>
      </w:r>
      <w:r>
        <w:rPr>
          <w:rFonts w:ascii="Arial" w:hAnsi="Arial" w:cs="Arial"/>
          <w:color w:val="595959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Buzzi</w:t>
      </w:r>
      <w:r>
        <w:rPr>
          <w:rFonts w:ascii="Arial" w:hAnsi="Arial" w:cs="Arial"/>
          <w:color w:val="595959"/>
          <w:sz w:val="26"/>
          <w:szCs w:val="26"/>
        </w:rPr>
        <w:t xml:space="preserve">, Quarta Turma, j. 16/12/2025, DJEN 19/12/2025; </w:t>
      </w:r>
      <w:r>
        <w:rPr>
          <w:rFonts w:ascii="Arial" w:hAnsi="Arial" w:cs="Arial"/>
          <w:color w:val="595959"/>
          <w:sz w:val="26"/>
          <w:szCs w:val="26"/>
        </w:rPr>
        <w:t xml:space="preserve">TJDFT, Acórdão nº 2043236, Agravo de Instrumento nº 0727492-80.2025.8.07.0000, Rel. Des. Alvaro Ciarlini, 2ª Turma Cível, j. 03/09/2025, DJe 24/09/2025.</w:t>
      </w:r>
      <w:commentRangeEnd w:id="2"/>
      <w:r>
        <w:rPr>
          <w:rStyle w:val="CommentReference"/>
        </w:rPr>
        <w:commentReference w:id="2"/>
      </w:r>
    </w:p>
    <w:p w14:paraId="56687BCD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625ACB" w14:textId="77777777" w:rsidR="004B721C" w:rsidRDefault="000C7789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DA DECISÃO INTERLOCUTÓRIA</w:t>
      </w:r>
    </w:p>
    <w:p w14:paraId="3541BFC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DE DECIDIR</w:t>
      </w:r>
    </w:p>
    <w:p w14:paraId="3666878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Fluência do prazo de impugnação para o executado citado por edital</w:t>
      </w:r>
    </w:p>
    <w:p w14:paraId="1669929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Entendeu que, tendo o executado sido citado por edital, o prazo para impugnação à penhora flui da publicação do ato de intimação da constrição (CPC 346).</w:t>
      </w:r>
    </w:p>
    <w:p w14:paraId="6B2A169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Atuação da curadoria especial</w:t>
      </w:r>
    </w:p>
    <w:p w14:paraId="48B1168A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Afirmou que, não comparecendo o executado, cabe à curadoria especial, se entender pertinente, atuar na defesa de seus interesses, inclusive por impugnação à penhora (CPC 72 II e 841).</w:t>
      </w:r>
    </w:p>
    <w:p w14:paraId="4CBA7FD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DISPOSITIVO</w:t>
      </w:r>
    </w:p>
    <w:p w14:paraId="29C6BDB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Indeferiu o requerimento de intimação do executado acerca da penhora e determinou à Secretaria que certificasse a existência de valores depositados em conta judicial vinculada ao feito.</w:t>
      </w:r>
    </w:p>
    <w:p w14:paraId="4869A758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845B0D7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RELATÓRIO</w:t>
      </w:r>
    </w:p>
    <w:p w14:paraId="449DE1BA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7E96A31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Adoto o relatório da liminar (ID 89372721):</w:t>
      </w:r>
    </w:p>
    <w:p w14:paraId="509BE0E5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70F9E37" w14:textId="00FF4C58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“Trata-se, na origem, de cumprimento de sentença promovido por Banco Bradesco Cartões S.A. contra </w:t>
      </w:r>
      <w:r w:rsidR="00E87154" w:rsidRPr="00E87154">
        <w:rPr>
          <w:rFonts w:ascii="Arial" w:hAnsi="Arial" w:cs="Arial"/>
          <w:i/>
          <w:iCs/>
          <w:color w:val="595959"/>
          <w:sz w:val="26"/>
          <w:szCs w:val="26"/>
        </w:rPr>
        <w:t>Alberto Baum</w:t>
      </w:r>
      <w:r>
        <w:rPr>
          <w:rFonts w:ascii="Arial" w:hAnsi="Arial" w:cs="Arial"/>
          <w:i/>
          <w:iCs/>
          <w:color w:val="595959"/>
          <w:sz w:val="26"/>
          <w:szCs w:val="26"/>
        </w:rPr>
        <w:t>, destinado à satisfação do crédito reconhecido em ação de cobrança, no valor aproximado de R$ 186.366,85.</w:t>
      </w:r>
    </w:p>
    <w:p w14:paraId="7D356278" w14:textId="6A388A90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Juízo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deixou de acolher o requerimento de intimação do executado nos moldes postulados pelo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exequente, por considerar que, tendo ocorrido citação por edital, o prazo para impugnação à penhora começa com a publicação do ato de intimação da constrição, observado o art. 346 do Código de Processo Civil, cabendo à </w:t>
      </w:r>
      <w:r>
        <w:rPr>
          <w:rFonts w:ascii="Arial" w:hAnsi="Arial" w:cs="Arial"/>
          <w:i/>
          <w:iCs/>
          <w:color w:val="595959"/>
          <w:sz w:val="26"/>
          <w:szCs w:val="26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atuar na defesa do executado não comparecido.</w:t>
      </w:r>
    </w:p>
    <w:p w14:paraId="040F822B" w14:textId="5CFE0931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exequente interpõe agravo de instrumento alegando, em síntese, que: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art. 841 do Código de Processo Civil contém disciplina específica sobre a intimação da penhora e prevalece sobre a regra geral do art. 346 do mesmo diploma;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atuação da </w:t>
      </w:r>
      <w:r>
        <w:rPr>
          <w:rFonts w:ascii="Arial" w:hAnsi="Arial" w:cs="Arial"/>
          <w:i/>
          <w:iCs/>
          <w:color w:val="595959"/>
          <w:sz w:val="26"/>
          <w:szCs w:val="26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não substitui a intimação do executado acerca da constrição, pois não existe vínculo de confiança ou comunicação efetiva entre ambos;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3)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executado revel, citado fictamente e sem advogado constituído, deve ser intimado pessoalmente da penhora ou, não sendo localizado, por novo edital;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4)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manutenção da decisão compromete o contraditório, a ampla defesa, a efetividade, a celeridade e a satisfação do crédito, além de poder ocasionar a extinção do processo ou o início da prescrição intercorrente.</w:t>
      </w:r>
    </w:p>
    <w:p w14:paraId="620166BD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 a concessão de efeito suspensivo para sustar a decisão agravada até o julgamento do recurso. No mérito, pede a reforma do pronunciamento judicial, a fim de que seja reconhecida a necessidade de expedição de nova intimação do executado por edital acerca da penhora realizada. (...)”</w:t>
      </w:r>
    </w:p>
    <w:p w14:paraId="6ACF468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CD2DD5A" w14:textId="442D2444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3"/>
      <w:r>
        <w:rPr>
          <w:rFonts w:ascii="Arial" w:hAnsi="Arial" w:cs="Arial"/>
          <w:color w:val="595959"/>
          <w:sz w:val="28"/>
          <w:szCs w:val="28"/>
        </w:rPr>
        <w:t xml:space="preserve">O exequente opôs embargos de declaração</w:t>
      </w:r>
      <w:r>
        <w:rPr>
          <w:rFonts w:ascii="Arial" w:hAnsi="Arial" w:cs="Arial"/>
          <w:color w:val="595959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595959"/>
          <w:sz w:val="28"/>
          <w:szCs w:val="28"/>
        </w:rPr>
        <w:t xml:space="preserve"> foram rejeitados (ID </w:t>
      </w:r>
      <w:r>
        <w:rPr>
          <w:rFonts w:ascii="Arial" w:hAnsi="Arial" w:cs="Arial"/>
          <w:color w:val="808080"/>
          <w:sz w:val="28"/>
          <w:szCs w:val="28"/>
        </w:rPr>
        <w:t xml:space="preserve">286639211 e </w:t>
      </w:r>
      <w:r>
        <w:rPr>
          <w:rFonts w:ascii="Arial" w:hAnsi="Arial" w:cs="Arial"/>
          <w:color w:val="595959"/>
          <w:sz w:val="28"/>
          <w:szCs w:val="28"/>
        </w:rPr>
        <w:t xml:space="preserve">286785635</w:t>
      </w:r>
      <w:r>
        <w:rPr>
          <w:rFonts w:ascii="Arial" w:hAnsi="Arial" w:cs="Arial"/>
          <w:color w:val="595959"/>
          <w:sz w:val="28"/>
          <w:szCs w:val="28"/>
        </w:rPr>
        <w:t xml:space="preserve">, origem).</w:t>
      </w:r>
      <w:commentRangeEnd w:id="3"/>
      <w:r>
        <w:rPr>
          <w:rStyle w:val="CommentReference"/>
        </w:rPr>
        <w:commentReference w:id="3"/>
      </w:r>
    </w:p>
    <w:p w14:paraId="308293D9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C6EB09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4"/>
      <w:r>
        <w:rPr>
          <w:rFonts w:ascii="Arial" w:hAnsi="Arial" w:cs="Arial"/>
          <w:color w:val="595959"/>
          <w:sz w:val="28"/>
          <w:szCs w:val="28"/>
        </w:rPr>
        <w:t>Deferi em parte a antecipação da tutela recursal para determinar que o executado seja intimado por edital acerca da penhora realizada, vedado o levantamento dos valores constritos até o decurso do prazo para eventual impugnação (ID 89372721).</w:t>
      </w:r>
      <w:commentRangeEnd w:id="4"/>
      <w:r>
        <w:rPr>
          <w:rStyle w:val="CommentReference"/>
        </w:rPr>
        <w:commentReference w:id="4"/>
      </w:r>
    </w:p>
    <w:p w14:paraId="5D7A6D7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C781A5" w14:textId="6616ACAC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Contrarrazões ao agravo de instrumento (ID 89697667), em que o</w:t>
      </w:r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 executado</w:t>
      </w:r>
      <w:r>
        <w:rPr>
          <w:rFonts w:ascii="Arial" w:hAnsi="Arial" w:cs="Arial"/>
          <w:color w:val="595959"/>
          <w:sz w:val="28"/>
          <w:szCs w:val="28"/>
        </w:rPr>
        <w:t xml:space="preserve">/agravado</w:t>
      </w:r>
      <w:r>
        <w:rPr>
          <w:rFonts w:ascii="Arial" w:hAnsi="Arial" w:cs="Arial"/>
          <w:color w:val="595959"/>
          <w:sz w:val="28"/>
          <w:szCs w:val="28"/>
        </w:rPr>
        <w:t xml:space="preserve">, por meio da </w:t>
      </w:r>
      <w:r>
        <w:rPr>
          <w:rFonts w:ascii="Arial" w:hAnsi="Arial" w:cs="Arial"/>
          <w:color w:val="595959"/>
          <w:sz w:val="28"/>
          <w:szCs w:val="28"/>
        </w:rPr>
        <w:t xml:space="preserve">C</w:t>
      </w:r>
      <w:r>
        <w:rPr>
          <w:rFonts w:ascii="Arial" w:hAnsi="Arial" w:cs="Arial"/>
          <w:color w:val="595959"/>
          <w:sz w:val="28"/>
          <w:szCs w:val="28"/>
        </w:rPr>
        <w:t xml:space="preserve">urador</w:t>
      </w:r>
      <w:r>
        <w:rPr>
          <w:rFonts w:ascii="Arial" w:hAnsi="Arial" w:cs="Arial"/>
          <w:color w:val="595959"/>
          <w:sz w:val="28"/>
          <w:szCs w:val="28"/>
        </w:rPr>
        <w:t xml:space="preserve">i</w:t>
      </w:r>
      <w:r>
        <w:rPr>
          <w:rFonts w:ascii="Arial" w:hAnsi="Arial" w:cs="Arial"/>
          <w:color w:val="595959"/>
          <w:sz w:val="28"/>
          <w:szCs w:val="28"/>
        </w:rPr>
        <w:t xml:space="preserve">a </w:t>
      </w:r>
      <w:r>
        <w:rPr>
          <w:rFonts w:ascii="Arial" w:hAnsi="Arial" w:cs="Arial"/>
          <w:color w:val="595959"/>
          <w:sz w:val="28"/>
          <w:szCs w:val="28"/>
        </w:rPr>
        <w:t xml:space="preserve">E</w:t>
      </w:r>
      <w:r>
        <w:rPr>
          <w:rFonts w:ascii="Arial" w:hAnsi="Arial" w:cs="Arial"/>
          <w:color w:val="595959"/>
          <w:sz w:val="28"/>
          <w:szCs w:val="28"/>
        </w:rPr>
        <w:t xml:space="preserve">special, </w:t>
      </w:r>
      <w:r>
        <w:rPr>
          <w:rFonts w:ascii="Arial" w:hAnsi="Arial" w:cs="Arial"/>
          <w:color w:val="808080"/>
          <w:sz w:val="28"/>
          <w:szCs w:val="28"/>
        </w:rPr>
        <w:t xml:space="preserve">alega</w:t>
      </w:r>
      <w:r>
        <w:rPr>
          <w:rFonts w:ascii="Arial" w:hAnsi="Arial" w:cs="Arial"/>
          <w:color w:val="595959"/>
          <w:sz w:val="28"/>
          <w:szCs w:val="28"/>
        </w:rPr>
        <w:t xml:space="preserve">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não se opõe à intimação do executado, por edital, acerca da penhora, pois foi citado por edital, permanece em local desconhecido e não há notícia de advogado constituído nem de contato efetivo com a curadoria especial;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deve ser preservado o direito de o executado apresentar impugnação à penhora;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hAnsi="Arial" w:cs="Arial"/>
          <w:color w:val="595959"/>
          <w:sz w:val="28"/>
          <w:szCs w:val="28"/>
        </w:rPr>
        <w:t xml:space="preserve"> os valores bloqueados devem ser mantidos até o decurso do respectivo prazo.</w:t>
      </w:r>
      <w:commentRangeEnd w:id="5"/>
      <w:r>
        <w:rPr>
          <w:rStyle w:val="CommentReference"/>
        </w:rPr>
        <w:commentReference w:id="5"/>
      </w:r>
    </w:p>
    <w:p w14:paraId="4CC56EF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3F7D6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17BBD488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BD52AA4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5BD1A91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551F869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04B3881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677EFA8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AGRAVO DE INSTRUMENTO DO EXEQUENTE, BANCO BRADESCO CARTÕES S.A.</w:t>
      </w:r>
    </w:p>
    <w:p w14:paraId="7231E70E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F79FAF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agravo de instrumento.</w:t>
      </w:r>
    </w:p>
    <w:p w14:paraId="059EECA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EA227B" w14:textId="2CD383EE" w:rsidR="004B721C" w:rsidRDefault="000C7789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AA11AA">
        <w:rPr>
          <w:rFonts w:ascii="Arial" w:hAnsi="Arial" w:cs="Arial"/>
          <w:color w:val="595959"/>
          <w:sz w:val="28"/>
          <w:szCs w:val="28"/>
          <w:highlight w:val="yellow"/>
        </w:rPr>
        <w:t>DA NECESSIDADE DE INTIMAÇÃO DO EXECUTADO CITADO POR EDITAL ACERCA DA PENHORA</w:t>
      </w:r>
    </w:p>
    <w:p w14:paraId="7D3991A9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495FD74" w14:textId="74D0C396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6"/>
      <w:commentRangeStart w:id="7"/>
      <w:r>
        <w:rPr>
          <w:rFonts w:ascii="Arial" w:hAnsi="Arial" w:cs="Arial"/>
          <w:color w:val="595959"/>
          <w:sz w:val="28"/>
          <w:szCs w:val="28"/>
        </w:rPr>
        <w:t xml:space="preserve">O exequente/agravante alega</w:t>
      </w:r>
      <w:r>
        <w:rPr>
          <w:rFonts w:ascii="Arial" w:hAnsi="Arial" w:cs="Arial"/>
          <w:color w:val="595959"/>
          <w:sz w:val="28"/>
          <w:szCs w:val="28"/>
        </w:rPr>
        <w:t xml:space="preserve">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o art. 841 do CPC, que disciplina especificamente a intimação da penhora, prevalece sobre a regra geral do art. 346;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a </w:t>
      </w:r>
      <w:r>
        <w:rPr>
          <w:rFonts w:ascii="Arial" w:hAnsi="Arial" w:cs="Arial"/>
          <w:color w:val="595959"/>
          <w:sz w:val="28"/>
          <w:szCs w:val="28"/>
        </w:rPr>
        <w:t xml:space="preserve">C</w:t>
      </w:r>
      <w:r>
        <w:rPr>
          <w:rFonts w:ascii="Arial" w:hAnsi="Arial" w:cs="Arial"/>
          <w:color w:val="595959"/>
          <w:sz w:val="28"/>
          <w:szCs w:val="28"/>
        </w:rPr>
        <w:t xml:space="preserve">uradoria </w:t>
      </w:r>
      <w:r>
        <w:rPr>
          <w:rFonts w:ascii="Arial" w:hAnsi="Arial" w:cs="Arial"/>
          <w:color w:val="595959"/>
          <w:sz w:val="28"/>
          <w:szCs w:val="28"/>
        </w:rPr>
        <w:t xml:space="preserve">E</w:t>
      </w:r>
      <w:r>
        <w:rPr>
          <w:rFonts w:ascii="Arial" w:hAnsi="Arial" w:cs="Arial"/>
          <w:color w:val="595959"/>
          <w:sz w:val="28"/>
          <w:szCs w:val="28"/>
        </w:rPr>
        <w:t xml:space="preserve">special não mantém vínculo de confiança nem comunicação com o executado, de modo que sua atuação não supre a intimação do devedor acerca da constrição;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hAnsi="Arial" w:cs="Arial"/>
          <w:color w:val="595959"/>
          <w:sz w:val="28"/>
          <w:szCs w:val="28"/>
        </w:rPr>
        <w:t xml:space="preserve"> o executado revel, citado fictamente e sem advogado constituído, deve ser intimado pessoalmente da penhora ou, não localizado, por novo edital;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hAnsi="Arial" w:cs="Arial"/>
          <w:color w:val="595959"/>
          <w:sz w:val="28"/>
          <w:szCs w:val="28"/>
        </w:rPr>
        <w:t xml:space="preserve"> a manutenção da decisão viola o devido processo legal, o contraditório, a ampla defesa, a efetividade e a celeridade processual, além de expor o exequente à extinção do feito ou ao início da prescrição intercor</w:t>
      </w:r>
      <w:r>
        <w:rPr>
          <w:rFonts w:ascii="Arial" w:hAnsi="Arial" w:cs="Arial"/>
          <w:color w:val="595959"/>
          <w:sz w:val="28"/>
          <w:szCs w:val="28"/>
        </w:rPr>
        <w:t xml:space="preserve">rente.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 w14:paraId="292904C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5A87A78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reforma da r. decisão para que seja reconhecida a necessidade de expedição de nova intimação do executado, por edital, acerca da penhora realizada.</w:t>
      </w:r>
    </w:p>
    <w:p w14:paraId="4B6F07F6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D91554F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razão.</w:t>
      </w:r>
    </w:p>
    <w:p w14:paraId="4B82BBF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17123A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8"/>
      <w:r>
        <w:rPr>
          <w:rFonts w:ascii="Arial" w:hAnsi="Arial" w:cs="Arial"/>
          <w:color w:val="595959"/>
          <w:sz w:val="28"/>
          <w:szCs w:val="28"/>
        </w:rPr>
        <w:t xml:space="preserve">Mantenho as razões expostas na decisão liminar </w:t>
      </w:r>
      <w:r>
        <w:rPr>
          <w:rFonts w:ascii="Arial" w:hAnsi="Arial" w:cs="Arial"/>
          <w:color w:val="808080"/>
          <w:sz w:val="28"/>
          <w:szCs w:val="28"/>
        </w:rPr>
        <w:t xml:space="preserve">que deferiu em parte a antecipação da tutela recursal </w:t>
      </w:r>
      <w:r>
        <w:rPr>
          <w:rFonts w:ascii="Arial" w:hAnsi="Arial" w:cs="Arial"/>
          <w:color w:val="595959"/>
          <w:sz w:val="28"/>
          <w:szCs w:val="28"/>
        </w:rPr>
        <w:t xml:space="preserve">(ID 89372721)</w:t>
      </w:r>
      <w:r>
        <w:rPr>
          <w:rFonts w:ascii="Arial" w:hAnsi="Arial" w:cs="Arial"/>
          <w:color w:val="595959"/>
          <w:sz w:val="28"/>
          <w:szCs w:val="28"/>
        </w:rPr>
        <w:t xml:space="preserve">:</w:t>
      </w:r>
      <w:commentRangeEnd w:id="8"/>
      <w:r>
        <w:rPr>
          <w:rStyle w:val="CommentReference"/>
        </w:rPr>
        <w:commentReference w:id="8"/>
      </w:r>
    </w:p>
    <w:p w14:paraId="1C72B237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72B9FF3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“(...) Consta do r. despacho agravado, in verbis:</w:t>
      </w:r>
    </w:p>
    <w:p w14:paraId="5FA4216A" w14:textId="77777777" w:rsidR="004B721C" w:rsidRDefault="000C7789" w:rsidP="005C5659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‘(...) Nada há a prover acerca do requerimento retro.</w:t>
      </w:r>
    </w:p>
    <w:p w14:paraId="36A2CE54" w14:textId="331E57DB" w:rsidR="004B721C" w:rsidRDefault="000C7789" w:rsidP="005C5659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 xml:space="preserve">Isso porque, tratando-se de cumprimento de sentença em que a parte executada foi citada por edital, o prazo para apresentação de impugnação à penhora flui a partir da publicação do ato de intimação da constrição, observado o disposto no art. 346 do CPC. Nessa hipótese, caso a parte executada não compareça aos autos, caberá à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, entendendo pertinente, atuar na defesa de seus interesses, inclusive mediante eventual impugnação à penhora, nos termos dos arts. 72, II, e 841 do CPC.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(...)’ (ID </w:t>
      </w:r>
      <w:r w:rsidR="002B4413" w:rsidRPr="002B4413">
        <w:rPr>
          <w:rFonts w:ascii="Arial" w:hAnsi="Arial" w:cs="Arial"/>
          <w:i/>
          <w:iCs/>
          <w:color w:val="595959"/>
          <w:sz w:val="26"/>
          <w:szCs w:val="26"/>
        </w:rPr>
        <w:t>285769646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origem)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1ED238C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Entretanto, o art. 841, § 2º, do CPC, dispõe que:</w:t>
      </w:r>
    </w:p>
    <w:p w14:paraId="01D99A24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‘Art. 841. Formalizada a penhora por qualquer dos meios legais, dela será imediatamente intimado o executado.</w:t>
      </w:r>
    </w:p>
    <w:p w14:paraId="13FB1B1E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234BFEAE" w14:textId="1851DF68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§ 2º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Se não houver constituído advogado nos autos, o executado será intimado pessoalmente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de preferência por via postal.’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35762D35" w14:textId="509CDC34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A </w:t>
      </w:r>
      <w:r w:rsidR="00727514">
        <w:rPr>
          <w:rFonts w:ascii="Arial" w:hAnsi="Arial" w:cs="Arial"/>
          <w:i/>
          <w:iCs/>
          <w:color w:val="595959"/>
          <w:sz w:val="26"/>
          <w:szCs w:val="26"/>
        </w:rPr>
        <w:t>C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uradoria </w:t>
      </w:r>
      <w:r w:rsidR="00727514">
        <w:rPr>
          <w:rFonts w:ascii="Arial" w:hAnsi="Arial" w:cs="Arial"/>
          <w:i/>
          <w:iCs/>
          <w:color w:val="595959"/>
          <w:sz w:val="26"/>
          <w:szCs w:val="26"/>
        </w:rPr>
        <w:t>E</w:t>
      </w:r>
      <w:r>
        <w:rPr>
          <w:rFonts w:ascii="Arial" w:hAnsi="Arial" w:cs="Arial"/>
          <w:i/>
          <w:iCs/>
          <w:color w:val="595959"/>
          <w:sz w:val="26"/>
          <w:szCs w:val="26"/>
        </w:rPr>
        <w:t>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nomeada ao executado/agravado citado fictamente não se equipara a advogado constituído voluntariamente pela parte.</w:t>
      </w:r>
    </w:p>
    <w:p w14:paraId="11B1157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Não há, nessa hipótese, vínculo de confiança ou possibilidade concreta de comunicação entre o curador e o executado.</w:t>
      </w:r>
    </w:p>
    <w:p w14:paraId="5191F79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Assim, estando o executado em local desconhecido, a intimação deve ser realizada por edital.</w:t>
      </w:r>
    </w:p>
    <w:p w14:paraId="67D4F309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Nesse sentido:</w:t>
      </w:r>
    </w:p>
    <w:p w14:paraId="6F7C9887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‘(...) A situação do executado que constitui advogado de sua livre escolha, estabelecendo com este uma relação de confiança e comunicação,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é substancialmente diversa daquela do executado citado fictamente, em favor de quem é nomeado curador especial, sem que haja qualquer contato entre ambos.</w:t>
      </w:r>
    </w:p>
    <w:p w14:paraId="19F46157" w14:textId="022DE281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Precedente desta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Corte</w:t>
      </w:r>
      <w:r w:rsidR="008D5324"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 Superior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 no sentido de que, em razão da absoluta falta de comunicação entre o curador e o réu revel, não há como presumir que o revel tenha ciência dos atos processuais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</w:t>
      </w:r>
      <w:r w:rsidR="00B517F6" w:rsidRPr="00B517F6">
        <w:rPr>
          <w:rFonts w:ascii="Arial" w:hAnsi="Arial" w:cs="Arial"/>
          <w:i/>
          <w:iCs/>
          <w:color w:val="595959"/>
          <w:sz w:val="26"/>
          <w:szCs w:val="26"/>
        </w:rPr>
        <w:t>REsp 1.009.293/SP, Rel. Ministra Nancy Andrighi, Terceira Turma,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julgado em 06/04/2010).</w:t>
      </w:r>
    </w:p>
    <w:p w14:paraId="4F470878" w14:textId="226A53FB" w:rsidR="004B721C" w:rsidRDefault="000C7789" w:rsidP="004B4CB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Jurisprudência consolidada no sentido de que é necessária a intimação pessoal do réu revel sem advogado constituído para o cumprimento de sentença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</w:t>
      </w:r>
      <w:r w:rsidR="004B4CB9" w:rsidRPr="004B4CB9">
        <w:rPr>
          <w:rFonts w:ascii="Arial" w:hAnsi="Arial" w:cs="Arial"/>
          <w:i/>
          <w:iCs/>
          <w:color w:val="595959"/>
          <w:sz w:val="26"/>
          <w:szCs w:val="26"/>
        </w:rPr>
        <w:t>REsp 1.760.914/SP, Rel. Ministro Paulo</w:t>
      </w:r>
      <w:r w:rsidR="004B4CB9"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="004B4CB9" w:rsidRPr="004B4CB9">
        <w:rPr>
          <w:rFonts w:ascii="Arial" w:hAnsi="Arial" w:cs="Arial"/>
          <w:i/>
          <w:iCs/>
          <w:color w:val="595959"/>
          <w:sz w:val="26"/>
          <w:szCs w:val="26"/>
        </w:rPr>
        <w:t>de Tarso Sanseverino, Terceira Turma</w:t>
      </w:r>
      <w:r>
        <w:rPr>
          <w:rFonts w:ascii="Arial" w:hAnsi="Arial" w:cs="Arial"/>
          <w:i/>
          <w:iCs/>
          <w:color w:val="595959"/>
          <w:sz w:val="26"/>
          <w:szCs w:val="26"/>
        </w:rPr>
        <w:t>, julgado em 02/06/2020, DJe 08/06/2020).</w:t>
      </w:r>
    </w:p>
    <w:p w14:paraId="731CB078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curador especial, ao contrário do advogado constituído pela parte, não possui meios de localizar o executado para cientificá-lo dos atos processuais.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Trata-se de representação processual instituída por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>imposição legal, sem que haja qualquer vínculo de confiança ou possibilidade de comunicação efetiva com a parte.</w:t>
      </w:r>
    </w:p>
    <w:p w14:paraId="2EAAD35F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 interpretação do artigo 841, § 2º, do CPC deve ser sistemática e teleológica, considerando-se a finalidade da norma, que é assegurar a ciência efetiva do executado acerca da constrição patrimonial realizada.</w:t>
      </w:r>
    </w:p>
    <w:p w14:paraId="6A7BAD04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O artigo 186, § 2º, do CPC, ao prever a possibilidade de intimação pessoal da parte assistida pela Defensoria Pública, reforça a compreensão de que a atuação da Defensoria Pública, ainda que na condição de curadora especial, não dispensa, em determinadas situações, a intimação pessoal da parte.</w:t>
      </w:r>
    </w:p>
    <w:p w14:paraId="25A95390" w14:textId="50E8A7AF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 interpretação adotada harmoniza-se com os princípios constitucionais do devido processo legal, da ampla defesa e do contraditório, especialmente quando se trata de parte citada fictamente, cujo paradeiro é desconhecido.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(REsp 2.086.883/PR, Quarta Turma, </w:t>
      </w:r>
      <w:r w:rsidR="00E52A6B" w:rsidRPr="00E52A6B">
        <w:rPr>
          <w:rFonts w:ascii="Arial" w:hAnsi="Arial" w:cs="Arial"/>
          <w:i/>
          <w:iCs/>
          <w:color w:val="595959"/>
          <w:sz w:val="26"/>
          <w:szCs w:val="26"/>
        </w:rPr>
        <w:t>Rel. Min. Marco Buzzi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Julgado: 16/12/2025, DJEN: 19/12/2025)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6BF77E5F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‘(...) 3. No caso ora em exame a Defensoria Pública informou que não obteve êxito em comunicar-se com a parte assistida.</w:t>
      </w:r>
    </w:p>
    <w:p w14:paraId="10B7F228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3.1. A intimação pessoal, nesse contexto, tem por finalidade cientificá-la a respeito da constrição de valores, bem como da possibilidade de futura penhora de bem a ela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>pertencente, com a oportunidade de exercício pleno do contraditório</w:t>
      </w:r>
      <w:r>
        <w:rPr>
          <w:rFonts w:ascii="Arial" w:hAnsi="Arial" w:cs="Arial"/>
          <w:i/>
          <w:iCs/>
          <w:color w:val="595959"/>
          <w:sz w:val="26"/>
          <w:szCs w:val="26"/>
        </w:rPr>
        <w:t>. (...)’</w:t>
      </w:r>
    </w:p>
    <w:p w14:paraId="7BD1B4E1" w14:textId="30C13E2C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(Acórdão 2043236, 0727492-80.2025.8.07.0000, Relator(a): ALVARO CIARLINI, 2ª TURMA CÍVEL, data de julgamento: 03/09/2025, publicado no DJe: 24/09/2025)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503B53AD" w14:textId="77777777" w:rsidR="00095FA7" w:rsidRDefault="00A877A3" w:rsidP="00A877A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A877A3">
        <w:rPr>
          <w:rFonts w:ascii="Arial" w:hAnsi="Arial" w:cs="Arial"/>
          <w:i/>
          <w:iCs/>
          <w:color w:val="595959"/>
          <w:sz w:val="26"/>
          <w:szCs w:val="26"/>
        </w:rPr>
        <w:t>Há, ainda, risco de prosseguimento dos atos expropriatórios e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Pr="00A877A3">
        <w:rPr>
          <w:rFonts w:ascii="Arial" w:hAnsi="Arial" w:cs="Arial"/>
          <w:i/>
          <w:iCs/>
          <w:color w:val="595959"/>
          <w:sz w:val="26"/>
          <w:szCs w:val="26"/>
        </w:rPr>
        <w:t>de eventual levantamento dos valores sem a prévia ciência do executado.</w:t>
      </w:r>
    </w:p>
    <w:p w14:paraId="37151F77" w14:textId="41FADE9F" w:rsidR="004B721C" w:rsidRDefault="000C7789" w:rsidP="00A877A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A suspensão integral do cumprimento de sentença, contudo, não se mostra necessária.</w:t>
      </w:r>
    </w:p>
    <w:p w14:paraId="4064D84B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É suficiente assegurar a intimação editalícia e impedir a transferência definitiva dos valores até o decurso do respectivo prazo. (...)”</w:t>
      </w:r>
    </w:p>
    <w:p w14:paraId="77CA9AB2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344A654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9"/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Dito isso, e não havendo alteração do quadro fático-jurídico delineado nos autos, com a máxima vênia ao </w:t>
      </w:r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d. Juízo de origem, deve ser reformada a r. decisão agravada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para determinar a intimação do executado, por edital, acerca da penhora</w:t>
      </w:r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.</w:t>
      </w:r>
      <w:commentRangeEnd w:id="9"/>
      <w:r>
        <w:rPr>
          <w:rStyle w:val="CommentReference"/>
        </w:rPr>
        <w:commentReference w:id="9"/>
      </w:r>
    </w:p>
    <w:p w14:paraId="5BADC9BE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5216713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5D7C10B4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99AA32" w14:textId="510EE3A0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0"/>
      <w:r>
        <w:rPr>
          <w:rFonts w:ascii="Arial" w:hAnsi="Arial" w:cs="Arial"/>
          <w:color w:val="595959"/>
          <w:sz w:val="28"/>
          <w:szCs w:val="28"/>
        </w:rPr>
        <w:t xml:space="preserve">Ante o exposto, </w:t>
      </w:r>
      <w:r>
        <w:rPr>
          <w:rFonts w:ascii="Arial" w:hAnsi="Arial" w:cs="Arial"/>
          <w:color w:val="808080"/>
          <w:sz w:val="28"/>
          <w:szCs w:val="28"/>
        </w:rPr>
        <w:t xml:space="preserve">reiteradas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vênias</w:t>
      </w:r>
      <w:r>
        <w:rPr>
          <w:rFonts w:ascii="Arial" w:hAnsi="Arial" w:cs="Arial"/>
          <w:color w:val="595959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dou provimento</w:t>
      </w:r>
      <w:r>
        <w:rPr>
          <w:rFonts w:ascii="Arial" w:hAnsi="Arial" w:cs="Arial"/>
          <w:color w:val="595959"/>
          <w:sz w:val="28"/>
          <w:szCs w:val="28"/>
        </w:rPr>
        <w:t xml:space="preserve"> ao agravo de instrumento do exequente, BANCO </w:t>
      </w:r>
      <w:r>
        <w:rPr>
          <w:rFonts w:ascii="Arial" w:hAnsi="Arial" w:cs="Arial"/>
          <w:color w:val="595959"/>
          <w:sz w:val="28"/>
          <w:szCs w:val="28"/>
        </w:rPr>
        <w:t xml:space="preserve">BRADESCO CARTÕES S.A., para</w:t>
      </w:r>
      <w:r>
        <w:rPr>
          <w:rFonts w:ascii="Arial" w:hAnsi="Arial" w:cs="Arial"/>
          <w:color w:val="808080"/>
          <w:sz w:val="28"/>
          <w:szCs w:val="28"/>
        </w:rPr>
        <w:t xml:space="preserve">, confirmando a liminar,</w:t>
      </w:r>
      <w:r>
        <w:rPr>
          <w:rFonts w:ascii="Arial" w:hAnsi="Arial" w:cs="Arial"/>
          <w:color w:val="595959"/>
          <w:sz w:val="28"/>
          <w:szCs w:val="28"/>
        </w:rPr>
        <w:t xml:space="preserve"> determinar a intimação do executado, por edital, acerca da penhora realizada, vedado o levantamento dos valores constritos até o decurso do prazo para eventual impugnação.</w:t>
      </w:r>
      <w:commentRangeEnd w:id="10"/>
      <w:r>
        <w:rPr>
          <w:rStyle w:val="CommentReference"/>
        </w:rPr>
        <w:commentReference w:id="10"/>
      </w:r>
    </w:p>
    <w:p w14:paraId="51233414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E91BD1B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4810867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C5C96F5" w14:textId="77777777" w:rsidR="0094080B" w:rsidRPr="008F212B" w:rsidRDefault="000C7789" w:rsidP="0094080B">
      <w:pPr>
        <w:spacing w:before="100" w:beforeAutospacing="1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>
        <w:rPr>
          <w:rFonts w:ascii="Arial" w:hAnsi="Arial" w:cs="Arial"/>
          <w:color w:val="008000"/>
          <w:sz w:val="28"/>
          <w:szCs w:val="28"/>
        </w:rPr>
        <w:br w:type="page"/>
      </w:r>
      <w:r w:rsidR="0094080B" w:rsidRPr="008F212B">
        <w:rPr>
          <w:rFonts w:ascii="Arial" w:eastAsia="Times New Roman" w:hAnsi="Arial" w:cs="Arial"/>
          <w:color w:val="00B050"/>
          <w:sz w:val="27"/>
          <w:szCs w:val="27"/>
          <w:lang w:eastAsia="pt-BR"/>
        </w:rPr>
        <w:lastRenderedPageBreak/>
        <w:t>Número do processo: </w:t>
      </w:r>
      <w:hyperlink r:id="rId15" w:tooltip="Clique com o botão direito para copiar" w:history="1">
        <w:r w:rsidR="0094080B" w:rsidRPr="008F212B">
          <w:rPr>
            <w:rFonts w:ascii="Arial" w:eastAsia="Times New Roman" w:hAnsi="Arial" w:cs="Arial"/>
            <w:color w:val="538135" w:themeColor="accent6" w:themeShade="BF"/>
            <w:sz w:val="27"/>
            <w:szCs w:val="27"/>
            <w:lang w:eastAsia="pt-BR"/>
          </w:rPr>
          <w:t>0700595-56.2018.8.07.0001</w:t>
        </w:r>
      </w:hyperlink>
    </w:p>
    <w:p w14:paraId="5717F404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</w:rPr>
        <w:t>Classe judicial: CUMPRIMENTO DE SENTENÇA (156)</w:t>
      </w:r>
    </w:p>
    <w:p w14:paraId="4CF93470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</w:rPr>
        <w:t>EXEQUENTE: BANCO BRADESCO CARTOES S.A.</w:t>
      </w:r>
    </w:p>
    <w:p w14:paraId="0F5D979D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</w:rPr>
        <w:t>EXECUTADO: ALBERTO BAUM</w:t>
      </w:r>
    </w:p>
    <w:p w14:paraId="148E1D3B" w14:textId="77777777" w:rsidR="0094080B" w:rsidRPr="008F212B" w:rsidRDefault="0094080B" w:rsidP="009408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538135" w:themeColor="accent6" w:themeShade="BF"/>
          <w:sz w:val="27"/>
          <w:szCs w:val="27"/>
          <w:lang w:eastAsia="pt-BR"/>
        </w:rPr>
        <w:t> </w:t>
      </w:r>
    </w:p>
    <w:p w14:paraId="2B0426F1" w14:textId="77777777" w:rsidR="0094080B" w:rsidRPr="008F212B" w:rsidRDefault="0094080B" w:rsidP="0094080B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b/>
          <w:bCs/>
          <w:color w:val="00B050"/>
          <w:sz w:val="27"/>
          <w:szCs w:val="27"/>
          <w:lang w:eastAsia="pt-BR"/>
        </w:rPr>
        <w:t>DESPACHO</w:t>
      </w:r>
    </w:p>
    <w:p w14:paraId="5956C277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  <w:t> </w:t>
      </w:r>
    </w:p>
    <w:p w14:paraId="706F440B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Nada há a prover acerca do requerimento retro.</w:t>
      </w:r>
    </w:p>
    <w:p w14:paraId="77923AA7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Isso porque, tratando-se de cumprimento de sentença em que a parte executada foi citada por edital, o prazo para apresentação de impugnação à penhora flui a partir da publicação do ato de intimação da constrição, observado o disposto no art. 346 do CPC. Nessa hipótese, caso a parte executada não compareça aos autos, caberá à Curadoria Especial, entendendo pertinente, atuar na defesa de seus interesses, inclusive mediante eventual impugnação à penhora, nos termos dos arts. 72, II, e 841 do CPC.</w:t>
      </w:r>
    </w:p>
    <w:p w14:paraId="3FE0FECC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No mais, considerando o teor do documento de ID </w:t>
      </w:r>
      <w:hyperlink r:id="rId16" w:tgtFrame="_blank" w:tooltip="Clique com o botão direito para copiar" w:history="1">
        <w:r w:rsidRPr="008F212B">
          <w:rPr>
            <w:rFonts w:ascii="Times New Roman" w:eastAsia="Times New Roman" w:hAnsi="Times New Roman" w:cs="Times New Roman"/>
            <w:color w:val="538135" w:themeColor="accent6" w:themeShade="BF"/>
            <w:sz w:val="36"/>
            <w:szCs w:val="36"/>
            <w:lang w:eastAsia="pt-BR"/>
          </w:rPr>
          <w:t>284150329</w:t>
        </w:r>
      </w:hyperlink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, determino que a Secretaria Judicial certifique a existência de valores depositados em conta judicial vinculada ao presente feito.</w:t>
      </w:r>
    </w:p>
    <w:p w14:paraId="359BA1C4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Após, voltem os autos conclusos para decisão.</w:t>
      </w:r>
    </w:p>
    <w:p w14:paraId="2E99A4E3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</w:rPr>
        <w:t>Publique-se apenas para ciência das partes.</w:t>
      </w:r>
    </w:p>
    <w:p w14:paraId="57575348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</w:rPr>
        <w:t>Para cumprimento pela Secretaria Judicial:</w:t>
      </w:r>
    </w:p>
    <w:p w14:paraId="4C22E18C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</w:rPr>
        <w:t>1. certifique-se a existência de valores vinculados ao processo, anexando ao feito extrato da conta judicial;</w:t>
      </w:r>
    </w:p>
    <w:p w14:paraId="7133A361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</w:rPr>
        <w:lastRenderedPageBreak/>
        <w:t>2. cumprida a determinação acima, retorne o processo concluso para decisão.</w:t>
      </w:r>
    </w:p>
    <w:p w14:paraId="650FB32D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  <w:t> </w:t>
      </w:r>
    </w:p>
    <w:p w14:paraId="7A9F85EA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pt-BR"/>
        </w:rPr>
        <w:t>GEILZA FÁTIMA CAVALCANTI DINIZ</w:t>
      </w:r>
    </w:p>
    <w:p w14:paraId="54E14DC1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pt-BR"/>
        </w:rPr>
        <w:t>Juíza de Direito</w:t>
      </w:r>
    </w:p>
    <w:p w14:paraId="6270C6BE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i/>
          <w:iCs/>
          <w:color w:val="00B050"/>
          <w:sz w:val="27"/>
          <w:szCs w:val="27"/>
          <w:lang w:eastAsia="pt-BR"/>
        </w:rPr>
        <w:t>* documento datado e assinado eletronicamente</w:t>
      </w:r>
    </w:p>
    <w:p w14:paraId="4E887941" w14:textId="1B855ADD" w:rsidR="004B721C" w:rsidRDefault="004B721C" w:rsidP="0094080B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64A083C3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7030A0"/>
          <w:sz w:val="28"/>
          <w:szCs w:val="28"/>
        </w:rPr>
      </w:pP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PRECEDENTES</w:t>
      </w:r>
      <w:commentRangeStart w:id="11"/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CONTRÁRIOS</w:t>
      </w:r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AO</w:t>
      </w:r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commentRangeEnd w:id="11"/>
      <w:r>
        <w:rPr>
          <w:rStyle w:val="CommentReference"/>
        </w:rPr>
        <w:commentReference w:id="11"/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VOTO</w:t>
      </w:r>
    </w:p>
    <w:p w14:paraId="7CEBB5D0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7030A0"/>
          <w:sz w:val="28"/>
          <w:szCs w:val="28"/>
        </w:rPr>
      </w:pPr>
    </w:p>
    <w:p w14:paraId="79AAF4EE" w14:textId="77777777" w:rsidR="004B721C" w:rsidRDefault="000C7789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7030A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“(...) 2. A questão em discussão consiste em definir se a implementação da penhora mensal de parte dos proventos do executado é nula pela ausência de intimação pessoal do devedor, revel e sem procurador. III. RAZÕES DE DECIDIR (...) 4. Regularmente citado na fase de conhecimento e permanecendo revel, sem advogado constituído, submeteu-se o executado ao regime do art. 346 do CPC, segundo o qual os prazos fluem da publicação do ato decisório no órgão oficial. 5. Os efeitos da revelia projetam-se sobre a fase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de cumprimento de sentença, afastando, em regra, a exigência de intimação pessoal para os atos executivos subsequentes, ressalvadas hipóteses legais específicas não configuradas no caso. 6. Os arts. 841, § 2º, e 854, § 2º, do CPC não se aplicam automaticamente à hipótese, pois o caso não versa sobre indisponibilidade episódica de ativos financeiros em depósito ou aplicação, mas sobre desconto mensal em proventos implementado em cumprimento a </w:t>
      </w:r>
      <w:r>
        <w:rPr>
          <w:rFonts w:ascii="Arial" w:hAnsi="Arial" w:cs="Arial"/>
          <w:i/>
          <w:iCs/>
          <w:color w:val="800080"/>
          <w:sz w:val="26"/>
          <w:szCs w:val="26"/>
        </w:rPr>
        <w:lastRenderedPageBreak/>
        <w:t>anterior pronunciamento colegiado. (...) IV. DISPOSITIVO 9. Recurs</w:t>
      </w:r>
      <w:r>
        <w:rPr>
          <w:rFonts w:ascii="Arial" w:hAnsi="Arial" w:cs="Arial"/>
          <w:i/>
          <w:iCs/>
          <w:color w:val="800080"/>
          <w:sz w:val="26"/>
          <w:szCs w:val="26"/>
        </w:rPr>
        <w:t>o conhecido e desprovido.”</w:t>
      </w:r>
    </w:p>
    <w:p w14:paraId="2E833EC8" w14:textId="77777777" w:rsidR="004B721C" w:rsidRDefault="000C7789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7030A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>(Acórdão 2135667, 0715832-55.2026.8.07.0000, Relator(a): SANDRA REVES, 7ª TURMA CÍVEL, data de julgamento: 10/06/2026, publicado no DJe: 25/06/2026)</w:t>
      </w:r>
    </w:p>
    <w:sectPr w:rsidR="004B721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30T20:05:00Z" w:initials="OOG">
    <w:p w14:paraId="0DF2D377" w14:textId="77777777" w:rsidR="00CD2E38" w:rsidRDefault="000C7789" w:rsidP="00CD2E38">
      <w:pPr>
        <w:pStyle w:val="Textodecomentrio"/>
      </w:pPr>
      <w:r>
        <w:annotationRef/>
      </w:r>
      <w:r w:rsidR="00CD2E38">
        <w:rPr>
          <w:color w:val="000000"/>
        </w:rPr>
        <w:t xml:space="preserve">Conclusão: 02/10/2026 </w:t>
      </w:r>
    </w:p>
    <w:p w14:paraId="37A739BF" w14:textId="77777777" w:rsidR="00CD2E38" w:rsidRDefault="00CD2E38" w:rsidP="00CD2E38">
      <w:pPr>
        <w:pStyle w:val="Textodecomentrio"/>
      </w:pPr>
      <w:r>
        <w:rPr>
          <w:color w:val="000000"/>
        </w:rPr>
        <w:t xml:space="preserve">Entrega: 30/10/2026 </w:t>
      </w:r>
    </w:p>
    <w:p w14:paraId="2D9AF92F" w14:textId="77777777" w:rsidR="00CD2E38" w:rsidRDefault="00CD2E38" w:rsidP="00CD2E38">
      <w:pPr>
        <w:pStyle w:val="Textodecomentrio"/>
      </w:pPr>
      <w:r>
        <w:rPr>
          <w:color w:val="000000"/>
        </w:rPr>
        <w:t>Certeza: 9</w:t>
      </w:r>
    </w:p>
  </w:comment>
  <w:comment w:id="1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item 1 da ementa passa a “Cumprimento de sentença proposto por…” com o valor entre parênteses (C-27 a, C-3H); remissões legais na forma compacta (C-20); “do exequente” e “confirmando a liminar” no item do dispositivo e no dispositivo (C-3D, C-17); “alega que:” sem “em síntese” no voto (C-30); relatora do REsp 2.086.883/PR completado; título da ementa à esquerda (C-42); decisão anexada em verde 00B050 (C-45); jurisprudência contrária ao final em violeta 800080 com o título “PRECEDENTES CONTRÁRIOS AO VOTO” (C-46).</w:t>
      </w:r>
    </w:p>
  </w:comment>
  <w:comment w:id="2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Conferido no iajus: STJ, REsp 2.086.883/PR, Rel. Min. Marco Buzzi, Quarta Turma, j. 16/12/2025 (relator completado). A data do DJEN (19/12/2025) não veio do iajus: conferir no SCON/STJ (C-52). TJDFT, Acórdão 2043236, proc. 0727492-80.2025.8.07.0000, Rel. Des. Alvaro Ciarlini, 2ª Turma Cível, j. 03/09/2025: processo, relator, turma e data conferidos; o número do acórdão e o DJe não vieram do iajus: conferir no JurisDF (C-52, C-60).</w:t>
      </w:r>
    </w:p>
  </w:comment>
  <w:comment w:id="3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a liminar (ID 89372721) não veio nos autos recebidos. Conferir se os embargos de declaração (ID 286639211 e 286785635, origem) já constam do relatório da liminar transcrito acima; se constarem, suprimir este parágrafo (C-3S).</w:t>
      </w:r>
    </w:p>
  </w:comment>
  <w:comment w:id="4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a liminar não veio nos autos recebidos. O relatório diz “deferi em parte”, mas o voto reforma a decisão nos termos da própria liminar (intimação por edital, com vedação do levantamento); conferir no ID 89372721 qual parte não foi deferida e se o dispositivo precisa ressalvá-la.</w:t>
      </w:r>
    </w:p>
  </w:comment>
  <w:comment w:id="5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Alterei a abertura para a fórmula do perfil AGI, “Contrarrazões ao agravo de instrumento (ID …), em que o … alega que:” (C-54).</w:t>
      </w:r>
    </w:p>
  </w:comment>
  <w:comment w:id="6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Retirei “em síntese” (C-30). Pendência (C-52, C-3W c): o ID da petição do agravo, que deve fechar este parágrafo, não veio nos autos recebidos.</w:t>
      </w:r>
    </w:p>
  </w:comment>
  <w:comment w:id="7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346: “Os prazos contra o revel que não tenha patrono nos autos fluirão da data de publicação do ato decisório no órgão oficial. Parágrafo único. O revel poderá intervir no processo em qualquer fase, recebendo-o no estado em que se encontrar.” (fonte: Planalto). O art. 841, § 2º, está transcrito no corpo, na liminar.</w:t>
      </w:r>
    </w:p>
  </w:comment>
  <w:comment w:id="8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Alterei a fórmula para indicar só o ato (“decisão liminar que deferiu em parte a antecipação da tutela recursal (ID …):”), sem “transcritas a seguir” (C-17, C-20). Mantive a transcrição inteira da liminar (C-17, v42).</w:t>
      </w:r>
    </w:p>
  </w:comment>
  <w:comment w:id="9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Suprimi o parágrafo que repetia a manifestação da Curadoria Especial em contrarrazões, já registrada no relatório (C-17, C-02), e completei o fecho com o comando de intimação por edital, nomeando o que se reforma (C-17 v40, v48). Realcei a frase decisória (C-43).</w:t>
      </w:r>
    </w:p>
  </w:comment>
  <w:comment w:id="10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Acrescentei “confirmando a liminar” (C-17 v30; o comando é o da liminar) e troquei “reiterada a vênia” por “reiteradas as vênias” (perfil AGI, 3).</w:t>
      </w:r>
    </w:p>
  </w:comment>
  <w:comment w:id="11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Jurisprudência em sentido contrário ao voto (7ª Turma Cível, Des. Sandra Reves: revel sem advogado, CPC 346, e desconto mensal em proventos). Fica ao final, em violeta, fora da ementa (C-46, C-53). Pendência (C-52): Acórdão 2135667 (proc. 0715832-55.2026.8.07.0000) não localizado no iajus (CNJ e texto) nem na web (3 tentativas); a ementa íntegra e o DJe devem ser completados no JurisDF.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9AF9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78BE1E" w16cex:dateUtc="2026-10-30T2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9AF92F" w16cid:durableId="3478BE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4009" w14:textId="77777777" w:rsidR="000C7789" w:rsidRDefault="000C7789" w:rsidP="003A42DE">
      <w:pPr>
        <w:spacing w:after="0" w:line="240" w:lineRule="auto"/>
      </w:pPr>
      <w:r>
        <w:separator/>
      </w:r>
    </w:p>
  </w:endnote>
  <w:endnote w:type="continuationSeparator" w:id="0">
    <w:p w14:paraId="249C6A75" w14:textId="77777777" w:rsidR="000C7789" w:rsidRDefault="000C7789" w:rsidP="003A42DE">
      <w:pPr>
        <w:spacing w:after="0" w:line="240" w:lineRule="auto"/>
      </w:pPr>
      <w:r>
        <w:continuationSeparator/>
      </w:r>
    </w:p>
  </w:endnote>
  <w:endnote w:type="continuationNotice" w:id="1">
    <w:p w14:paraId="44D54BC1" w14:textId="77777777" w:rsidR="000C7789" w:rsidRDefault="000C77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38DC" w14:textId="77777777" w:rsidR="00E87154" w:rsidRDefault="00E871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8A65" w14:textId="77777777" w:rsidR="00E87154" w:rsidRDefault="00E871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484D" w14:textId="77777777" w:rsidR="000C7789" w:rsidRDefault="000C7789" w:rsidP="003A42DE">
      <w:pPr>
        <w:spacing w:after="0" w:line="240" w:lineRule="auto"/>
      </w:pPr>
      <w:r>
        <w:separator/>
      </w:r>
    </w:p>
  </w:footnote>
  <w:footnote w:type="continuationSeparator" w:id="0">
    <w:p w14:paraId="5B5BA072" w14:textId="77777777" w:rsidR="000C7789" w:rsidRDefault="000C7789" w:rsidP="003A42DE">
      <w:pPr>
        <w:spacing w:after="0" w:line="240" w:lineRule="auto"/>
      </w:pPr>
      <w:r>
        <w:continuationSeparator/>
      </w:r>
    </w:p>
  </w:footnote>
  <w:footnote w:type="continuationNotice" w:id="1">
    <w:p w14:paraId="26E2C95B" w14:textId="77777777" w:rsidR="000C7789" w:rsidRDefault="000C77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74BB" w14:textId="77777777" w:rsidR="00E87154" w:rsidRDefault="00E871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6F5C" w14:textId="77777777" w:rsidR="00E87154" w:rsidRDefault="00E8715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2071" w14:textId="77777777" w:rsidR="00E87154" w:rsidRDefault="00E871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95FA7"/>
    <w:rsid w:val="000A7009"/>
    <w:rsid w:val="000B0FC6"/>
    <w:rsid w:val="000C1A64"/>
    <w:rsid w:val="000C7789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67B2"/>
    <w:rsid w:val="00137A7E"/>
    <w:rsid w:val="00143475"/>
    <w:rsid w:val="00151611"/>
    <w:rsid w:val="00152CFE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9695A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45D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4413"/>
    <w:rsid w:val="002B6CCD"/>
    <w:rsid w:val="002C2464"/>
    <w:rsid w:val="002C42D2"/>
    <w:rsid w:val="002D0BA1"/>
    <w:rsid w:val="002D127E"/>
    <w:rsid w:val="002D2D56"/>
    <w:rsid w:val="002D3FF3"/>
    <w:rsid w:val="002F13AB"/>
    <w:rsid w:val="002F5FC8"/>
    <w:rsid w:val="00303FAE"/>
    <w:rsid w:val="00307027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50D0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B4CB9"/>
    <w:rsid w:val="004B721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0B43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5659"/>
    <w:rsid w:val="005C69F8"/>
    <w:rsid w:val="005D438E"/>
    <w:rsid w:val="005D6271"/>
    <w:rsid w:val="005E3F4E"/>
    <w:rsid w:val="00600D42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055C1"/>
    <w:rsid w:val="00711FE9"/>
    <w:rsid w:val="007135BF"/>
    <w:rsid w:val="00726567"/>
    <w:rsid w:val="00727514"/>
    <w:rsid w:val="00730800"/>
    <w:rsid w:val="007378F8"/>
    <w:rsid w:val="00744BDF"/>
    <w:rsid w:val="00745507"/>
    <w:rsid w:val="00747706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34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324"/>
    <w:rsid w:val="008D5996"/>
    <w:rsid w:val="008D721A"/>
    <w:rsid w:val="008E143C"/>
    <w:rsid w:val="008F212B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080B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A5EA2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D53C6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877A3"/>
    <w:rsid w:val="00A958AF"/>
    <w:rsid w:val="00A96CB3"/>
    <w:rsid w:val="00A97525"/>
    <w:rsid w:val="00AA11AA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17F6"/>
    <w:rsid w:val="00B525A4"/>
    <w:rsid w:val="00B541EB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C5A30"/>
    <w:rsid w:val="00BC7237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0E8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2E38"/>
    <w:rsid w:val="00CD417F"/>
    <w:rsid w:val="00CE14A0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23ED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2A6B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3503"/>
    <w:rsid w:val="00E84E8A"/>
    <w:rsid w:val="00E85A12"/>
    <w:rsid w:val="00E86190"/>
    <w:rsid w:val="00E864A4"/>
    <w:rsid w:val="00E8715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EBE7C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TJDFT/1g/544197/28415032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https://pje.tjdft.jus.br/pje/seam/resource/rest/pje-legacy/documento/download/28576964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4443F"/>
    <w:rsid w:val="0019695A"/>
    <w:rsid w:val="001B0F6A"/>
    <w:rsid w:val="001E2AC0"/>
    <w:rsid w:val="00277029"/>
    <w:rsid w:val="002C7E0E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5E4FE9"/>
    <w:rsid w:val="007055C1"/>
    <w:rsid w:val="00730800"/>
    <w:rsid w:val="00773803"/>
    <w:rsid w:val="0077693D"/>
    <w:rsid w:val="00791340"/>
    <w:rsid w:val="00816916"/>
    <w:rsid w:val="00855F86"/>
    <w:rsid w:val="008C4978"/>
    <w:rsid w:val="009A52A1"/>
    <w:rsid w:val="009C5448"/>
    <w:rsid w:val="00AB26AC"/>
    <w:rsid w:val="00AD59B1"/>
    <w:rsid w:val="00B9403F"/>
    <w:rsid w:val="00C34425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613FA8-5D5A-4E80-9FFB-0B29EF61306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3c322fa-3349-4907-8969-651e70ebb4f3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2f534-331e-4e70-92cd-100d07c861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8E04DB8916AA45B370E3EF58ABEFFD" ma:contentTypeVersion="15" ma:contentTypeDescription="Crie um novo documento." ma:contentTypeScope="" ma:versionID="f30fbb29e7ea6d5a67b4ec1bbb8550c3">
  <xsd:schema xmlns:xsd="http://www.w3.org/2001/XMLSchema" xmlns:xs="http://www.w3.org/2001/XMLSchema" xmlns:p="http://schemas.microsoft.com/office/2006/metadata/properties" xmlns:ns3="22c2f534-331e-4e70-92cd-100d07c8614e" xmlns:ns4="5787b20b-b18c-4158-b503-24a9916d44e0" targetNamespace="http://schemas.microsoft.com/office/2006/metadata/properties" ma:root="true" ma:fieldsID="8c69f19e8a4065aace009a29be567772" ns3:_="" ns4:_="">
    <xsd:import namespace="22c2f534-331e-4e70-92cd-100d07c8614e"/>
    <xsd:import namespace="5787b20b-b18c-4158-b503-24a9916d44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2f534-331e-4e70-92cd-100d07c861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7b20b-b18c-4158-b503-24a9916d4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22c2f534-331e-4e70-92cd-100d07c8614e"/>
  </ds:schemaRefs>
</ds:datastoreItem>
</file>

<file path=customXml/itemProps3.xml><?xml version="1.0" encoding="utf-8"?>
<ds:datastoreItem xmlns:ds="http://schemas.openxmlformats.org/officeDocument/2006/customXml" ds:itemID="{95DCF950-FFF5-4CD4-A3C4-16FD62C20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2f534-331e-4e70-92cd-100d07c8614e"/>
    <ds:schemaRef ds:uri="5787b20b-b18c-4158-b503-24a9916d4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2352</Words>
  <Characters>12965</Characters>
  <Application>Microsoft Office Word</Application>
  <DocSecurity>0</DocSecurity>
  <Lines>392</Lines>
  <Paragraphs>130</Paragraphs>
  <ScaleCrop>false</ScaleCrop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2026-10-31T00:04:00Z</dcterms:created>
  <dcterms:modified xsi:type="dcterms:W3CDTF">2026-10-31T00:04:00Z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0x010100F58E04DB8916AA45B370E3EF58ABEFFD</vt:lpwstr>
  </property>
  <property fmtid="{D5CDD505-2E9C-101B-9397-08002B2CF9AE}" pid="3" name="MediaServiceImageTags">
    <vt:lpwstr/>
  </property>
</Properties>
</file>