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3D0AF13" w14:textId="77777777" w:rsidTr="65CCD4F6">
        <w:trPr>
          <w:gridAfter w:val="1"/>
          <w:wAfter w:w="219" w:type="dxa"/>
        </w:trPr>
        <w:tc>
          <w:tcPr>
            <w:tcW w:w="2822" w:type="dxa"/>
            <w:hideMark/>
          </w:tcPr>
          <w:p w14:paraId="45B9036B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65C4F2F7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4FA9D86D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commentRangeEnd w:id="0"/>
            <w:r w:rsidR="00AD1497" w:rsidRPr="2DA0D32B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41E0C09D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64A19E7" w14:textId="77777777" w:rsidR="00264107" w:rsidRDefault="00264107" w:rsidP="1D02AE0D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1D02AE0D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GABINETE DO DESEMBARGADOR SÉRGIO ROCHA</w:t>
            </w:r>
            <w:r w:rsidRPr="1D02AE0D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4236F7" w:rsidRPr="009F36E1" w14:paraId="6B3A9614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37D944EB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535BD1F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9A50842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0E9C19D7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585"/>
        </w:trPr>
        <w:tc>
          <w:tcPr>
            <w:tcW w:w="3686" w:type="dxa"/>
            <w:gridSpan w:val="2"/>
            <w:vAlign w:val="center"/>
          </w:tcPr>
          <w:p w14:paraId="419C6FC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29782DEF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0286F61B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0BADFC2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598112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05D6803A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101E500" w14:textId="77777777" w:rsidR="004236F7" w:rsidRPr="009F36E1" w:rsidRDefault="79C2F2AF">
            <w:pPr>
              <w:ind w:right="-675"/>
            </w:pPr>
            <w:r w:rsidRPr="1D02AE0D">
              <w:rPr>
                <w:rFonts w:ascii="Arial" w:hAnsi="Arial" w:cs="Arial"/>
                <w:sz w:val="28"/>
                <w:szCs w:val="28"/>
              </w:rPr>
              <w:t>0727095-84.2026.8.07.0000</w:t>
            </w:r>
          </w:p>
        </w:tc>
      </w:tr>
      <w:tr w:rsidR="004236F7" w:rsidRPr="009F36E1" w14:paraId="1586ABCC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C26D623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28F1F38E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519455B" w14:textId="77777777" w:rsidR="004236F7" w:rsidRPr="009F36E1" w:rsidRDefault="6973583F" w:rsidP="650595E1">
            <w:pPr>
              <w:jc w:val="both"/>
            </w:pPr>
            <w:r w:rsidRPr="1D02AE0D">
              <w:rPr>
                <w:rFonts w:ascii="Arial" w:hAnsi="Arial" w:cs="Arial"/>
                <w:sz w:val="28"/>
                <w:szCs w:val="28"/>
              </w:rPr>
              <w:t>Fernando Henrique Santos Nascimento</w:t>
            </w:r>
          </w:p>
        </w:tc>
      </w:tr>
      <w:tr w:rsidR="004236F7" w:rsidRPr="009F36E1" w14:paraId="6AB55DB3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A796EA0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4F95CED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412CB1FF" w14:textId="77777777" w:rsidR="004236F7" w:rsidRPr="009F36E1" w:rsidRDefault="160C8D89" w:rsidP="650595E1">
            <w:pPr>
              <w:ind w:right="-74"/>
              <w:jc w:val="both"/>
            </w:pPr>
            <w:r w:rsidRPr="1D02AE0D">
              <w:rPr>
                <w:rFonts w:ascii="Arial" w:hAnsi="Arial" w:cs="Arial"/>
                <w:sz w:val="28"/>
                <w:szCs w:val="28"/>
              </w:rPr>
              <w:t>Simone Bento Leite da Silva</w:t>
            </w:r>
          </w:p>
        </w:tc>
      </w:tr>
      <w:tr w:rsidR="004236F7" w:rsidRPr="009F36E1" w14:paraId="27243B7C" w14:textId="77777777" w:rsidTr="65CCD4F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AD8829B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F174155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A324F97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40ABF8A" w14:textId="77777777" w:rsidR="009F4861" w:rsidRDefault="009F4861">
      <w:pPr>
        <w:spacing w:after="0" w:line="360" w:lineRule="auto"/>
        <w:jc w:val="both"/>
      </w:pPr>
    </w:p>
    <w:p w14:paraId="1B62F384" w14:textId="77777777" w:rsidR="009F4861" w:rsidRDefault="00000000">
      <w:pPr>
        <w:spacing w:after="0" w:line="360" w:lineRule="auto"/>
      </w:pPr>
      <w:commentRangeStart w:id="0"/>
      <w:commentRangeStart w:id="1"/>
      <w:commentRangeStart w:id="2"/>
      <w:r>
        <w:rPr>
          <w:rFonts w:ascii="Arial" w:hAnsi="Arial" w:cs="Arial"/>
          <w:b/>
          <w:sz w:val="28"/>
        </w:rPr>
        <w:t xml:space="preserve">EMENTA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3E24D56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AGRAVO DE INSTRUMENTO. DIREITO DE FAMÍLIA E PROCESSUAL CIVIL. AÇÃO DE MODIFICAÇÃO DE GUARDA C/C REGULAMENTAÇÃO DE CONVIVÊNCIA. MUDANÇA DE DOMICÍLIO DA MENOR PARA OUTRO ESTADO. ESTUDO PSICOSSOCIAL PENDENTE. TUTELA DE URGÊNCIA. PRESERVAÇÃO DO </w:t>
      </w:r>
      <w:r>
        <w:rPr>
          <w:rFonts w:ascii="Arial" w:hAnsi="Arial" w:cs="Arial"/>
          <w:color w:val="808080" w:themeColor="background1" w:themeShade="80"/>
          <w:sz w:val="28"/>
          <w:i/>
        </w:rPr>
        <w:t xml:space="preserve">STATUS QUO</w:t>
      </w:r>
      <w:r>
        <w:rPr>
          <w:rFonts w:ascii="Arial" w:hAnsi="Arial" w:cs="Arial"/>
          <w:color w:val="808080" w:themeColor="background1" w:themeShade="80"/>
          <w:sz w:val="28"/>
        </w:rPr>
        <w:t xml:space="preserve">. RECURSO PROVIDO.</w:t>
      </w:r>
    </w:p>
    <w:p w14:paraId="261B06EA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I. Caso em exame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1. Ação de modificação de guarda c/c regulamentação de convivência ajuizada pelo pai contra a mãe, que detém a guarda unilateral da filha de 10 anos, em que se discute a mudança da menor para Fortaleza/CE antes da conclusão do estudo psicossocial.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2. A decisão agravada indeferiu a tutela de urgência, ao fundamento de que, embora plausível o direito do pai, não há perigo de dano em grau suficiente, pois a mãe detém a guarda unilateral e a mudança parece planejada em benefício da criança.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3. O pai agrava sustentando que a mudança unilateral, antes do estudo psicossocial requerido pelo Ministério Público, cria situação de difícil reversão e prejudica o melhor interesse da criança.</w:t>
      </w:r>
    </w:p>
    <w:p w14:paraId="261B06EA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II. Questão em discussão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4. A questão em discussão consiste em saber se estão presentes os requisitos para manter a residência da menor no Distrito Federal até a conclusão do estudo psicossocial, impedindo a mudança para Fortaleza/CE.</w:t>
      </w:r>
    </w:p>
    <w:p w14:paraId="261B06EA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III. Razões de decidir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5. A alteração do domicílio de criança para outro Estado, sem anuência do outro genitor e sem autorização judicial, deve ser examinada com redobrada cautela, e a modificação da guarda ou do lar de referência exige estudo psicossocial, não sendo recomendável em cognição sumária.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6. O perigo de dano decorre da iminência da transferência da menor, com nova rotina, novos vínculos e nova escola, antes da conclusão do estudo psicossocial. Consumada a mudança, a prova técnica incidirá sobre situação consolidada, de difícil reversão, e a competência do Juízo poderá se alterar (ECA, art. 147; Súmula 383/STJ).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7. A tutela recursal tem natureza conservativa: preserva o </w:t>
      </w:r>
      <w:r>
        <w:rPr>
          <w:rFonts w:ascii="Arial" w:hAnsi="Arial" w:cs="Arial"/>
          <w:color w:val="808080" w:themeColor="background1" w:themeShade="80"/>
          <w:sz w:val="28"/>
          <w:i/>
        </w:rPr>
        <w:t xml:space="preserve">status quo</w:t>
      </w:r>
      <w:r>
        <w:rPr>
          <w:rFonts w:ascii="Arial" w:hAnsi="Arial" w:cs="Arial"/>
          <w:color w:val="808080" w:themeColor="background1" w:themeShade="80"/>
          <w:sz w:val="28"/>
        </w:rPr>
        <w:t xml:space="preserve"> até a conclusão do estudo psicossocial, sem antecipar o mérito nem alterar a guarda unilateral atribuída à mãe. A Procuradoria de Justiça opinou pelo provimento do agravo.</w:t>
      </w:r>
    </w:p>
    <w:p w14:paraId="261B06EA" w14:textId="77777777" w:rsidR="009F4861" w:rsidRPr="00AD1497" w:rsidRDefault="00000000">
      <w:pPr>
        <w:spacing w:after="0" w:line="360" w:lineRule="auto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IV. Dispositivo</w:t>
      </w:r>
    </w:p>
    <w:p w14:paraId="75E5119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8. Deu-se provimento ao agravo de instrumento do pai para, confirmando a liminar, determinar a manutenção provisória da residência da menor no Distrito Federal até a conclusão do estudo psicossocial e ulterior deliberação do Juízo de origem. Julgou-se prejudicado o agravo interno.</w:t>
      </w:r>
    </w:p>
    <w:p w14:paraId="1EC9F543" w14:textId="1F6F2A83" w:rsidR="009F4861" w:rsidRPr="00AD1497" w:rsidRDefault="00AD1497">
      <w:pPr>
        <w:spacing w:after="0" w:line="36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________</w:t>
      </w:r>
    </w:p>
    <w:p w14:paraId="44D2DE2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3"/>
      <w:r>
        <w:rPr>
          <w:rFonts w:ascii="Arial" w:hAnsi="Arial" w:cs="Arial"/>
          <w:color w:val="808080" w:themeColor="background1" w:themeShade="80"/>
          <w:sz w:val="26"/>
          <w:i/>
        </w:rPr>
        <w:t xml:space="preserve">Dispositivos relevantes citados: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CPC, art. 300; ECA, art. 147.</w:t>
      </w:r>
      <w:commentRangeEnd w:id="3"/>
      <w:r>
        <w:rPr>
          <w:rStyle w:val="CommentReference"/>
        </w:rPr>
        <w:commentReference w:id="3"/>
      </w:r>
    </w:p>
    <w:p w14:paraId="44D2DE23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4"/>
      <w:r>
        <w:rPr>
          <w:rFonts w:ascii="Arial" w:hAnsi="Arial" w:cs="Arial"/>
          <w:color w:val="808080" w:themeColor="background1" w:themeShade="80"/>
          <w:sz w:val="26"/>
          <w:i/>
        </w:rPr>
        <w:t xml:space="preserve">Jurisprudência relevante citada: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STJ, Súmula 383; TJDFT, Acórdão 2129002, Processo nº 0748371-11.2025.8.07.0000, Rel. Fabrício Fontoura Bezerra, 1ª Turma Cível, j. 20/05/2026, DJe 08/06/2026; TJDFT, Acórdão 2060661, Processo nº 0735176-56.2025.8.07.0000, Rel. Aiston Henrique de Sousa, 4ª Turma Cível, j. 23/10/2025, DJe 11/11/2025.</w:t>
      </w:r>
      <w:commentRangeEnd w:id="4"/>
      <w:r>
        <w:rPr>
          <w:rStyle w:val="CommentReference"/>
        </w:rPr>
        <w:commentReference w:id="4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340ABF8A" w14:textId="77777777" w:rsidR="009F4861" w:rsidRDefault="009F4861">
      <w:pPr>
        <w:spacing w:after="0" w:line="360" w:lineRule="auto"/>
        <w:jc w:val="both"/>
      </w:pPr>
    </w:p>
    <w:p w14:paraId="3CEC04E4" w14:textId="77777777" w:rsidR="009F4861" w:rsidRDefault="00000000">
      <w:pPr>
        <w:spacing w:after="0" w:line="360" w:lineRule="auto"/>
      </w:pPr>
      <w:commentRangeStart w:id="5"/>
      <w:r>
        <w:rPr>
          <w:rFonts w:ascii="Arial" w:hAnsi="Arial" w:cs="Arial"/>
          <w:b/>
          <w:color w:val="EE0000"/>
          <w:sz w:val="28"/>
        </w:rPr>
        <w:t xml:space="preserve">RESUMO DA DECISÃO INTERLOCUTÓRIA EM SENTIDO CONTRÁRIO</w:t>
      </w:r>
      <w:commentRangeEnd w:id="5"/>
      <w:r>
        <w:rPr>
          <w:rStyle w:val="CommentReference"/>
        </w:rPr>
        <w:commentReference w:id="5"/>
      </w:r>
    </w:p>
    <w:p w14:paraId="45847D8A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 xml:space="preserve">I. RAZÕES DE DECIDIR</w:t>
      </w:r>
    </w:p>
    <w:p w14:paraId="06D0E16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 xml:space="preserve">Perigo de dano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 xml:space="preserve">1. O juízo reconheceu elementos que, em tese, apontam a plausibilidade do direito do genitor quanto à participação conjunta nas decisões relevantes da vida da menor, mas não vislumbrou perigo de dano em grau suficiente, por não haver demonstração de risco concreto, atual e irreversível à criança.</w:t>
      </w:r>
    </w:p>
    <w:p w14:paraId="06D0E16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 xml:space="preserve">Razões da mudança e guarda unilateral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 xml:space="preserve">2. O juízo consignou que a genitora explicitou as razões da mudança (ID 278631724), benéficas no aspecto profissional e educacional, e que, atribuída a ela a guarda unilateral, incumbe-lhe a condução das decisões ordinárias da vida da filha.</w:t>
      </w:r>
    </w:p>
    <w:p w14:paraId="06D0E16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 xml:space="preserve">Necessidade de instrução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 xml:space="preserve">3. O juízo registrou que a redefinição da guarda, da residência de referência e do convívio paterno demanda análise aprofundada, não recomendável sem a oitiva da parte contrária e eventual estudo psicossocial.</w:t>
      </w:r>
    </w:p>
    <w:p w14:paraId="45847D8A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 xml:space="preserve">II. DISPOSITIVO DA DECISÃO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 xml:space="preserve">4. Foi indeferida a tutela de urgência (CPC 300).</w:t>
      </w:r>
    </w:p>
    <w:p w14:paraId="16636D08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</w:rPr>
        <w:t xml:space="preserve">5. Foi determinada vista ao Ministério Público.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3D9C806C" w14:textId="77777777" w:rsidR="009F4861" w:rsidRDefault="00000000">
      <w:pPr>
        <w:pageBreakBefore/>
        <w:spacing w:after="0" w:line="360" w:lineRule="auto"/>
        <w:jc w:val="center"/>
      </w:pPr>
      <w:commentRangeStart w:id="6"/>
      <w:r>
        <w:rPr>
          <w:rFonts w:ascii="Arial" w:hAnsi="Arial" w:cs="Arial"/>
          <w:b/>
          <w:sz w:val="28"/>
        </w:rPr>
        <w:t xml:space="preserve">RELATÓRIO</w:t>
      </w:r>
      <w:commentRangeEnd w:id="6"/>
      <w:r>
        <w:rPr>
          <w:rStyle w:val="CommentReference"/>
        </w:rPr>
        <w:commentReference w:id="6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Adoto o relatório da liminar (ID 86021773):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“Trata-se de ação de modificação de guarda c/c regulamentação de convivência ajuizada por F. H. S. N. em face de S. B. L. D. S., tendo por objeto a definição do regime de guarda e convivência da menor I. M. S. N. (10 anos).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O Juízo de origem indeferiu o pedido de tutela de urgência por meio do qual se pretendia impedir a alteração do domicílio da menor para outro Estado (Fortaleze/CE), ao fundamento de que, embora presente a plausibilidade do direito invocado, não restou demonstrado perigo de dano em grau suficiente, destacando que a genitora detém guarda unilateral e que a mudança aparenta ter sido planejada em benefício da criança, recomendando-se maior dilação probatória.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Irresignado, o autor interpôs o presente agravo de instrumento alegando, em síntese, que: </w:t>
      </w:r>
      <w:r>
        <w:rPr>
          <w:rFonts w:ascii="Arial" w:hAnsi="Arial" w:cs="Arial"/>
          <w:i/>
          <w:color w:val="808080" w:themeColor="background1" w:themeShade="80"/>
          <w:sz w:val="26"/>
          <w:b/>
        </w:rPr>
        <w:t xml:space="preserve">1)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mantém convivência próxima, contínua e efetiva com a filha, com vínculos afetivos sólidos também com a família paterna; </w:t>
      </w:r>
      <w:r>
        <w:rPr>
          <w:rFonts w:ascii="Arial" w:hAnsi="Arial" w:cs="Arial"/>
          <w:i/>
          <w:color w:val="808080" w:themeColor="background1" w:themeShade="80"/>
          <w:sz w:val="26"/>
          <w:b/>
        </w:rPr>
        <w:t xml:space="preserve">2)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a mudança para outro Estado decorre de decisão unilateral da genitora, sem consenso parental; </w:t>
      </w:r>
      <w:r>
        <w:rPr>
          <w:rFonts w:ascii="Arial" w:hAnsi="Arial" w:cs="Arial"/>
          <w:i/>
          <w:color w:val="808080" w:themeColor="background1" w:themeShade="80"/>
          <w:sz w:val="26"/>
          <w:b/>
        </w:rPr>
        <w:t xml:space="preserve">3)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a realização de estudo psicossocial foi determinada, sendo necessário preservar o status quo até sua conclusão; </w:t>
      </w:r>
      <w:r>
        <w:rPr>
          <w:rFonts w:ascii="Arial" w:hAnsi="Arial" w:cs="Arial"/>
          <w:i/>
          <w:color w:val="808080" w:themeColor="background1" w:themeShade="80"/>
          <w:sz w:val="26"/>
          <w:b/>
        </w:rPr>
        <w:t xml:space="preserve">4)</w:t>
      </w:r>
      <w:r>
        <w:rPr>
          <w:rFonts w:ascii="Arial" w:hAnsi="Arial" w:cs="Arial"/>
          <w:i/>
          <w:color w:val="808080" w:themeColor="background1" w:themeShade="80"/>
          <w:sz w:val="26"/>
        </w:rPr>
        <w:t xml:space="preserve"> a efetivação da mudança antes da instrução probatória comprometerá o resultado útil do processo, criando situação de difícil reversão e prejudicando o melhor interesse da criança.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Requer a concessão de efeito suspensivo para impedir a mudança de domicílio da menor e a transferência escolar até o julgamento do recurso, bem como, ao final, a reforma da decisão agravada.”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Deferi a antecipação da tutela recursal para determinar a manutenção provisória da residência da menor I. M. S. N. no Distrito Federal até, ao menos, a conclusão do estudo psicossocial e ulterior deliberação judicial (ID 86021773).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Em contrarrazões, a agravada sustenta que: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1)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decisão agravada observou o art. 300 do CPC, pois não há risco concreto, atual e irreversível à menor;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2)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mudança decorre do exercício regular da guarda unilateral e se funda em razões profissionais e educacionais;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3)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guarda compartilhada é, em princípio, inviável diante da litigiosidade entre os genitores; e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4)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convivência paterna já era frágil, com resistência da própria criança, e a controvérsia deve ser resolvida após ampla instrução (ID 86930498).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A agravada interpôs, ainda, agravo interno contra a liminar, recebido por fungibilidade (ID 87690763), no qual sustenta que: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1)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liminar reformou, sem contraditório prévio, decisão que examinou corretamente a ausência de perigo de dano;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2)</w:t>
      </w:r>
      <w:r>
        <w:rPr>
          <w:rFonts w:ascii="Arial" w:hAnsi="Arial" w:cs="Arial"/>
          <w:color w:val="808080" w:themeColor="background1" w:themeShade="80"/>
          <w:sz w:val="28"/>
        </w:rPr>
        <w:t xml:space="preserve"> não sobreveio laudo, relatório social ou prova pericial;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3)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mudança é exercício regular do poder familiar pela guardiã, e a menor foi aprovada em colégios de Fortaleza; e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4)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manutenção da medida causa dano inverso à genitora, desempregada. Requer a revogação da liminar ou, subsidiariamente, a intimação prévia, a regulamentação provisória da convivência com a residência em Fortaleza e o prosseguimento do estudo psicossocial independentemente da localidade da menor.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A Procuradoria de Justiça opinou pelo conhecimento e provimento do agravo de instrumento (ID 87996551).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E9A4C58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É o relatório.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340ABF8A" w14:textId="77777777" w:rsidR="009F4861" w:rsidRDefault="009F4861">
      <w:pPr>
        <w:spacing w:after="0" w:line="360" w:lineRule="auto"/>
        <w:jc w:val="both"/>
      </w:pPr>
    </w:p>
    <w:p w14:paraId="14D83BF3" w14:textId="77777777" w:rsidR="009F4861" w:rsidRPr="00AD1497" w:rsidRDefault="00000000">
      <w:pPr>
        <w:spacing w:after="0" w:line="360" w:lineRule="auto"/>
        <w:jc w:val="center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VOTO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4CCCEEFA" w14:textId="77777777" w:rsidR="009F4861" w:rsidRPr="00AD1497" w:rsidRDefault="00000000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O Senhor Desembargador SÉRGIO ROCHA – Relator.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205722A5" w14:textId="77777777" w:rsidR="009F4861" w:rsidRPr="00AD1497" w:rsidRDefault="00000000">
      <w:pPr>
        <w:spacing w:after="0" w:line="360" w:lineRule="auto"/>
        <w:jc w:val="center"/>
        <w:rPr>
          <w:color w:val="808080" w:themeColor="background1" w:themeShade="80"/>
        </w:rPr>
      </w:pPr>
      <w:r>
        <w:rPr>
          <w:rFonts w:ascii="Arial" w:hAnsi="Arial" w:cs="Arial"/>
          <w:b/>
          <w:color w:val="808080" w:themeColor="background1" w:themeShade="80"/>
          <w:sz w:val="28"/>
        </w:rPr>
        <w:t xml:space="preserve">AGRAVO DE INSTRUMENTO DO AUTOR, F. H. S. N.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7"/>
      <w:r>
        <w:rPr>
          <w:rFonts w:ascii="Arial" w:hAnsi="Arial" w:cs="Arial"/>
          <w:color w:val="808080" w:themeColor="background1" w:themeShade="80"/>
          <w:sz w:val="28"/>
        </w:rPr>
        <w:t xml:space="preserve">Presentes os pressupostos de admissibilidade, conheço do agravo de instrumento.</w:t>
      </w:r>
      <w:commentRangeEnd w:id="7"/>
      <w:r>
        <w:rPr>
          <w:rStyle w:val="CommentReference"/>
        </w:rPr>
        <w:commentReference w:id="7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4F757CC8" w14:textId="77777777" w:rsidR="009F4861" w:rsidRPr="00AD1497" w:rsidRDefault="00000000">
      <w:pPr>
        <w:keepNext/>
        <w:spacing w:after="0" w:line="360" w:lineRule="auto"/>
        <w:jc w:val="center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  <w:highlight w:val="yellow"/>
        </w:rPr>
        <w:t xml:space="preserve">DA MANUTENÇÃO PROVISÓRIA DA RESIDÊNCIA DA MENOR NO DISTRITO FEDERAL ATÉ A CONCLUSÃO DO ESTUDO PSICOSSOCIAL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8"/>
      <w:r>
        <w:rPr>
          <w:rFonts w:ascii="Arial" w:hAnsi="Arial" w:cs="Arial"/>
          <w:color w:val="808080" w:themeColor="background1" w:themeShade="80"/>
          <w:sz w:val="28"/>
        </w:rPr>
        <w:t xml:space="preserve">O autor/agravante alega que: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1)</w:t>
      </w:r>
      <w:r>
        <w:rPr>
          <w:rFonts w:ascii="Arial" w:hAnsi="Arial" w:cs="Arial"/>
          <w:color w:val="808080" w:themeColor="background1" w:themeShade="80"/>
          <w:sz w:val="28"/>
        </w:rPr>
        <w:t xml:space="preserve"> mantém convivência próxima, contínua e efetiva com a filha, com vínculos afetivos sólidos também com a família paterna;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2)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mudança para outro Estado decorre de decisão unilateral da genitora, sem consenso parental;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3)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realização de estudo psicossocial foi determinada, sendo necessário preservar o </w:t>
      </w:r>
      <w:r>
        <w:rPr>
          <w:rFonts w:ascii="Arial" w:hAnsi="Arial" w:cs="Arial"/>
          <w:color w:val="808080" w:themeColor="background1" w:themeShade="80"/>
          <w:sz w:val="28"/>
          <w:i/>
        </w:rPr>
        <w:t xml:space="preserve">status quo</w:t>
      </w:r>
      <w:r>
        <w:rPr>
          <w:rFonts w:ascii="Arial" w:hAnsi="Arial" w:cs="Arial"/>
          <w:color w:val="808080" w:themeColor="background1" w:themeShade="80"/>
          <w:sz w:val="28"/>
        </w:rPr>
        <w:t xml:space="preserve"> até sua conclusão; e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4)</w:t>
      </w:r>
      <w:r>
        <w:rPr>
          <w:rFonts w:ascii="Arial" w:hAnsi="Arial" w:cs="Arial"/>
          <w:color w:val="808080" w:themeColor="background1" w:themeShade="80"/>
          <w:sz w:val="28"/>
        </w:rPr>
        <w:t xml:space="preserve"> a efetivação da mudança antes da instrução probatória comprometerá o resultado útil do processo, criando situação de difícil reversão e prejudicando o melhor interesse da criança (ID 85858440).</w:t>
      </w:r>
      <w:commentRangeEnd w:id="8"/>
      <w:r>
        <w:rPr>
          <w:rStyle w:val="CommentReference"/>
        </w:rPr>
        <w:commentReference w:id="8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  <w:highlight w:val="yellow"/>
        </w:rPr>
        <w:t xml:space="preserve">Com razão.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Mantenho as razões expostas na decisão que deferiu a antecipação da tutela recursal (ID 86021773):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“Com razão, inicialmente, o agravante.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Vislumbro a probabilidade do direito alegado, ao menos nesta sede de cognição sumária.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Consta da r. decisão agravada: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‘(...) No caso concreto, embora se reconheça a existência de elementos que, em tese, apontem para a plausibilidade do direito invocado pelo genitor, especialmente quanto à necessidade de participação conjunta nas decisões relevantes da vida da menor, não se vislumbra, neste momento processual, a presença do requisito do perigo de dano em grau suficiente para autorizar a medida excepcional pleiteada. Isso porque não há demonstração de que a mudança pretendida importe risco concreto, atual e irreversível à integridade física, psíquica ou ao desenvolvimento da criança, tampouco elemento que evidencie prejuízo imediato ao seu melhor interesse.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Ao contrário, infere-se dos elementos trazidos aos autos que a genitora explicitou as razões que embasam a mudança ID 278631724, indicando que a alteração de domicílio se mostra benéfica tanto sob o aspecto profissional quanto em relação às oportunidades educacionais da menor, revelando planejamento prévio e preocupação com o bem-estar da criança. Nesse cenário, considerando que a guarda unilateral foi anteriormente atribuída à genitora, a quem incumbe, no cotidiano, a condução das decisões ordinárias da vida da filha, não se vislumbra, em cognição sumária, óbice à pretensão de mudança de domicílio, ausente, por ora, prova de que a medida se revela prejudicial à menor.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Ressalte-se que as questões atinentes à redefinição da guarda, à fixação da residência de referência e à eventual limitação ou reorganização do convívio paterno demandam análise aprofundada do contexto fático, não sendo recomendável sua antecipação sem a oitiva da parte contrária e eventual realização de estudo psicossocial. Assim, a mera alegação de convivência próxima entre pai e filha, embora relevante, não constitui, por si só, fundamento suficiente para a concessão da medida de urgência. (...)’ (ID 278693604, origem) – Grifei.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Vê-se que a própria decisão agravada reconhece a plausibilidade do direito invocado pelo genitor, especialmente quanto à necessidade de participação conjunta nas decisões relevantes da vida da menor, embora tenha afastado, naquele momento, a configuração do perigo de dano.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Todavia, o perigo de dano emerge da iminência da transferência da criança para outro Estado da Federação, com reorganização completa de sua rotina, estabelecimento de novos vínculos sociais e matrícula em nova instituição de ensino, antes da conclusão do estudo psicossocial já requerido pelo Ministério Público (ID 279896606, origem).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Confira-se trecho da manifestação do Parquet nos autos de origem: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‘Antes da designação de audiência de instrução e julgamento, para a oitiva das partes e das testemunhas oportunamente arroladas, requer o Ministério Público a realização do indispensável estudo psicossocial do caso, a fim de que seja verificado se o compartilhamento da guarda é viável e se a mudança de Isabella Maria para outra unidade da Federação será benéfica, ou não, para a menor.’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Ora, uma vez consumada a mudança, a prova técnica passará a incidir sobre quadro fático já consolidado, circunstância que reduz a utilidade do processo principal e dificulta eventual retorno ao estado anterior, em potencial prejuízo ao melhor interesse da menor.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A jurisprudência deste e. Tribunal tem afirmado que a alteração unilateral de domicílio de criança, sem anuência do outro genitor e sem autorização judicial, deve ser analisada com redobrada cautela, sobretudo quando possa comprometer a convivência familiar e a estabilidade emocional da menor.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Nesse sentido: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‘(...) 4. O reiterado descumprimento, pela genitora, de decisão judicial que assegurava a comunicação entre pai e filha evidencia comportamento que compromete o vínculo familiar e o equilíbrio emocional da menor. 5. O conjunto probatório, incluindo mensagens e relatório psicológico, indica ambiente de elevada conflituosidade parental e fragilidade emocional da adolescente, recomendando cautela e manutenção da medida até melhor instrução. 6. A alteração sucessiva do lar de referência, sem suporte técnico adequado, pode agravar a instabilidade emocional da menor e contrariar seu interesse atual. 7. A ausência de estudo psicossocial aprofundado impede a modificação da medida em sede de cognição sumária, sendo necessária dilação probatória na origem. (...)’ (Acórdão 2129002, 0748371-11.2025.8.07.0000, Relator(a): FABRÍCIO FONTOURA BEZERRA, 1ª TURMA CÍVEL, data de julgamento: 20/05/2026, publicado no DJe: 08/06/2026.) – Grifei.</w:t>
      </w:r>
    </w:p>
    <w:p w14:paraId="44FD0D81" w14:textId="77777777" w:rsidR="009F4861" w:rsidRPr="00AD149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‘(...) 6. A alteração abrupta da guarda, com mudança de domicílio, exige dilação probatória, estudo psicossocial e oitiva do menor, não sendo recomendável em sede de cognição sumária. (...)’ (Acórdão 2060661, 0735176-56.2025.8.07.0000, Relator(a): AISTON HENRIQUE DE SOUSA, 4ª TURMA CÍVEL, data de julgamento: 23/10/2025, publicado no DJe: 11/11/2025.) – Grifei.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Inclusive, a alteração do domicílio da menor poderá alterar, também, a própria competência do Juízo para processar e julgar a demanda, a teor do art. 147 do ECA e da Súmula 383/STJ (‘A competência para processar e julgar as ações conexas de interesse de menor é, em princípio, do foro do domicílio do detentor de sua guarda’).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Não ignoro que a guarda unilateral foi anteriormente atribuída à genitora, nem que a controvérsia de fundo — inclusive quanto à eventual guarda compartilhada e ao lar de referência — reclama contraditório e instrução adequada.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Por isso mesmo, a tutela recursal ora deferida deve possuir natureza estritamente conservativa, sem antecipar o mérito da ação originária nem promover, desde já, alteração definitiva do regime de guarda.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Nessa perspectiva, a medida adequada consiste em preservar o status quo até a conclusão do estudo psicossocial e ulterior deliberação do juízo de origem, obstando-se, por ora, a alteração do domicílio da menor para fora do Distrito Federal e a respectiva transferência escolar para outro Estado.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Eventual conclusão em sentido contrário demanda uma análise mais detida da questão e recomenda a instauração do prévio contraditório.</w:t>
      </w:r>
    </w:p>
    <w:p w14:paraId="0236960B" w14:textId="77777777" w:rsidR="009F4861" w:rsidRPr="00AD149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>
        <w:rPr>
          <w:rFonts w:ascii="Arial" w:hAnsi="Arial" w:cs="Arial"/>
          <w:i/>
          <w:color w:val="808080" w:themeColor="background1" w:themeShade="80"/>
          <w:sz w:val="26"/>
        </w:rPr>
        <w:t xml:space="preserve">Ante o exposto, com a máxima vênia, defiro a antecipação da tutela recursal para determinar a manutenção provisória da residência da menor I. M. S. N. no Distrito Federal até, ao menos, a conclusão do estudo psicossocial e ulterior deliberação judicial.”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9"/>
      <w:r>
        <w:rPr>
          <w:rFonts w:ascii="Arial" w:hAnsi="Arial" w:cs="Arial"/>
          <w:color w:val="808080" w:themeColor="background1" w:themeShade="80"/>
          <w:sz w:val="28"/>
        </w:rPr>
        <w:t xml:space="preserve">Dito isso, e não havendo alteração do quadro fático-jurídico delineado nos autos, com a máxima vênia ao d. Juízo de origem, deve ser reformada a r. decisão agravada, pois estão presentes a probabilidade do direito e o perigo de dano para manter a residência da menor I. M. S. N. no Distrito Federal até a conclusão do estudo psicossocial (CPC 300).</w:t>
      </w:r>
      <w:commentRangeEnd w:id="9"/>
      <w:r>
        <w:rPr>
          <w:rStyle w:val="CommentReference"/>
        </w:rPr>
        <w:commentReference w:id="9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As contrarrazões e o agravo interno não trazem elemento novo que altere esse quadro, pois não sobreveio o estudo psicossocial, cuja conclusão é o termo da medida, de natureza apenas conservativa. A Procuradoria de Justiça opina no mesmo sentido (ID 87996551).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4F757CC8" w14:textId="77777777" w:rsidR="009F4861" w:rsidRPr="00AD1497" w:rsidRDefault="00000000">
      <w:pPr>
        <w:keepNext/>
        <w:spacing w:after="0" w:line="360" w:lineRule="auto"/>
        <w:jc w:val="center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  <w:b/>
        </w:rPr>
        <w:t xml:space="preserve">DISPOSITIVO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10"/>
      <w:r>
        <w:rPr>
          <w:rFonts w:ascii="Arial" w:hAnsi="Arial" w:cs="Arial"/>
          <w:color w:val="808080" w:themeColor="background1" w:themeShade="80"/>
          <w:sz w:val="28"/>
        </w:rPr>
        <w:t xml:space="preserve">Ante o exposto, reiteradas as vênias, </w:t>
      </w:r>
      <w:r>
        <w:rPr>
          <w:rFonts w:ascii="Arial" w:hAnsi="Arial" w:cs="Arial"/>
          <w:color w:val="808080" w:themeColor="background1" w:themeShade="80"/>
          <w:sz w:val="28"/>
          <w:b/>
        </w:rPr>
        <w:t xml:space="preserve">dou provimento</w:t>
      </w:r>
      <w:r>
        <w:rPr>
          <w:rFonts w:ascii="Arial" w:hAnsi="Arial" w:cs="Arial"/>
          <w:color w:val="808080" w:themeColor="background1" w:themeShade="80"/>
          <w:sz w:val="28"/>
        </w:rPr>
        <w:t xml:space="preserve"> ao agravo de instrumento do autor, F. H. S. N., para, confirmando a liminar, determinar a manutenção provisória da residência da menor I. M. S. N. no Distrito Federal até a conclusão do estudo psicossocial e ulterior deliberação do Juízo de origem, e julgo prejudicado o agravo interno.</w:t>
      </w:r>
      <w:commentRangeEnd w:id="10"/>
      <w:r>
        <w:rPr>
          <w:rStyle w:val="CommentReference"/>
        </w:rPr>
        <w:commentReference w:id="10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1E66CE86" w14:textId="77777777" w:rsidR="009F4861" w:rsidRPr="00AD149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  <w:sz w:val="28"/>
        </w:rPr>
        <w:t xml:space="preserve">É como voto.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commentRangeStart w:id="11"/>
      <w:r>
        <w:rPr>
          <w:rFonts w:ascii="Arial" w:hAnsi="Arial" w:cs="Arial"/>
          <w:color w:val="00B050"/>
        </w:rPr>
        <w:t xml:space="preserve">Número do processo: 0701041-57.2026.8.07.0008</w:t>
      </w:r>
      <w:commentRangeEnd w:id="11"/>
      <w:r>
        <w:rPr>
          <w:rStyle w:val="CommentReference"/>
        </w:rPr>
        <w:commentReference w:id="11"/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1BB9B5E" w14:textId="77777777" w:rsidR="009F4861" w:rsidRDefault="00000000">
      <w:pPr>
        <w:spacing w:after="0" w:line="360" w:lineRule="auto"/>
        <w:jc w:val="center"/>
      </w:pPr>
      <w:r>
        <w:rPr>
          <w:rFonts w:ascii="Arial" w:hAnsi="Arial" w:cs="Arial"/>
          <w:b/>
          <w:color w:val="00B050"/>
        </w:rPr>
        <w:t xml:space="preserve">DECISÃO INTERLOCUTÓRIA (ID 278693604)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A parte autora formula pedido de tutela de urgência na superveniência de fato novo consistente na iminente mudança da genitora para a cidade de Fortaleza/CE, com a intenção de levar consigo a filha menor, circunstância que deixou de ser mera hipótese para se tornar situação concreta e em fase de implementação, inclusive com planejamento de matrícula escolar na nova localidade e previsão de início no próximo semestre letivo. Sustenta que a criança mantém convivência ampla, contínua e consolidada com o genitor e com a família paterna, de modo que a retirada abrupta do Distrito Federal implicará ruptura da convivência paterna cotidiana, reduzida a contatos esporádicos, além de prejuízos emocionais decorrentes do afastamento e da alteração do ambiente familiar já estabilizado. Alega que a alteração do domicílio da criança depende do consentimento de ambos os genitores, não podendo ser realizada unilateralmente pela genitora, sobretudo quando compromete o convívio familiar paterno já estabelecido. Ao final, pede a concessão de tutela de urgência, inclusive inaudita altera pars, para determinar que a genitora se abstenha de alterar o domicílio da menor para outro Estado sem autorização judicial, bem como, subsidiariamente, a permanência provisória da criança no Distrito Federal, a fixação provisória da guarda compartilhada, a manutenção do Distrito Federal como residência de referência, a proibição de transferência escolar sem autorização paterna ou judicial e a imposição de multa diária em caso de descumprimento.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É o relatório. Decido.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Verifico que a pretensão se amolda ao conceito de tutela de urgência, uma das modalidades de tutela provisória prevista no art. 294 e seguintes do Código de Processo Civil. Para a sua concessão, exige-se a presença concomitante da probabilidade do direito e do perigo de dano ou risco ao resultado útil do processo, na forma do art. 300 do CPC.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No caso concreto, embora se reconheça a existência de elementos que, em tese, apontem para a plausibilidade do direito invocado pelo genitor, especialmente quanto à necessidade de participação conjunta nas decisões relevantes da vida da menor, não se vislumbra, neste momento processual, a presença do requisito do perigo de dano em grau suficiente para autorizar a medida excepcional pleiteada. Isso porque não há demonstração de que a mudança pretendida importe risco concreto, atual e irreversível à integridade física, psíquica ou ao desenvolvimento da criança, tampouco elemento que evidencie prejuízo imediato ao seu melhor interesse. Ao contrário, infere-se dos elementos trazidos aos autos que a genitora explicitou as razões que embasam a mudança ID 278631724, indicando que a alteração de domicílio se mostra benéfica tanto sob o aspecto profissional quanto em relação às oportunidades educacionais da menor, revelando planejamento prévio e preocupação com o bem-estar da criança. Nesse cenário, considerando que a guarda unilateral foi anteriormente atribuída à genitora, a quem incumbe, no cotidiano, a condução das decisões ordinárias da vida da filha, não se vislumbra, em cognição sumária, óbice à pretensão de mudança de domicílio, ausente, por ora, prova de que a medida se revela prejudicial à menor.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Ressalte-se que as questões atinentes à redefinição da guarda, à fixação da residência de referência e à eventual limitação ou reorganização do convívio paterno demandam análise aprofundada do contexto fático, não sendo recomendável sua antecipação sem a oitiva da parte contrária e eventual realização de estudo psicossocial. Assim, a mera alegação de convivência próxima entre pai e filha, embora relevante, não constitui, por si só, fundamento suficiente para a concessão da medida de urgência. Dessa forma, em sede de cognição sumária, não há espaço para a concessão da tutela de urgência, que somente poderá ser apreciada com maior segurança após a regular instrução do feito, sobretudo diante da sensibilidade da matéria e dos reflexos diretos na vida da menor.</w:t>
      </w:r>
    </w:p>
    <w:p w14:paraId="340ABF8A" w14:textId="77777777" w:rsidR="009F4861" w:rsidRDefault="009F4861">
      <w:pPr>
        <w:spacing w:after="0" w:line="360" w:lineRule="auto"/>
        <w:jc w:val="both"/>
      </w:pPr>
    </w:p>
    <w:p w14:paraId="5FACAE74" w14:textId="77777777" w:rsidR="009F4861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</w:rPr>
        <w:t xml:space="preserve">Ante o exposto, indefiro o pedido de tutela de urgência, com fundamento no art. 300 do Código de Processo Civil. Dê-se vista ao Ministério Público.</w:t>
      </w:r>
    </w:p>
    <w:sectPr w:rsidR="009F4861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Voto do zero (AGI, DP, liminar confirmada). Estrutura, cadência e fórmulas de AGI com provimento confirmando liminar: AGI 0714073-56 e AGI 0742524-91 (versões de Marcos) e AGI 0720022-61 (OURO, menor em segredo de justiça, iniciais no corpo e parecer da Procuradoria). Calibrações aplicadas: C-17 (liminar transcrita sem cortes, v42), C-18 (agravo interno só na ementa, no relatório e na oração final), C-34A, C-39, C-3C, C-3E, C-3F, C-3S, C-3T, C-3W, C-45. Resultado DP: a liminar deferiu o que o agravo pede e a Procuradoria opina pelo provimento (ID 87996551).</w:t>
      </w:r>
    </w:p>
  </w:comment>
  <w:comment w:id="1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C-73: não há modelo de guarda/mudança de domicílio de menor entre os candidatos do índice (busca por guarda, domicílio, estudo psicossocial sem resultado). Usei os modelos de AGI DP com liminar confirmada acima só para a forma. Se Marcos tiver modelo de mesma matéria que prefira, indique o número do processo e eu ajusto a redação.</w:t>
      </w:r>
    </w:p>
  </w:comment>
  <w:comment w:id="2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PENDÊNCIA (C-52). Os autos recebidos terminam em 13/08/2026 (parecer, ID 87996551) e hoje é 29/10/2026. Não há notícia de que o estudo psicossocial foi concluído, de que a mudança para Fortaleza ocorreu ou de nova decisão na origem (0701041-57.2026.8.07.0008). Se o estudo já foi juntado ou o Juízo decidiu de novo, o provimento pode perder o objeto ou mudar de termo final. O voto foi redigido sobre os autos recebidos. Peças a obter da origem: (1) andamento posterior a 13/08/2026, com laudo/estudo psicossocial e decisão que o determinou e nomeou perito; (2) íntegra da decisão agravada, ID 278693604 (cabeçalho, partes, assinatura e data de disponibilização, para tempestividade); (3) ID 278631724 (razões da mudança); (4) ID 279896606 (manifestação do Ministério Público); (5) ID 269903971 (ata da audiência de 26/03/2026).</w:t>
      </w:r>
    </w:p>
  </w:comment>
  <w:comment w:id="3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Texto literal (C-63). CPC, art. 300: "Art. 300. A tutela de urgência será concedida quando houver elementos que evidenciem a probabilidade do direito e o perigo de dano ou o risco ao resultado útil do processo." ECA, art. 147: "Art. 147. A competência será determinada: I - pelo domicílio dos pais ou responsável; II - pelo lugar onde se encontre a criança ou adolescente, à falta dos pais ou responsável." (conferido no iajus; sem alteração relevante do caput). Súmula 383/STJ, vigente (iajus, aprovada em 27/05/2009): "A competência para processar e julgar as ações conexas de interesse de menor é, em princípio, do foro do domicílio do detentor de sua guarda."</w:t>
      </w:r>
    </w:p>
  </w:comment>
  <w:comment w:id="4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PENDÊNCIA (C-52, C-72). Acórdãos 2129002 (0748371-11.2025.8.07.0000, 1ª Turma Cível, j. 20/05/2026) e 2060661 (0735176-56.2025.8.07.0000, 4ª Turma Cível, j. 23/10/2025) estão como na liminar e não foram conferidos na fonte: tentei iajus, duas buscas na web e a página do TJDFT, sem localizar. Conferir no JurisDF antes da sessão. Os grifos do original da liminar não aparecem no texto extraído dos autos e não foram reproduzidos. O texto da liminar está literal, inclusive "Fortaleze/CE" no relatório (C-66).</w:t>
      </w:r>
    </w:p>
  </w:comment>
  <w:comment w:id="5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Resumo da decisão agravada (ID 278693604), em vermelho (C-39), feito com o trecho que o agravo (ID 85858440) e a liminar reproduzem. A decisão está anexada ao final em verde (C-45), também só nesse trecho: a íntegra é uma das peças pedidas à origem.</w:t>
      </w:r>
    </w:p>
  </w:comment>
  <w:comment w:id="6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C-3S: relatório da liminar adotado, até a descrição do recurso (a frase "Com razão, inicialmente, o agravante." é decisão e ficou na transcrição do voto, v46). Atos posteriores com IDs dos autos: liminar (86021773), contrarrazões (86930498), agravo interno recebido por fungibilidade (despacho 87610850 do AGI 0732118-11.2026.8.07.0000, certidão 87698334, petição 87690763) e parecer (87996551). A agravada não foi intimada para responder ao agravo interno (CPC 1.021, § 2º); como o agravo interno fica prejudicado (C-18), não incluí o ponto no voto. Preparo recolhido (ID 85859270), fora do relatório (C-31).</w:t>
      </w:r>
    </w:p>
  </w:comment>
  <w:comment w:id="7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C-3T: admissibilidade direta. Cabimento: CPC 1.015, I (tutela provisória). Preparo: ID 85859270. Tempestividade: o agravo foi interposto em 22/06/2026 (ID 85858440), mas a data de disponibilização da decisão agravada está na origem (ID 278693604, não recebido); pendência, ver comentário inicial.</w:t>
      </w:r>
    </w:p>
  </w:comment>
  <w:comment w:id="8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Alegações extraídas do agravo (ID 85858440), com a numeração do relatório da liminar. O pedido subsidiário de custeio das despesas de deslocamento (citado no parecer) não foi examinado na liminar nem é pressuposto do provimento; não ganhou parágrafo (C-3T).</w:t>
      </w:r>
    </w:p>
  </w:comment>
  <w:comment w:id="9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C-17 v40: fecho em um parágrafo, razão presa por "pois". O segundo parágrafo responde ao que veio depois da liminar (contrarrazões, agravo interno e parecer), sem reabrir o CPC 300: o próprio agravo interno afirma que não sobreveio laudo nem relatório social (ID 87690763), e a liminar já tomou o estudo psicossocial como termo da medida. Não enfrentei as alegações de aprovação em colégios de Fortaleza, desemprego da genitora e inviabilidade da guarda compartilhada: são matéria de mérito da ação principal (a liminar já ressalvou que a guarda e o lar de referência reclamam contraditório e instrução). Marcos pode cortar o parágrafo, se entender que a liminar basta.</w:t>
      </w:r>
    </w:p>
  </w:comment>
  <w:comment w:id="10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Dispositivo em parágrafo único (C-3F), com a confirmação da liminar nos seus termos (ID 86021773) e agravo interno julgado prejudicado só na oração final (C-18). A liminar fala em "até, ao menos, a conclusão do estudo psicossocial"; no dispositivo usei "até a conclusão do estudo psicossocial e ulterior deliberação do Juízo de origem", sem "ao menos". A transferência escolar aparece só na fundamentação da liminar, não no dispositivo, por isso não consta aqui. Sem honorários recursais (perfil AGI).</w:t>
      </w:r>
    </w:p>
  </w:comment>
  <w:comment w:id="11" w:author="Assessor GDSXSR" w:initials="AG" w:date="2026-10-29T18:40:46Z">
    <w:p>
      <w:pPr>
        <w:pStyle w:val="CommentText"/>
      </w:pPr>
      <w:r>
        <w:rPr>
          <w:rStyle w:val="CommentReference"/>
        </w:rPr>
        <w:annotationRef/>
      </w:r>
      <w:r>
        <w:t>MINUTA GDSXSR — Anexo da decisão agravada (C-45): texto reproduzido no agravo (ID 85858440, itens IV), sem cabeçalho, partes e assinatura, que não estão nos autos recebidos. Pendência: íntegra do ID 278693604 na origem.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C831" w14:textId="77777777" w:rsidR="006A72A3" w:rsidRDefault="006A72A3" w:rsidP="003A42DE">
      <w:pPr>
        <w:spacing w:after="0" w:line="240" w:lineRule="auto"/>
      </w:pPr>
      <w:r>
        <w:separator/>
      </w:r>
    </w:p>
  </w:endnote>
  <w:endnote w:type="continuationSeparator" w:id="0">
    <w:p w14:paraId="4F3B3D5A" w14:textId="77777777" w:rsidR="006A72A3" w:rsidRDefault="006A72A3" w:rsidP="003A42DE">
      <w:pPr>
        <w:spacing w:after="0" w:line="240" w:lineRule="auto"/>
      </w:pPr>
      <w:r>
        <w:continuationSeparator/>
      </w:r>
    </w:p>
  </w:endnote>
  <w:endnote w:type="continuationNotice" w:id="1">
    <w:p w14:paraId="544416F0" w14:textId="77777777" w:rsidR="006A72A3" w:rsidRDefault="006A72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01608B90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6D4B9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6C14" w14:textId="77777777" w:rsidR="006A72A3" w:rsidRDefault="006A72A3" w:rsidP="003A42DE">
      <w:pPr>
        <w:spacing w:after="0" w:line="240" w:lineRule="auto"/>
      </w:pPr>
      <w:r>
        <w:separator/>
      </w:r>
    </w:p>
  </w:footnote>
  <w:footnote w:type="continuationSeparator" w:id="0">
    <w:p w14:paraId="5E48A6D4" w14:textId="77777777" w:rsidR="006A72A3" w:rsidRDefault="006A72A3" w:rsidP="003A42DE">
      <w:pPr>
        <w:spacing w:after="0" w:line="240" w:lineRule="auto"/>
      </w:pPr>
      <w:r>
        <w:continuationSeparator/>
      </w:r>
    </w:p>
  </w:footnote>
  <w:footnote w:type="continuationNotice" w:id="1">
    <w:p w14:paraId="2054FDDE" w14:textId="77777777" w:rsidR="006A72A3" w:rsidRDefault="006A72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9B59"/>
    <w:multiLevelType w:val="hybridMultilevel"/>
    <w:tmpl w:val="4DFC2698"/>
    <w:lvl w:ilvl="0" w:tplc="0CD82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C5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2D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1EF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46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2D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0C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8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9391D"/>
    <w:multiLevelType w:val="hybridMultilevel"/>
    <w:tmpl w:val="F9BC39AC"/>
    <w:lvl w:ilvl="0" w:tplc="CD4A0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C6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EA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07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00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A7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C8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B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A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700F8"/>
    <w:multiLevelType w:val="hybridMultilevel"/>
    <w:tmpl w:val="8BEE9E52"/>
    <w:lvl w:ilvl="0" w:tplc="35F2F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2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0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65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C5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67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C5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0E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EC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15565"/>
    <w:multiLevelType w:val="hybridMultilevel"/>
    <w:tmpl w:val="1EE49CBE"/>
    <w:lvl w:ilvl="0" w:tplc="C7F46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C3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85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27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2F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4E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05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4F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C4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46876"/>
    <w:multiLevelType w:val="hybridMultilevel"/>
    <w:tmpl w:val="F6884406"/>
    <w:lvl w:ilvl="0" w:tplc="13841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8D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C9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A8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8A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A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4A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66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C3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C49FE"/>
    <w:multiLevelType w:val="hybridMultilevel"/>
    <w:tmpl w:val="2AA2EC92"/>
    <w:lvl w:ilvl="0" w:tplc="48C04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C4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EF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0B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2C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43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CB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CD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63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B71E7"/>
    <w:multiLevelType w:val="hybridMultilevel"/>
    <w:tmpl w:val="70723EFE"/>
    <w:lvl w:ilvl="0" w:tplc="F7B2FB1A">
      <w:start w:val="1"/>
      <w:numFmt w:val="decimal"/>
      <w:lvlText w:val="%1."/>
      <w:lvlJc w:val="left"/>
      <w:pPr>
        <w:ind w:left="720" w:hanging="360"/>
      </w:pPr>
    </w:lvl>
    <w:lvl w:ilvl="1" w:tplc="BD2A8F84">
      <w:start w:val="1"/>
      <w:numFmt w:val="lowerLetter"/>
      <w:lvlText w:val="%2."/>
      <w:lvlJc w:val="left"/>
      <w:pPr>
        <w:ind w:left="1440" w:hanging="360"/>
      </w:pPr>
    </w:lvl>
    <w:lvl w:ilvl="2" w:tplc="64EAC6C4">
      <w:start w:val="1"/>
      <w:numFmt w:val="lowerRoman"/>
      <w:lvlText w:val="%3."/>
      <w:lvlJc w:val="right"/>
      <w:pPr>
        <w:ind w:left="2160" w:hanging="180"/>
      </w:pPr>
    </w:lvl>
    <w:lvl w:ilvl="3" w:tplc="F6001448">
      <w:start w:val="1"/>
      <w:numFmt w:val="decimal"/>
      <w:lvlText w:val="%4."/>
      <w:lvlJc w:val="left"/>
      <w:pPr>
        <w:ind w:left="2880" w:hanging="360"/>
      </w:pPr>
    </w:lvl>
    <w:lvl w:ilvl="4" w:tplc="6BEEEAF0">
      <w:start w:val="1"/>
      <w:numFmt w:val="lowerLetter"/>
      <w:lvlText w:val="%5."/>
      <w:lvlJc w:val="left"/>
      <w:pPr>
        <w:ind w:left="3600" w:hanging="360"/>
      </w:pPr>
    </w:lvl>
    <w:lvl w:ilvl="5" w:tplc="B80E821C">
      <w:start w:val="1"/>
      <w:numFmt w:val="lowerRoman"/>
      <w:lvlText w:val="%6."/>
      <w:lvlJc w:val="right"/>
      <w:pPr>
        <w:ind w:left="4320" w:hanging="180"/>
      </w:pPr>
    </w:lvl>
    <w:lvl w:ilvl="6" w:tplc="DF2AD97A">
      <w:start w:val="1"/>
      <w:numFmt w:val="decimal"/>
      <w:lvlText w:val="%7."/>
      <w:lvlJc w:val="left"/>
      <w:pPr>
        <w:ind w:left="5040" w:hanging="360"/>
      </w:pPr>
    </w:lvl>
    <w:lvl w:ilvl="7" w:tplc="99A849C6">
      <w:start w:val="1"/>
      <w:numFmt w:val="lowerLetter"/>
      <w:lvlText w:val="%8."/>
      <w:lvlJc w:val="left"/>
      <w:pPr>
        <w:ind w:left="5760" w:hanging="360"/>
      </w:pPr>
    </w:lvl>
    <w:lvl w:ilvl="8" w:tplc="803E586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343508813">
    <w:abstractNumId w:val="6"/>
  </w:num>
  <w:num w:numId="2" w16cid:durableId="1977367131">
    <w:abstractNumId w:val="1"/>
  </w:num>
  <w:num w:numId="3" w16cid:durableId="353843744">
    <w:abstractNumId w:val="4"/>
  </w:num>
  <w:num w:numId="4" w16cid:durableId="70809564">
    <w:abstractNumId w:val="5"/>
  </w:num>
  <w:num w:numId="5" w16cid:durableId="1782602386">
    <w:abstractNumId w:val="7"/>
  </w:num>
  <w:num w:numId="6" w16cid:durableId="2032223810">
    <w:abstractNumId w:val="0"/>
  </w:num>
  <w:num w:numId="7" w16cid:durableId="1778021141">
    <w:abstractNumId w:val="8"/>
  </w:num>
  <w:num w:numId="8" w16cid:durableId="1892040057">
    <w:abstractNumId w:val="3"/>
  </w:num>
  <w:num w:numId="9" w16cid:durableId="1365403601">
    <w:abstractNumId w:val="2"/>
  </w:num>
  <w:num w:numId="10" w16cid:durableId="187203630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1A548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0C15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5E5190"/>
    <w:rsid w:val="005EA67B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A72A3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4861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497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0FC3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15F80CC"/>
    <w:rsid w:val="0191F7C3"/>
    <w:rsid w:val="02480EC3"/>
    <w:rsid w:val="026E497E"/>
    <w:rsid w:val="02B1E412"/>
    <w:rsid w:val="03018451"/>
    <w:rsid w:val="0309018F"/>
    <w:rsid w:val="031F725A"/>
    <w:rsid w:val="03E55252"/>
    <w:rsid w:val="0406F2B1"/>
    <w:rsid w:val="0469E717"/>
    <w:rsid w:val="04EB9BAA"/>
    <w:rsid w:val="04FE6380"/>
    <w:rsid w:val="0598ED4B"/>
    <w:rsid w:val="05C072E5"/>
    <w:rsid w:val="061EE5CE"/>
    <w:rsid w:val="066636ED"/>
    <w:rsid w:val="06D2BD91"/>
    <w:rsid w:val="07084FFE"/>
    <w:rsid w:val="0741BAA1"/>
    <w:rsid w:val="079D3272"/>
    <w:rsid w:val="07BAB62F"/>
    <w:rsid w:val="08624999"/>
    <w:rsid w:val="08795635"/>
    <w:rsid w:val="087D1C37"/>
    <w:rsid w:val="08955680"/>
    <w:rsid w:val="089E911C"/>
    <w:rsid w:val="08BDBA2B"/>
    <w:rsid w:val="0902A466"/>
    <w:rsid w:val="09E2A60C"/>
    <w:rsid w:val="0A795B63"/>
    <w:rsid w:val="0A8ECADD"/>
    <w:rsid w:val="0BFCE006"/>
    <w:rsid w:val="0C436811"/>
    <w:rsid w:val="0C99678B"/>
    <w:rsid w:val="0D003B5C"/>
    <w:rsid w:val="0E2F4C66"/>
    <w:rsid w:val="0E60C260"/>
    <w:rsid w:val="0E71A7A9"/>
    <w:rsid w:val="0E7833D8"/>
    <w:rsid w:val="0E896E75"/>
    <w:rsid w:val="0ECBDBCC"/>
    <w:rsid w:val="0EFE4F3B"/>
    <w:rsid w:val="0F16BAD4"/>
    <w:rsid w:val="0F49A558"/>
    <w:rsid w:val="0F4CCC86"/>
    <w:rsid w:val="1010E271"/>
    <w:rsid w:val="105F35C5"/>
    <w:rsid w:val="106E20DE"/>
    <w:rsid w:val="10737481"/>
    <w:rsid w:val="10DFE56C"/>
    <w:rsid w:val="10E575B9"/>
    <w:rsid w:val="10E89CE7"/>
    <w:rsid w:val="11B4DFCD"/>
    <w:rsid w:val="1281461A"/>
    <w:rsid w:val="1299B7D4"/>
    <w:rsid w:val="12D0861A"/>
    <w:rsid w:val="1310ADC8"/>
    <w:rsid w:val="1322B3CC"/>
    <w:rsid w:val="13D9EAF8"/>
    <w:rsid w:val="1403BE3A"/>
    <w:rsid w:val="14261E79"/>
    <w:rsid w:val="147CBA5F"/>
    <w:rsid w:val="14B0854E"/>
    <w:rsid w:val="15075F5D"/>
    <w:rsid w:val="1522DC33"/>
    <w:rsid w:val="1540F7C4"/>
    <w:rsid w:val="159010E4"/>
    <w:rsid w:val="15A7C98E"/>
    <w:rsid w:val="160C8D89"/>
    <w:rsid w:val="161D075D"/>
    <w:rsid w:val="1685426F"/>
    <w:rsid w:val="169085A1"/>
    <w:rsid w:val="169A247F"/>
    <w:rsid w:val="16AFD0FD"/>
    <w:rsid w:val="17071F12"/>
    <w:rsid w:val="1754F7B4"/>
    <w:rsid w:val="17C7435F"/>
    <w:rsid w:val="182766FE"/>
    <w:rsid w:val="18301F4E"/>
    <w:rsid w:val="1890F764"/>
    <w:rsid w:val="18BBA766"/>
    <w:rsid w:val="193E3D7C"/>
    <w:rsid w:val="194071AB"/>
    <w:rsid w:val="19AE2D67"/>
    <w:rsid w:val="19EFFB15"/>
    <w:rsid w:val="1A77651C"/>
    <w:rsid w:val="1AEDABFF"/>
    <w:rsid w:val="1B897297"/>
    <w:rsid w:val="1BB1DE98"/>
    <w:rsid w:val="1BBE419B"/>
    <w:rsid w:val="1C5B9B3B"/>
    <w:rsid w:val="1CA82C99"/>
    <w:rsid w:val="1CCDCA00"/>
    <w:rsid w:val="1CF4E54D"/>
    <w:rsid w:val="1D02AE0D"/>
    <w:rsid w:val="1D0C8FA4"/>
    <w:rsid w:val="1D833A47"/>
    <w:rsid w:val="1DA3F6E4"/>
    <w:rsid w:val="1DE275A0"/>
    <w:rsid w:val="1E7FFE4D"/>
    <w:rsid w:val="1FAFCC66"/>
    <w:rsid w:val="21529E37"/>
    <w:rsid w:val="22242253"/>
    <w:rsid w:val="2226EAE1"/>
    <w:rsid w:val="224F31B8"/>
    <w:rsid w:val="2259356D"/>
    <w:rsid w:val="227EDC7E"/>
    <w:rsid w:val="229F26FD"/>
    <w:rsid w:val="22C00AAB"/>
    <w:rsid w:val="232923D0"/>
    <w:rsid w:val="233FC49A"/>
    <w:rsid w:val="23846474"/>
    <w:rsid w:val="2474A6A4"/>
    <w:rsid w:val="248F4127"/>
    <w:rsid w:val="249E222A"/>
    <w:rsid w:val="24C00E7C"/>
    <w:rsid w:val="250056F1"/>
    <w:rsid w:val="25552D47"/>
    <w:rsid w:val="255B7F74"/>
    <w:rsid w:val="25627E6B"/>
    <w:rsid w:val="2592F5DF"/>
    <w:rsid w:val="25BA59F2"/>
    <w:rsid w:val="25DAE2F1"/>
    <w:rsid w:val="26437A82"/>
    <w:rsid w:val="26A9A53C"/>
    <w:rsid w:val="27623DE6"/>
    <w:rsid w:val="279C9AF7"/>
    <w:rsid w:val="27EDDD86"/>
    <w:rsid w:val="27F4F7D9"/>
    <w:rsid w:val="27FF6AAD"/>
    <w:rsid w:val="282CD004"/>
    <w:rsid w:val="28500164"/>
    <w:rsid w:val="29D9B832"/>
    <w:rsid w:val="29FC1AE8"/>
    <w:rsid w:val="2A1335FB"/>
    <w:rsid w:val="2A58FC23"/>
    <w:rsid w:val="2AE1B6B7"/>
    <w:rsid w:val="2AE79E71"/>
    <w:rsid w:val="2AF5D78B"/>
    <w:rsid w:val="2AF5FA84"/>
    <w:rsid w:val="2AFD096B"/>
    <w:rsid w:val="2B008F55"/>
    <w:rsid w:val="2BDF0338"/>
    <w:rsid w:val="2BF727A3"/>
    <w:rsid w:val="2C730A9B"/>
    <w:rsid w:val="2C890E75"/>
    <w:rsid w:val="2C93F8FF"/>
    <w:rsid w:val="2CF4CD87"/>
    <w:rsid w:val="2DA0D32B"/>
    <w:rsid w:val="2DD61D48"/>
    <w:rsid w:val="2DFD2B4C"/>
    <w:rsid w:val="2F1C19A9"/>
    <w:rsid w:val="2F6C8503"/>
    <w:rsid w:val="3007B261"/>
    <w:rsid w:val="30160782"/>
    <w:rsid w:val="303A7B14"/>
    <w:rsid w:val="30508782"/>
    <w:rsid w:val="30587508"/>
    <w:rsid w:val="31EC57E3"/>
    <w:rsid w:val="332D13C9"/>
    <w:rsid w:val="3382D001"/>
    <w:rsid w:val="348DB4EB"/>
    <w:rsid w:val="34B6CAEC"/>
    <w:rsid w:val="34DED053"/>
    <w:rsid w:val="34E4E657"/>
    <w:rsid w:val="34EE336C"/>
    <w:rsid w:val="34FBDDCF"/>
    <w:rsid w:val="3510E67B"/>
    <w:rsid w:val="3556523A"/>
    <w:rsid w:val="3565AEC8"/>
    <w:rsid w:val="3601BA69"/>
    <w:rsid w:val="367267F9"/>
    <w:rsid w:val="369ED21D"/>
    <w:rsid w:val="36CA94C4"/>
    <w:rsid w:val="36EE3379"/>
    <w:rsid w:val="370C73D9"/>
    <w:rsid w:val="37408DCC"/>
    <w:rsid w:val="377F3110"/>
    <w:rsid w:val="37897B82"/>
    <w:rsid w:val="37B5A6B5"/>
    <w:rsid w:val="37BE17C0"/>
    <w:rsid w:val="38EEAB87"/>
    <w:rsid w:val="394C3135"/>
    <w:rsid w:val="39AE4A8D"/>
    <w:rsid w:val="39FF574E"/>
    <w:rsid w:val="3AC1809A"/>
    <w:rsid w:val="3AD2045E"/>
    <w:rsid w:val="3AD9B0B7"/>
    <w:rsid w:val="3B9011FD"/>
    <w:rsid w:val="3B9BF52E"/>
    <w:rsid w:val="3BB47562"/>
    <w:rsid w:val="3BB7291C"/>
    <w:rsid w:val="3C5D9607"/>
    <w:rsid w:val="3CB9A540"/>
    <w:rsid w:val="3CBACAC4"/>
    <w:rsid w:val="3CD07603"/>
    <w:rsid w:val="3D1A2DB7"/>
    <w:rsid w:val="3D8580A5"/>
    <w:rsid w:val="3DBB73A4"/>
    <w:rsid w:val="3DC89269"/>
    <w:rsid w:val="3DDFA35F"/>
    <w:rsid w:val="3DE70794"/>
    <w:rsid w:val="3DEAD688"/>
    <w:rsid w:val="3E1D45DC"/>
    <w:rsid w:val="3E66CBD1"/>
    <w:rsid w:val="3EF277C8"/>
    <w:rsid w:val="3F6506E4"/>
    <w:rsid w:val="3FBD6A61"/>
    <w:rsid w:val="3FD06354"/>
    <w:rsid w:val="3FFBFDAA"/>
    <w:rsid w:val="3FFE3DCC"/>
    <w:rsid w:val="41CAFA74"/>
    <w:rsid w:val="41E1021E"/>
    <w:rsid w:val="420D9061"/>
    <w:rsid w:val="4228454C"/>
    <w:rsid w:val="424EE23A"/>
    <w:rsid w:val="4271C7BD"/>
    <w:rsid w:val="42F63EA0"/>
    <w:rsid w:val="4380C41B"/>
    <w:rsid w:val="43A63994"/>
    <w:rsid w:val="43A67A0B"/>
    <w:rsid w:val="43C54FAD"/>
    <w:rsid w:val="44049931"/>
    <w:rsid w:val="44334558"/>
    <w:rsid w:val="44688134"/>
    <w:rsid w:val="447AE2F1"/>
    <w:rsid w:val="44808C19"/>
    <w:rsid w:val="4495E4C2"/>
    <w:rsid w:val="44FB294E"/>
    <w:rsid w:val="454ECC03"/>
    <w:rsid w:val="45D7D81A"/>
    <w:rsid w:val="45ECA08E"/>
    <w:rsid w:val="45EE95F0"/>
    <w:rsid w:val="4614B705"/>
    <w:rsid w:val="462A1541"/>
    <w:rsid w:val="463AD933"/>
    <w:rsid w:val="46C7D927"/>
    <w:rsid w:val="46DE1ACD"/>
    <w:rsid w:val="47FFA841"/>
    <w:rsid w:val="486374E3"/>
    <w:rsid w:val="4962903A"/>
    <w:rsid w:val="49AAD572"/>
    <w:rsid w:val="4A6D32A3"/>
    <w:rsid w:val="4AAFC961"/>
    <w:rsid w:val="4AF457DF"/>
    <w:rsid w:val="4B409B22"/>
    <w:rsid w:val="4BB98733"/>
    <w:rsid w:val="4C936001"/>
    <w:rsid w:val="4D3433F4"/>
    <w:rsid w:val="4D45AE2A"/>
    <w:rsid w:val="4D5D3872"/>
    <w:rsid w:val="4D9C753D"/>
    <w:rsid w:val="4E4DFBED"/>
    <w:rsid w:val="4EB5970F"/>
    <w:rsid w:val="4FBA8710"/>
    <w:rsid w:val="508888C8"/>
    <w:rsid w:val="509ECC93"/>
    <w:rsid w:val="515F5732"/>
    <w:rsid w:val="5212BFAD"/>
    <w:rsid w:val="5249445F"/>
    <w:rsid w:val="52E52664"/>
    <w:rsid w:val="530C09BC"/>
    <w:rsid w:val="53174421"/>
    <w:rsid w:val="539FE824"/>
    <w:rsid w:val="53A37578"/>
    <w:rsid w:val="53E739DB"/>
    <w:rsid w:val="54A48A63"/>
    <w:rsid w:val="54AAEF1D"/>
    <w:rsid w:val="56696897"/>
    <w:rsid w:val="571FE888"/>
    <w:rsid w:val="57608C97"/>
    <w:rsid w:val="5774762B"/>
    <w:rsid w:val="581B792C"/>
    <w:rsid w:val="58BC1B45"/>
    <w:rsid w:val="58E3B572"/>
    <w:rsid w:val="595140BA"/>
    <w:rsid w:val="59531952"/>
    <w:rsid w:val="5A6A67D7"/>
    <w:rsid w:val="5B105B2D"/>
    <w:rsid w:val="5B188E3D"/>
    <w:rsid w:val="5BC75A8B"/>
    <w:rsid w:val="5C83E0D1"/>
    <w:rsid w:val="5D37D7FE"/>
    <w:rsid w:val="5DC7BB1E"/>
    <w:rsid w:val="5E27D90B"/>
    <w:rsid w:val="5E6879DC"/>
    <w:rsid w:val="5F1409FE"/>
    <w:rsid w:val="5FAA896D"/>
    <w:rsid w:val="5FAEFB24"/>
    <w:rsid w:val="606F78C0"/>
    <w:rsid w:val="60ADD95D"/>
    <w:rsid w:val="60C98BFC"/>
    <w:rsid w:val="60D920B7"/>
    <w:rsid w:val="61757AFC"/>
    <w:rsid w:val="6194D198"/>
    <w:rsid w:val="620B4921"/>
    <w:rsid w:val="62AAAE4B"/>
    <w:rsid w:val="63342658"/>
    <w:rsid w:val="63C11CD1"/>
    <w:rsid w:val="63C2EF9E"/>
    <w:rsid w:val="64275D2D"/>
    <w:rsid w:val="643043B2"/>
    <w:rsid w:val="64374E83"/>
    <w:rsid w:val="6465318A"/>
    <w:rsid w:val="64971A8F"/>
    <w:rsid w:val="64B2D6F6"/>
    <w:rsid w:val="64BEBE7C"/>
    <w:rsid w:val="64BF5EDA"/>
    <w:rsid w:val="650595E1"/>
    <w:rsid w:val="6542E9E3"/>
    <w:rsid w:val="657557CB"/>
    <w:rsid w:val="65A9FB65"/>
    <w:rsid w:val="65C26DF6"/>
    <w:rsid w:val="65C41DC2"/>
    <w:rsid w:val="65CCD4F6"/>
    <w:rsid w:val="664F280D"/>
    <w:rsid w:val="666768FE"/>
    <w:rsid w:val="667AE318"/>
    <w:rsid w:val="66D15BCD"/>
    <w:rsid w:val="6708FB6D"/>
    <w:rsid w:val="67216F22"/>
    <w:rsid w:val="673F0D5B"/>
    <w:rsid w:val="675A84C2"/>
    <w:rsid w:val="67C15F89"/>
    <w:rsid w:val="67CD610C"/>
    <w:rsid w:val="68212234"/>
    <w:rsid w:val="68A32AA9"/>
    <w:rsid w:val="6973583F"/>
    <w:rsid w:val="6A1CED46"/>
    <w:rsid w:val="6AA8681E"/>
    <w:rsid w:val="6AD98ABF"/>
    <w:rsid w:val="6AECB699"/>
    <w:rsid w:val="6B5F13C4"/>
    <w:rsid w:val="6B888368"/>
    <w:rsid w:val="6BAB7290"/>
    <w:rsid w:val="6BAC55FA"/>
    <w:rsid w:val="6BB8BDA7"/>
    <w:rsid w:val="6BC0D677"/>
    <w:rsid w:val="6BC51F58"/>
    <w:rsid w:val="6BD3715A"/>
    <w:rsid w:val="6C0D23A0"/>
    <w:rsid w:val="6CAA19FA"/>
    <w:rsid w:val="6D09AFC2"/>
    <w:rsid w:val="6D2A23B4"/>
    <w:rsid w:val="6D53E1DA"/>
    <w:rsid w:val="6D81CE5E"/>
    <w:rsid w:val="6D8F90B1"/>
    <w:rsid w:val="6DC85E06"/>
    <w:rsid w:val="6E561A2D"/>
    <w:rsid w:val="6E776DB3"/>
    <w:rsid w:val="6EE9C512"/>
    <w:rsid w:val="6F82B7AC"/>
    <w:rsid w:val="6FB44F01"/>
    <w:rsid w:val="70B4B380"/>
    <w:rsid w:val="712DA350"/>
    <w:rsid w:val="71E69A32"/>
    <w:rsid w:val="7306BEE6"/>
    <w:rsid w:val="730E4851"/>
    <w:rsid w:val="730E8E67"/>
    <w:rsid w:val="73F93DF2"/>
    <w:rsid w:val="741CCF1B"/>
    <w:rsid w:val="74B9330C"/>
    <w:rsid w:val="74CA8615"/>
    <w:rsid w:val="7557E461"/>
    <w:rsid w:val="756F79F5"/>
    <w:rsid w:val="75A5DC19"/>
    <w:rsid w:val="772D2BEE"/>
    <w:rsid w:val="77A54DBC"/>
    <w:rsid w:val="78C9106D"/>
    <w:rsid w:val="78D56322"/>
    <w:rsid w:val="79463321"/>
    <w:rsid w:val="79C2F2AF"/>
    <w:rsid w:val="79E10E21"/>
    <w:rsid w:val="79F68BA2"/>
    <w:rsid w:val="7B97EA29"/>
    <w:rsid w:val="7BE30F5E"/>
    <w:rsid w:val="7C0D5C19"/>
    <w:rsid w:val="7C2F9071"/>
    <w:rsid w:val="7C523032"/>
    <w:rsid w:val="7C7DE001"/>
    <w:rsid w:val="7CA89785"/>
    <w:rsid w:val="7CCD017B"/>
    <w:rsid w:val="7D55416F"/>
    <w:rsid w:val="7E272F86"/>
    <w:rsid w:val="7E37E6E8"/>
    <w:rsid w:val="7E47B7BC"/>
    <w:rsid w:val="7E65F309"/>
    <w:rsid w:val="7EF28E72"/>
    <w:rsid w:val="7F023EFE"/>
    <w:rsid w:val="7F36A8BB"/>
    <w:rsid w:val="7FF8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7BD87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730800"/>
    <w:rsid w:val="007545AF"/>
    <w:rsid w:val="00773803"/>
    <w:rsid w:val="0077693D"/>
    <w:rsid w:val="00816916"/>
    <w:rsid w:val="00855F86"/>
    <w:rsid w:val="008C4978"/>
    <w:rsid w:val="009C5448"/>
    <w:rsid w:val="00AB26AC"/>
    <w:rsid w:val="00AD59B1"/>
    <w:rsid w:val="00B9403F"/>
    <w:rsid w:val="00C34425"/>
    <w:rsid w:val="00C7198A"/>
    <w:rsid w:val="00CB636A"/>
    <w:rsid w:val="00DE0FC3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2372</Words>
  <Characters>12815</Characters>
  <Application>Microsoft Office Word</Application>
  <DocSecurity>0</DocSecurity>
  <Lines>106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1</cp:revision>
  <dcterms:created xsi:type="dcterms:W3CDTF">2026-03-09T19:42:00Z</dcterms:created>
  <dcterms:modified xsi:type="dcterms:W3CDTF">2026-10-28T20:16:00Z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