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4F3CC75C" w14:paraId="4680266B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P="4F3CC75C" w:rsidRDefault="00264107" w14:paraId="6DE29C9C" w14:textId="7A7CF8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62C261FF" w:rsidRDefault="00264107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Pr="62C261FF" w:rsidR="00370C48">
              <w:rPr>
                <w:rStyle w:val="CommentReference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RDefault="00264107" w14:paraId="15750CFE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Pr="009F36E1" w:rsidR="00770E7F" w:rsidTr="21E019B6" w14:paraId="39579C6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RDefault="00770E7F" w14:paraId="0E990A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2043BC66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910759" w14:paraId="619F5A49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9F36E1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770E7F" w:rsidTr="21E019B6" w14:paraId="1234CB9C" w14:textId="77777777">
        <w:trPr>
          <w:cantSplit/>
          <w:trHeight w:val="570"/>
        </w:trPr>
        <w:tc>
          <w:tcPr>
            <w:tcW w:w="3686" w:type="dxa"/>
            <w:vAlign w:val="center"/>
          </w:tcPr>
          <w:p w:rsidRPr="009F36E1" w:rsidR="00770E7F" w:rsidRDefault="00770E7F" w14:paraId="7118EFBD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64B2264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:rsidRPr="009F36E1" w:rsidR="00770E7F" w:rsidRDefault="00F63CDB" w14:paraId="2174A042" w14:textId="4BD4FA6E">
                <w:pPr>
                  <w:pStyle w:val="Quote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Pr="009F36E1" w:rsidR="00770E7F" w:rsidTr="21E019B6" w14:paraId="32B00EA9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RDefault="00770E7F" w14:paraId="0E73EC0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10327F8B" w14:textId="5A82C08D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Pr="20EF5200" w:rsidR="3757F38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:rsidRPr="009F36E1" w:rsidR="00770E7F" w:rsidRDefault="000525EE" w14:paraId="7C53B768" w14:textId="7F04497B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0525EE">
              <w:rPr>
                <w:rFonts w:ascii="Arial" w:hAnsi="Arial" w:cs="Arial"/>
                <w:sz w:val="28"/>
                <w:szCs w:val="28"/>
              </w:rPr>
              <w:t>0026261-76.2013.8.07.0001</w:t>
            </w:r>
          </w:p>
        </w:tc>
      </w:tr>
      <w:tr w:rsidRPr="009F36E1" w:rsidR="00770E7F" w:rsidTr="21E019B6" w14:paraId="48ED7BF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F63CDB" w:rsidR="00770E7F" w:rsidRDefault="00910759" w14:paraId="272F493B" w14:textId="1AD7452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Pr="00F63CDB"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Pr="00F63CDB" w:rsid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5C191C1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0525EE" w14:paraId="4A58BA3C" w14:textId="1F12A43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BRB – Banco de Brasília S.A.</w:t>
            </w:r>
          </w:p>
        </w:tc>
      </w:tr>
      <w:tr w:rsidRPr="009F36E1" w:rsidR="00770E7F" w:rsidTr="21E019B6" w14:paraId="55763F2D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9F36E1" w:rsidRDefault="00910759" w14:paraId="59BAA433" w14:textId="5D3E517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Pr="009F36E1" w:rsidR="00770E7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770E7F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683A2C11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0525EE" w14:paraId="1AB96577" w14:textId="36FE9A21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João Pinheiro da Luz</w:t>
            </w:r>
          </w:p>
        </w:tc>
      </w:tr>
      <w:tr w:rsidRPr="009F36E1" w:rsidR="00770E7F" w:rsidTr="21E019B6" w14:paraId="640EA867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RDefault="00770E7F" w14:paraId="34627C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4161AF01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770E7F" w14:paraId="5B83A2F0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886ABA" w:rsidP="00886ABA" w:rsidRDefault="00886ABA" w14:paraId="638734C5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Pr="007E1C8C" w:rsidR="00886ABA" w:rsidP="00886ABA" w:rsidRDefault="00886ABA" w14:paraId="55004760" w14:textId="77777777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commentRangeStart w:id="4"/>
      <w:r w:rsidRPr="45CC8256">
        <w:rPr>
          <w:rFonts w:ascii="Arial" w:hAnsi="Arial" w:cs="Arial"/>
          <w:b/>
          <w:bCs/>
          <w:sz w:val="28"/>
          <w:szCs w:val="28"/>
        </w:rPr>
        <w:t>EMENTA</w:t>
      </w:r>
      <w:commentRangeEnd w:id="4"/>
      <w:r>
        <w:rPr>
          <w:rStyle w:val="CommentReference"/>
        </w:rPr>
        <w:commentReference w:id="4"/>
      </w:r>
    </w:p>
    <w:p w:rsidR="00886ABA" w:rsidP="00886ABA" w:rsidRDefault="00886ABA" w14:paraId="06BF179A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386303" w:rsidP="00386303" w:rsidRDefault="00386303" w14:paraId="6268E843" w14:textId="6BBC574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APELAÇÃO CÍVEL.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DIREITO PROCESSUAL CIVIL. EXECUÇÃO DE TÍTULO EXTRAJUDICIAL. CÉDULA 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CRÉDITO BANCÁRIO. PRESCRIÇÃO INTERCORRENTE. </w:t>
      </w:r>
      <w:r>
        <w:rPr>
          <w:rFonts w:ascii="Arial" w:hAnsi="Arial" w:cs="Arial"/>
          <w:color w:val="808080"/>
          <w:sz w:val="28"/>
          <w:szCs w:val="28"/>
        </w:rPr>
        <w:t xml:space="preserve">DILIGÊNCIAS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INFRUTÍFERAS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AUSÊNCIA DE INTERRUPÇÃO</w:t>
      </w:r>
      <w:r>
        <w:rPr>
          <w:rFonts w:ascii="Arial" w:hAnsi="Arial" w:cs="Arial"/>
          <w:sz w:val="28"/>
          <w:szCs w:val="28"/>
        </w:rPr>
        <w:t xml:space="preserve">. RECURSO NÃO PROVIDO.</w:t>
      </w:r>
    </w:p>
    <w:p w:rsidRPr="0034247B" w:rsidR="00886ABA" w:rsidP="00386303" w:rsidRDefault="00886ABA" w14:paraId="515C6761" w14:textId="782C9BFB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:rsidRPr="00386303" w:rsidR="00386303" w:rsidP="00386303" w:rsidRDefault="00886ABA" w14:paraId="74199D59" w14:textId="4EFCD90B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Execução de título extrajudicial proposta por BRB </w:t>
      </w:r>
      <w:r>
        <w:rPr>
          <w:rFonts w:ascii="Arial" w:hAnsi="Arial" w:cs="Arial"/>
          <w:color w:val="808080"/>
          <w:sz w:val="28"/>
          <w:szCs w:val="28"/>
        </w:rPr>
        <w:t xml:space="preserve">– </w:t>
      </w:r>
      <w:r>
        <w:rPr>
          <w:rFonts w:ascii="Arial" w:hAnsi="Arial" w:cs="Arial"/>
          <w:sz w:val="28"/>
          <w:szCs w:val="28"/>
        </w:rPr>
        <w:t xml:space="preserve">Banco de Brasília S.A.</w:t>
      </w:r>
      <w:r>
        <w:rPr>
          <w:rFonts w:ascii="Arial" w:hAnsi="Arial" w:cs="Arial"/>
          <w:color w:val="808080"/>
          <w:sz w:val="28"/>
          <w:szCs w:val="28"/>
        </w:rPr>
        <w:t xml:space="preserve">, exequente,</w:t>
      </w:r>
      <w:r>
        <w:rPr>
          <w:rFonts w:ascii="Arial" w:hAnsi="Arial" w:cs="Arial"/>
          <w:sz w:val="28"/>
          <w:szCs w:val="28"/>
        </w:rPr>
        <w:t xml:space="preserve"> contra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pessoa natural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fundada em cédula de crédito bancário</w:t>
      </w:r>
      <w:r>
        <w:rPr>
          <w:rFonts w:ascii="Arial" w:hAnsi="Arial" w:cs="Arial"/>
          <w:color w:val="808080"/>
          <w:sz w:val="28"/>
          <w:szCs w:val="28"/>
        </w:rPr>
        <w:t xml:space="preserve"> (R$ 55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429,91).</w:t>
      </w:r>
      <w:commentRangeEnd w:id="5"/>
      <w:r>
        <w:rPr>
          <w:rStyle w:val="CommentReference"/>
        </w:rPr>
        <w:commentReference w:id="5"/>
      </w:r>
    </w:p>
    <w:p w:rsidRPr="00386303" w:rsidR="00386303" w:rsidP="00386303" w:rsidRDefault="00386303" w14:paraId="15B65CD7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2. A sentença pronunciou a prescrição intercorrente e extinguiu a execução</w:t>
      </w:r>
      <w:r>
        <w:rPr>
          <w:rFonts w:ascii="Arial" w:hAnsi="Arial" w:cs="Arial"/>
          <w:color w:val="808080"/>
          <w:sz w:val="28"/>
          <w:szCs w:val="28"/>
        </w:rPr>
        <w:t xml:space="preserve"> (CPC 924 V)</w:t>
      </w:r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:rsidR="00886ABA" w:rsidP="00386303" w:rsidRDefault="00386303" w14:paraId="60F6C53C" w14:textId="551F646B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exequente apelou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alegando</w:t>
      </w:r>
      <w:r>
        <w:rPr>
          <w:rFonts w:ascii="Arial" w:hAnsi="Arial" w:cs="Arial"/>
          <w:sz w:val="28"/>
          <w:szCs w:val="28"/>
        </w:rPr>
        <w:t xml:space="preserve"> inexistência de inércia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requereu</w:t>
      </w:r>
      <w:r>
        <w:rPr>
          <w:rFonts w:ascii="Arial" w:hAnsi="Arial" w:cs="Arial"/>
          <w:sz w:val="28"/>
          <w:szCs w:val="28"/>
        </w:rPr>
        <w:t xml:space="preserve"> diligências </w:t>
      </w:r>
      <w:r>
        <w:rPr>
          <w:rFonts w:ascii="Arial" w:hAnsi="Arial" w:cs="Arial"/>
          <w:color w:val="808080"/>
          <w:sz w:val="28"/>
          <w:szCs w:val="28"/>
        </w:rPr>
        <w:t xml:space="preserve">patrimoniais,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pediu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cassação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ou,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subsidiariamente, a anulação da sentença</w:t>
      </w:r>
      <w:r>
        <w:rPr>
          <w:rFonts w:ascii="Arial" w:hAnsi="Arial" w:cs="Arial"/>
          <w:sz w:val="28"/>
          <w:szCs w:val="28"/>
        </w:rPr>
        <w:t xml:space="preserve">.</w:t>
      </w:r>
    </w:p>
    <w:p w:rsidRPr="0034247B" w:rsidR="00886ABA" w:rsidP="00886ABA" w:rsidRDefault="00886ABA" w14:paraId="75F97632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:rsidR="00886ABA" w:rsidP="00386303" w:rsidRDefault="00511630" w14:paraId="7E384F7A" w14:textId="0F8F143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 questão em discussão </w:t>
      </w:r>
      <w:r>
        <w:rPr>
          <w:rFonts w:ascii="Arial" w:hAnsi="Arial" w:cs="Arial"/>
          <w:sz w:val="28"/>
          <w:szCs w:val="28"/>
        </w:rPr>
        <w:t xml:space="preserve">consiste em</w:t>
      </w:r>
      <w:r>
        <w:rPr>
          <w:rFonts w:ascii="Arial" w:hAnsi="Arial" w:cs="Arial"/>
          <w:sz w:val="28"/>
          <w:szCs w:val="28"/>
        </w:rPr>
        <w:t xml:space="preserve"> saber se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diligências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requeridas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pelo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exequente afastam a</w:t>
      </w:r>
      <w:r>
        <w:rPr>
          <w:rFonts w:ascii="Arial" w:hAnsi="Arial" w:cs="Arial"/>
          <w:sz w:val="28"/>
          <w:szCs w:val="28"/>
        </w:rPr>
        <w:t xml:space="preserve"> prescrição intercorrente.</w:t>
      </w:r>
    </w:p>
    <w:p w:rsidRPr="0034247B" w:rsidR="00886ABA" w:rsidP="00886ABA" w:rsidRDefault="00886ABA" w14:paraId="514DEA23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:rsidR="00886ABA" w:rsidP="00386303" w:rsidRDefault="00511630" w14:paraId="351C336E" w14:textId="51092C32">
      <w:pPr>
        <w:pStyle w:val="ListParagraph"/>
        <w:tabs>
          <w:tab w:val="left" w:pos="1122"/>
        </w:tabs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A pretensão </w:t>
      </w:r>
      <w:r>
        <w:rPr>
          <w:rFonts w:ascii="Arial" w:hAnsi="Arial" w:cs="Arial"/>
          <w:color w:val="808080"/>
          <w:sz w:val="28"/>
          <w:szCs w:val="28"/>
        </w:rPr>
        <w:t xml:space="preserve">executiva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fundada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em</w:t>
      </w:r>
      <w:r>
        <w:rPr>
          <w:rFonts w:ascii="Arial" w:hAnsi="Arial" w:cs="Arial"/>
          <w:sz w:val="28"/>
          <w:szCs w:val="28"/>
        </w:rPr>
        <w:t xml:space="preserve"> cédula de crédito bancário prescreve em três anos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(Lei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10.931/2004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44; LUG 70; CC</w:t>
      </w:r>
      <w:r>
        <w:rPr>
          <w:rFonts w:ascii="Arial" w:hAnsi="Arial" w:cs="Arial"/>
          <w:sz w:val="28"/>
          <w:szCs w:val="28"/>
        </w:rPr>
        <w:t xml:space="preserve"> 206</w:t>
      </w:r>
      <w:r>
        <w:rPr>
          <w:rFonts w:ascii="Arial" w:hAnsi="Arial" w:cs="Arial"/>
          <w:sz w:val="28"/>
          <w:szCs w:val="28"/>
        </w:rPr>
        <w:t xml:space="preserve"> § 3º</w:t>
      </w:r>
      <w:r>
        <w:rPr>
          <w:rFonts w:ascii="Arial" w:hAnsi="Arial" w:cs="Arial"/>
          <w:sz w:val="28"/>
          <w:szCs w:val="28"/>
        </w:rPr>
        <w:t xml:space="preserve"> VIII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</w:p>
    <w:p w:rsidR="00886ABA" w:rsidP="00886ABA" w:rsidRDefault="00511630" w14:paraId="15EDE053" w14:textId="6C66D7CC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prescrição intercorrente </w:t>
      </w:r>
      <w:r>
        <w:rPr>
          <w:rFonts w:ascii="Arial" w:hAnsi="Arial" w:cs="Arial"/>
          <w:color w:val="808080"/>
          <w:sz w:val="28"/>
          <w:szCs w:val="28"/>
        </w:rPr>
        <w:t xml:space="preserve">corre</w:t>
      </w:r>
      <w:r>
        <w:rPr>
          <w:rFonts w:ascii="Arial" w:hAnsi="Arial" w:cs="Arial"/>
          <w:sz w:val="28"/>
          <w:szCs w:val="28"/>
        </w:rPr>
        <w:t xml:space="preserve"> automaticamente após o </w:t>
      </w:r>
      <w:r>
        <w:rPr>
          <w:rFonts w:ascii="Arial" w:hAnsi="Arial" w:cs="Arial"/>
          <w:color w:val="808080"/>
          <w:sz w:val="28"/>
          <w:szCs w:val="28"/>
        </w:rPr>
        <w:t xml:space="preserve">ano</w:t>
      </w:r>
      <w:r>
        <w:rPr>
          <w:rFonts w:ascii="Arial" w:hAnsi="Arial" w:cs="Arial"/>
          <w:sz w:val="28"/>
          <w:szCs w:val="28"/>
        </w:rPr>
        <w:t xml:space="preserve"> de suspensão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921</w:t>
      </w:r>
      <w:r>
        <w:rPr>
          <w:rFonts w:ascii="Arial" w:hAnsi="Arial" w:cs="Arial"/>
          <w:sz w:val="28"/>
          <w:szCs w:val="28"/>
        </w:rPr>
        <w:t xml:space="preserve"> III</w:t>
      </w:r>
      <w:r>
        <w:rPr>
          <w:rFonts w:ascii="Arial" w:hAnsi="Arial" w:cs="Arial"/>
          <w:color w:val="808080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§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1º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</w:p>
    <w:p w:rsidR="00386303" w:rsidP="00886ABA" w:rsidRDefault="00386303" w14:paraId="052E9496" w14:textId="3272E49D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7"/>
      <w:r>
        <w:rPr>
          <w:rFonts w:ascii="Arial" w:hAnsi="Arial" w:cs="Arial"/>
          <w:color w:val="808080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color w:val="808080"/>
          <w:sz w:val="28"/>
          <w:szCs w:val="28"/>
        </w:rPr>
        <w:t xml:space="preserve">Diligências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infrutíferas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ou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indeferidas</w:t>
      </w:r>
      <w:r>
        <w:rPr>
          <w:rFonts w:ascii="Arial" w:hAnsi="Arial" w:cs="Arial"/>
          <w:sz w:val="28"/>
          <w:szCs w:val="28"/>
        </w:rPr>
        <w:t xml:space="preserve"> e o </w:t>
      </w:r>
      <w:r>
        <w:rPr>
          <w:rFonts w:ascii="Arial" w:hAnsi="Arial" w:cs="Arial"/>
          <w:color w:val="808080"/>
          <w:sz w:val="28"/>
          <w:szCs w:val="28"/>
        </w:rPr>
        <w:t xml:space="preserve">mero</w:t>
      </w:r>
      <w:r>
        <w:rPr>
          <w:rFonts w:ascii="Arial" w:hAnsi="Arial" w:cs="Arial"/>
          <w:sz w:val="28"/>
          <w:szCs w:val="28"/>
        </w:rPr>
        <w:t xml:space="preserve"> peticionamento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interrompem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prescrição intercorrente</w:t>
      </w:r>
      <w:r>
        <w:rPr>
          <w:rFonts w:ascii="Arial" w:hAnsi="Arial" w:cs="Arial"/>
          <w:color w:val="808080"/>
          <w:sz w:val="28"/>
          <w:szCs w:val="28"/>
        </w:rPr>
        <w:t xml:space="preserve">, sendo necessária a efetiva constrição patrimonial</w:t>
      </w:r>
      <w:r>
        <w:rPr>
          <w:rFonts w:ascii="Arial" w:hAnsi="Arial" w:cs="Arial"/>
          <w:sz w:val="28"/>
          <w:szCs w:val="28"/>
        </w:rPr>
        <w:t xml:space="preserve"> (Tema 568/STJ).</w:t>
      </w:r>
      <w:commentRangeEnd w:id="7"/>
      <w:r>
        <w:rPr>
          <w:rStyle w:val="CommentReference"/>
        </w:rPr>
        <w:commentReference w:id="7"/>
      </w:r>
    </w:p>
    <w:p w:rsidR="00386303" w:rsidP="00886ABA" w:rsidRDefault="00386303" w14:paraId="67485164" w14:textId="0B4692C7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execução</w:t>
      </w:r>
      <w:r>
        <w:rPr>
          <w:rFonts w:ascii="Arial" w:hAnsi="Arial" w:cs="Arial"/>
          <w:sz w:val="28"/>
          <w:szCs w:val="28"/>
        </w:rPr>
        <w:t xml:space="preserve"> foi </w:t>
      </w:r>
      <w:r>
        <w:rPr>
          <w:rFonts w:ascii="Arial" w:hAnsi="Arial" w:cs="Arial"/>
          <w:color w:val="808080"/>
          <w:sz w:val="28"/>
          <w:szCs w:val="28"/>
        </w:rPr>
        <w:t xml:space="preserve">suspensa</w:t>
      </w:r>
      <w:r>
        <w:rPr>
          <w:rFonts w:ascii="Arial" w:hAnsi="Arial" w:cs="Arial"/>
          <w:sz w:val="28"/>
          <w:szCs w:val="28"/>
        </w:rPr>
        <w:t xml:space="preserve"> em </w:t>
      </w:r>
      <w:r>
        <w:rPr>
          <w:rFonts w:ascii="Arial" w:hAnsi="Arial" w:cs="Arial"/>
          <w:color w:val="808080"/>
          <w:sz w:val="28"/>
          <w:szCs w:val="28"/>
        </w:rPr>
        <w:t xml:space="preserve">04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/2021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prazo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voltou a correr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17/11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/2022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localização</w:t>
      </w:r>
      <w:r>
        <w:rPr>
          <w:rFonts w:ascii="Arial" w:hAnsi="Arial" w:cs="Arial"/>
          <w:sz w:val="28"/>
          <w:szCs w:val="28"/>
        </w:rPr>
        <w:t xml:space="preserve"> 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bens</w:t>
      </w:r>
      <w:r>
        <w:rPr>
          <w:rFonts w:ascii="Arial" w:hAnsi="Arial" w:cs="Arial"/>
          <w:sz w:val="28"/>
          <w:szCs w:val="28"/>
        </w:rPr>
        <w:t xml:space="preserve">, a prescrição </w:t>
      </w:r>
      <w:r>
        <w:rPr>
          <w:rFonts w:ascii="Arial" w:hAnsi="Arial" w:cs="Arial"/>
          <w:sz w:val="28"/>
          <w:szCs w:val="28"/>
        </w:rPr>
        <w:t xml:space="preserve">se consumou </w:t>
      </w:r>
      <w:r>
        <w:rPr>
          <w:rFonts w:ascii="Arial" w:hAnsi="Arial" w:cs="Arial"/>
          <w:color w:val="808080"/>
          <w:sz w:val="28"/>
          <w:szCs w:val="28"/>
        </w:rPr>
        <w:t xml:space="preserve">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17/11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/2025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9. Não cabe nova manifestação do Juízo de origem sobre as diligências indeferidas.</w:t>
      </w:r>
    </w:p>
    <w:p w:rsidRPr="0034247B" w:rsidR="00886ABA" w:rsidP="00886ABA" w:rsidRDefault="00886ABA" w14:paraId="61C39010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:rsidRPr="00E87018" w:rsidR="00886ABA" w:rsidP="00886ABA" w:rsidRDefault="00062B87" w14:paraId="267AB3B2" w14:textId="2C0A611F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Negou-se provimento ao apelo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 do exequente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.</w:t>
      </w:r>
    </w:p>
    <w:p w:rsidRPr="00E87018" w:rsidR="00886ABA" w:rsidP="00886ABA" w:rsidRDefault="008B62DA" w14:paraId="4C4C6D22" w14:textId="4AF1698F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rFonts w:ascii="Arial" w:hAnsi="Arial" w:eastAsia="Arial" w:cs="Arial"/>
          <w:color w:val="000000" w:themeColor="text1"/>
          <w:sz w:val="28"/>
          <w:szCs w:val="28"/>
        </w:rPr>
        <w:t>_______</w:t>
      </w:r>
    </w:p>
    <w:p w:rsidR="00886ABA" w:rsidP="00886ABA" w:rsidRDefault="00886ABA" w14:paraId="2B039768" w14:textId="4EA69D1C">
      <w:pPr>
        <w:spacing w:after="0" w:line="360" w:lineRule="auto"/>
        <w:jc w:val="both"/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hAnsi="Arial" w:eastAsia="Arial" w:cs="Arial"/>
          <w:i w:val="0"/>
          <w:iCs/>
          <w:color w:val="808080"/>
          <w:sz w:val="26"/>
          <w:szCs w:val="26"/>
        </w:rPr>
        <w:t xml:space="preserve">CC 206 § 3º VIII;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CPC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 85 § 11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921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III e §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1º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924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V;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Lei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10.931/2004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44;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LUG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70.</w:t>
      </w:r>
    </w:p>
    <w:p w:rsidRPr="00062B87" w:rsidR="00886ABA" w:rsidP="00886ABA" w:rsidRDefault="00886ABA" w14:paraId="43D43365" w14:textId="2C41AA64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6"/>
          <w:szCs w:val="26"/>
        </w:rPr>
      </w:pPr>
      <w:commentRangeStart w:id="8"/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Jurisprudência relevante citada: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TJDFT, Acórdão 2073134,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Processo nº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0703646-12.2017.8.07.0001, Rel. Des. Jansen Fialho de Almeida, 4ª Turma Cível, j. 27/11/2025, DJe 11/12/2025;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 STJ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REsp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nº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1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340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553/RS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Rel.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Min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Mauro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Campbell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Marques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Primeira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Seção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j.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12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09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2018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DJe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16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10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2018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Tema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Repetitivo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i w:val="0"/>
          <w:color w:val="808080"/>
          <w:sz w:val="26"/>
          <w:szCs w:val="26"/>
        </w:rPr>
        <w:t xml:space="preserve">568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  <w:commentRangeEnd w:id="8"/>
      <w:r>
        <w:rPr>
          <w:rStyle w:val="CommentReference"/>
        </w:rPr>
        <w:commentReference w:id="8"/>
      </w:r>
    </w:p>
    <w:p w:rsidR="00886ABA" w:rsidP="00DB1301" w:rsidRDefault="00886ABA" w14:paraId="58E96891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715D4D" w:rsidR="00386303" w:rsidP="00386303" w:rsidRDefault="00386303" w14:paraId="5A526B80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RESUMO DA APELAÇÃO</w:t>
      </w:r>
    </w:p>
    <w:p w:rsidRPr="00715D4D" w:rsidR="00386303" w:rsidP="00386303" w:rsidRDefault="00386303" w14:paraId="26F2EB89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I. RAZÕES RECURSAIS</w:t>
      </w:r>
    </w:p>
    <w:p w:rsidRPr="00715D4D" w:rsidR="00386303" w:rsidP="00386303" w:rsidRDefault="00386303" w14:paraId="5042BF09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Pressupostos de admissibilidade</w:t>
      </w:r>
    </w:p>
    <w:p w:rsidRPr="00715D4D" w:rsidR="00386303" w:rsidP="00386303" w:rsidRDefault="00386303" w14:paraId="2BA79510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O apelante sustenta a tempestividade do recurso, protocolado em 26/06/2026, data indicada como termo final do prazo recursal, bem como o regular recolhimento do preparo.</w:t>
      </w:r>
    </w:p>
    <w:p w:rsidRPr="00715D4D" w:rsidR="00386303" w:rsidP="00386303" w:rsidRDefault="00386303" w14:paraId="570E43A7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Requisitos cumulativos da prescrição intercorrente</w:t>
      </w:r>
    </w:p>
    <w:p w:rsidRPr="00715D4D" w:rsidR="00386303" w:rsidP="00386303" w:rsidRDefault="00386303" w14:paraId="59464A63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Alega que o reconhecimento da prescrição intercorrente não decorre apenas do transcurso do prazo prescricional, exigindo também a demonstração da efetiva inércia do exequente na adoção das providências necessárias ao andamento da execução.</w:t>
      </w:r>
    </w:p>
    <w:p w:rsidRPr="00715D4D" w:rsidR="00386303" w:rsidP="00386303" w:rsidRDefault="00386303" w14:paraId="78A0A74E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Ausência de inércia do exequente</w:t>
      </w:r>
    </w:p>
    <w:p w:rsidRPr="00715D4D" w:rsidR="00386303" w:rsidP="00386303" w:rsidRDefault="00386303" w14:paraId="463F5864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Afirma que não houve abandono ou desídia processual, pois o exequente formulou sucessivos requerimentos destinados à localização de bens penhoráveis e promoveu pesquisas patrimoniais pelos sistemas disponibilizados ao Poder Judiciário, com o objetivo de satisfazer o crédito executado.</w:t>
      </w:r>
    </w:p>
    <w:p w:rsidRPr="00715D4D" w:rsidR="00386303" w:rsidP="00386303" w:rsidRDefault="00386303" w14:paraId="072ED451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Insucesso das diligências patrimoniais</w:t>
      </w:r>
    </w:p>
    <w:p w:rsidRPr="00715D4D" w:rsidR="00386303" w:rsidP="00386303" w:rsidRDefault="00386303" w14:paraId="2A93CEB1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Defende que a inexistência de bens localizáveis e o resultado infrutífero das diligências patrimoniais não se confundem com inércia processual, uma vez que a prescrição intercorrente pressupõe comportamento omissivo imputável ao credor.</w:t>
      </w:r>
    </w:p>
    <w:p w:rsidRPr="00715D4D" w:rsidR="00386303" w:rsidP="00386303" w:rsidRDefault="00386303" w14:paraId="036D16AD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Ausência de identificação de período de desídia</w:t>
      </w:r>
    </w:p>
    <w:p w:rsidRPr="00715D4D" w:rsidR="00386303" w:rsidP="00386303" w:rsidRDefault="00386303" w14:paraId="0B0B8B12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Sustenta que a sentença se limitou a registrar a ausência de bens penhoráveis, sem indicar período concreto de desídia do exequente ou conduta omissiva capaz de caracterizar abandono da execução.</w:t>
      </w:r>
    </w:p>
    <w:p w:rsidRPr="00715D4D" w:rsidR="00386303" w:rsidP="00386303" w:rsidRDefault="00386303" w14:paraId="54E2E90F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Incompatibilidade entre os atos de impulso e a prescrição</w:t>
      </w:r>
    </w:p>
    <w:p w:rsidRPr="00715D4D" w:rsidR="00386303" w:rsidP="00386303" w:rsidRDefault="00386303" w14:paraId="2013D525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Argumenta que a continuidade das diligências destinadas à localização do patrimônio do executado é incompatível com o reconhecimento da prescrição intercorrente, por afastar um de seus requisitos indispensáveis: a inércia do titular da pretensão executória.</w:t>
      </w:r>
    </w:p>
    <w:p w:rsidRPr="00715D4D" w:rsidR="00386303" w:rsidP="00386303" w:rsidRDefault="00386303" w14:paraId="33E4A71C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Jurisprudência invocada</w:t>
      </w:r>
    </w:p>
    <w:p w:rsidRPr="00715D4D" w:rsidR="00386303" w:rsidP="00386303" w:rsidRDefault="00386303" w14:paraId="65EBBFA0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Invoca precedentes do Superior Tribunal de Justiça segundo os quais a prescrição intercorrente depende da presença concomitante do decurso do prazo legal e da inércia do credor, não sendo suficiente a mera ausência de êxito nas medidas constritivas ou nas pesquisas patrimoniais. Também menciona precedente de tribunal estadual no sentido de que a atuação diligente do exequente impede a declaração da prescrição intercorrente.</w:t>
      </w:r>
    </w:p>
    <w:p w:rsidRPr="00715D4D" w:rsidR="00386303" w:rsidP="00386303" w:rsidRDefault="00386303" w14:paraId="202350E4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II. PEDIDO</w:t>
      </w:r>
    </w:p>
    <w:p w:rsidRPr="00715D4D" w:rsidR="00386303" w:rsidP="00386303" w:rsidRDefault="00386303" w14:paraId="05E306A9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Requer o conhecimento e o provimento da apelação para reformar a sentença, afastar o reconhecimento da prescrição intercorrente e determinar o regular prosseguimento da execução, em razão da ausência de inércia do exequente.</w:t>
      </w:r>
    </w:p>
    <w:p w:rsidRPr="00715D4D" w:rsidR="00386303" w:rsidP="00386303" w:rsidRDefault="00386303" w14:paraId="71832DF9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Subsidiariamente, requer a anulação da sentença e o retorno dos autos ao juízo de origem para novo julgamento, com apreciação integral das diligências promovidas pelo credor e dos fatos potencialmente impeditivos da prescrição intercorrente.</w:t>
      </w:r>
    </w:p>
    <w:p w:rsidRPr="00715D4D" w:rsidR="00386303" w:rsidP="00386303" w:rsidRDefault="00386303" w14:paraId="5087AC95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Critério de síntese</w:t>
      </w:r>
    </w:p>
    <w:p w:rsidRPr="00386303" w:rsidR="00E87018" w:rsidP="00386303" w:rsidRDefault="00386303" w14:paraId="38C16038" w14:textId="7FF4A52B">
      <w:pPr>
        <w:spacing w:after="0" w:line="360" w:lineRule="auto"/>
        <w:jc w:val="both"/>
        <w:rPr>
          <w:rFonts w:ascii="Arial" w:hAnsi="Arial" w:cs="Arial"/>
          <w:color w:val="FF0000"/>
        </w:rPr>
      </w:pPr>
      <w:r w:rsidRPr="00715D4D">
        <w:rPr>
          <w:rFonts w:cstheme="minorHAnsi"/>
          <w:color w:val="FF0000"/>
        </w:rPr>
        <w:t>O resumo separa os requisitos de admissibilidade, a tese jurídica central, sua aplicação ao caso concreto e os pedidos principal e subsidiário, preservando a distinção defendida no recurso entre ausência de bens penhoráveis e inércia processual do exequente.</w:t>
      </w:r>
    </w:p>
    <w:p w:rsidR="00E87018" w:rsidP="00DB1301" w:rsidRDefault="00E87018" w14:paraId="08F96DB0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DB1301" w:rsidP="00355C73" w:rsidRDefault="00F63CDB" w14:paraId="63358632" w14:textId="19BA68B6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:rsidR="00DB1301" w:rsidP="00DB1301" w:rsidRDefault="00DB1301" w14:paraId="5B804E7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B1301" w:rsidP="00DB1301" w:rsidRDefault="00F63CDB" w14:paraId="354DD0FB" w14:textId="04C8739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:rsidR="00167F3A" w:rsidP="00DB1301" w:rsidRDefault="00167F3A" w14:paraId="21AD02C0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0525EE" w:rsidR="000525EE" w:rsidP="000525EE" w:rsidRDefault="00F63CDB" w14:paraId="5DA05AEC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Pr="000525EE" w:rsidR="000525EE">
        <w:rPr>
          <w:rFonts w:ascii="Arial" w:hAnsi="Arial" w:cs="Arial"/>
          <w:i/>
          <w:iCs/>
          <w:sz w:val="26"/>
          <w:szCs w:val="26"/>
        </w:rPr>
        <w:t>Cuida-se de execução de título extrajudicial, fundada em cédula de crédito bancário (id. 31007236).</w:t>
      </w:r>
    </w:p>
    <w:p w:rsidRPr="000525EE" w:rsidR="000525EE" w:rsidP="000525EE" w:rsidRDefault="000525EE" w14:paraId="57AC702C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525EE">
        <w:rPr>
          <w:rFonts w:ascii="Arial" w:hAnsi="Arial" w:cs="Arial"/>
          <w:i/>
          <w:iCs/>
          <w:sz w:val="26"/>
          <w:szCs w:val="26"/>
        </w:rPr>
        <w:t>Foram realizadas diversas diligências com vistas à expropriação de bens para o adimplemento do débito exequendo, sem êxito. Diante disso, à falta de bens, a execução permaneceu suspensa pelo prazo de 01 (ano), nos termos do art. 921, III, do CPC, conforme decisão proferida em 04/11/2021 (id. 107565005).</w:t>
      </w:r>
    </w:p>
    <w:p w:rsidRPr="000525EE" w:rsidR="000525EE" w:rsidP="000525EE" w:rsidRDefault="000525EE" w14:paraId="26E5844E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525EE">
        <w:rPr>
          <w:rFonts w:ascii="Arial" w:hAnsi="Arial" w:cs="Arial"/>
          <w:i/>
          <w:iCs/>
          <w:sz w:val="26"/>
          <w:szCs w:val="26"/>
        </w:rPr>
        <w:t>Após o transcurso do prazo de suspensão, iniciou-se automaticamente o prazo de prescrição intercorrente. Nesse interregno, não ocorreu a penhora de bens e os autos foram arquivados provisoriamente (id. 144848082).</w:t>
      </w:r>
    </w:p>
    <w:p w:rsidRPr="000A7009" w:rsidR="00F63CDB" w:rsidP="000525EE" w:rsidRDefault="000525EE" w14:paraId="2A1367AB" w14:textId="3DAEF834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525EE">
        <w:rPr>
          <w:rFonts w:ascii="Arial" w:hAnsi="Arial" w:cs="Arial"/>
          <w:i/>
          <w:iCs/>
          <w:sz w:val="26"/>
          <w:szCs w:val="26"/>
        </w:rPr>
        <w:t>Por fim, anoto que as partes foram intimadas a se manifestarem sobre a prescrição (id. 262064545).</w:t>
      </w:r>
      <w:r w:rsidRPr="00E926C7" w:rsidR="0061262D">
        <w:rPr>
          <w:rFonts w:ascii="Arial" w:hAnsi="Arial" w:cs="Arial"/>
          <w:sz w:val="26"/>
          <w:szCs w:val="26"/>
        </w:rPr>
        <w:t xml:space="preserve">” (ID </w:t>
      </w:r>
      <w:r w:rsidR="00E926C7">
        <w:rPr>
          <w:rFonts w:ascii="Arial" w:hAnsi="Arial" w:cs="Arial"/>
          <w:sz w:val="26"/>
          <w:szCs w:val="26"/>
        </w:rPr>
        <w:t>89383872</w:t>
      </w:r>
      <w:r w:rsidRPr="00E926C7" w:rsidR="0061262D">
        <w:rPr>
          <w:rFonts w:ascii="Arial" w:hAnsi="Arial" w:cs="Arial"/>
          <w:sz w:val="26"/>
          <w:szCs w:val="26"/>
        </w:rPr>
        <w:t>).</w:t>
      </w:r>
    </w:p>
    <w:p w:rsidR="00F63CDB" w:rsidP="00DB1301" w:rsidRDefault="00F63CDB" w14:paraId="6232110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A40FBB" w:rsidR="0061262D" w:rsidP="00DB1301" w:rsidRDefault="008235A6" w14:paraId="04E520D9" w14:textId="21CAF3B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9"/>
      <w:r w:rsidRPr="00A40FBB">
        <w:rPr>
          <w:rFonts w:ascii="Arial" w:hAnsi="Arial" w:cs="Arial"/>
          <w:sz w:val="28"/>
          <w:szCs w:val="28"/>
        </w:rPr>
        <w:t xml:space="preserve">A MM. Juíza </w:t>
      </w:r>
      <w:r w:rsidR="007A32D4">
        <w:rPr>
          <w:rFonts w:ascii="Arial" w:hAnsi="Arial" w:cs="Arial"/>
          <w:sz w:val="28"/>
          <w:szCs w:val="28"/>
        </w:rPr>
        <w:t>s</w:t>
      </w:r>
      <w:r w:rsidRPr="00A40FBB">
        <w:rPr>
          <w:rFonts w:ascii="Arial" w:hAnsi="Arial" w:cs="Arial"/>
          <w:sz w:val="28"/>
          <w:szCs w:val="28"/>
        </w:rPr>
        <w:t>entenciante, Dra.</w:t>
      </w:r>
      <w:r w:rsidRPr="00A40FBB" w:rsidR="003524E5">
        <w:rPr>
          <w:rFonts w:ascii="Arial" w:hAnsi="Arial" w:cs="Arial"/>
          <w:sz w:val="28"/>
          <w:szCs w:val="28"/>
        </w:rPr>
        <w:t xml:space="preserve"> </w:t>
      </w:r>
      <w:r w:rsidRPr="00A40FBB" w:rsidR="00A40FBB">
        <w:rPr>
          <w:rFonts w:ascii="Arial" w:hAnsi="Arial" w:cs="Arial"/>
          <w:sz w:val="28"/>
          <w:szCs w:val="28"/>
        </w:rPr>
        <w:t>Edioni da Costa Lima</w:t>
      </w:r>
      <w:r w:rsidRPr="00A40FBB" w:rsidR="003524E5">
        <w:rPr>
          <w:rFonts w:ascii="Arial" w:hAnsi="Arial" w:cs="Arial"/>
          <w:sz w:val="28"/>
          <w:szCs w:val="28"/>
        </w:rPr>
        <w:t>, da</w:t>
      </w:r>
      <w:r w:rsidRPr="00A40FBB" w:rsidR="0006080C">
        <w:rPr>
          <w:rFonts w:ascii="Arial" w:hAnsi="Arial" w:cs="Arial"/>
          <w:sz w:val="28"/>
          <w:szCs w:val="28"/>
        </w:rPr>
        <w:t xml:space="preserve"> </w:t>
      </w:r>
      <w:r w:rsidRPr="00A40FBB" w:rsidR="00A40FBB">
        <w:rPr>
          <w:rFonts w:ascii="Arial" w:hAnsi="Arial" w:cs="Arial"/>
          <w:sz w:val="28"/>
          <w:szCs w:val="28"/>
        </w:rPr>
        <w:t>2ª Vara de Execução de Títulos Extrajudiciais e Conflitos Arbitrais de Brasília</w:t>
      </w:r>
      <w:r w:rsidRPr="00A40FBB" w:rsidR="003524E5">
        <w:rPr>
          <w:rFonts w:ascii="Arial" w:hAnsi="Arial" w:cs="Arial"/>
          <w:sz w:val="28"/>
          <w:szCs w:val="28"/>
        </w:rPr>
        <w:t>, julgou no seguinte sentido:</w:t>
      </w:r>
      <w:commentRangeEnd w:id="9"/>
      <w:r>
        <w:rPr>
          <w:rStyle w:val="CommentReference"/>
        </w:rPr>
        <w:commentReference w:id="9"/>
      </w:r>
    </w:p>
    <w:p w:rsidRPr="00A40FBB" w:rsidR="0061262D" w:rsidP="00DB1301" w:rsidRDefault="0061262D" w14:paraId="12E5EEA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A40FBB" w:rsidR="00A40FBB" w:rsidP="00A40FBB" w:rsidRDefault="0006080C" w14:paraId="1991C05E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40FBB">
        <w:rPr>
          <w:rFonts w:ascii="Arial" w:hAnsi="Arial" w:cs="Arial"/>
          <w:sz w:val="26"/>
          <w:szCs w:val="26"/>
        </w:rPr>
        <w:t>“</w:t>
      </w:r>
      <w:r w:rsidRPr="00A40FBB" w:rsidR="00A40FBB">
        <w:rPr>
          <w:rFonts w:ascii="Arial" w:hAnsi="Arial" w:cs="Arial"/>
          <w:i/>
          <w:iCs/>
          <w:sz w:val="26"/>
          <w:szCs w:val="26"/>
        </w:rPr>
        <w:t>Ante o exposto, pronuncio a prescrição intercorrente da pretensão executiva e, por conseguinte, julgo extinto o processo executivo nos termos do art. 924, V, do CPC.</w:t>
      </w:r>
    </w:p>
    <w:p w:rsidRPr="00A40FBB" w:rsidR="0006080C" w:rsidP="00A40FBB" w:rsidRDefault="00A40FBB" w14:paraId="163354A9" w14:textId="1335041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40FBB">
        <w:rPr>
          <w:rFonts w:ascii="Arial" w:hAnsi="Arial" w:cs="Arial"/>
          <w:i/>
          <w:iCs/>
          <w:sz w:val="26"/>
          <w:szCs w:val="26"/>
        </w:rPr>
        <w:t>Sem ônus sucumbenciais, consoante art. 921, § 5°, do CPC.</w:t>
      </w:r>
      <w:r w:rsidRPr="00A40FBB" w:rsidR="0006080C">
        <w:rPr>
          <w:rFonts w:ascii="Arial" w:hAnsi="Arial" w:cs="Arial"/>
          <w:i/>
          <w:iCs/>
          <w:sz w:val="26"/>
          <w:szCs w:val="26"/>
        </w:rPr>
        <w:t>”</w:t>
      </w:r>
    </w:p>
    <w:p w:rsidRPr="00A40FBB" w:rsidR="0006080C" w:rsidP="00DB1301" w:rsidRDefault="0006080C" w14:paraId="7827D2E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E86190" w:rsidR="00882188" w:rsidP="00A40FBB" w:rsidRDefault="00882188" w14:paraId="756A258C" w14:textId="60487819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10"/>
      <w:r>
        <w:rPr>
          <w:rFonts w:ascii="Arial" w:hAnsi="Arial" w:cs="Arial"/>
          <w:sz w:val="28"/>
          <w:szCs w:val="28"/>
        </w:rPr>
        <w:t xml:space="preserve">Apelo </w:t>
      </w:r>
      <w:r>
        <w:rPr>
          <w:rFonts w:ascii="Arial" w:hAnsi="Arial" w:cs="Arial"/>
          <w:sz w:val="28"/>
          <w:szCs w:val="28"/>
        </w:rPr>
        <w:t xml:space="preserve">do exequente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BRB – Banco de Brasília S.A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89383876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</w:t>
      </w:r>
      <w:r>
        <w:rPr>
          <w:rFonts w:ascii="Arial" w:hAnsi="Arial" w:cs="Arial"/>
          <w:color w:val="808080"/>
          <w:sz w:val="28"/>
          <w:szCs w:val="28"/>
        </w:rPr>
        <w:t xml:space="preserve">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a prescrição intercorrente pressupõe não apenas o decurso do tempo, mas a existência de inércia do credor, o que não se verifica no caso</w:t>
      </w:r>
      <w:r>
        <w:rPr>
          <w:rFonts w:ascii="Arial" w:hAnsi="Arial" w:cs="Arial"/>
          <w:color w:val="808080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apresentou </w:t>
      </w:r>
      <w:r>
        <w:rPr>
          <w:rFonts w:ascii="Arial" w:hAnsi="Arial" w:cs="Arial"/>
          <w:sz w:val="28"/>
          <w:szCs w:val="28"/>
        </w:rPr>
        <w:t xml:space="preserve">sucessivos requerimentos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destinados à localização de bens penhoráveis, </w:t>
      </w:r>
      <w:r>
        <w:rPr>
          <w:rFonts w:ascii="Arial" w:hAnsi="Arial" w:cs="Arial"/>
          <w:sz w:val="28"/>
          <w:szCs w:val="28"/>
        </w:rPr>
        <w:t xml:space="preserve">mediante</w:t>
      </w:r>
      <w:r>
        <w:rPr>
          <w:rFonts w:ascii="Arial" w:hAnsi="Arial" w:cs="Arial"/>
          <w:sz w:val="28"/>
          <w:szCs w:val="28"/>
        </w:rPr>
        <w:t xml:space="preserve"> pesquisas</w:t>
      </w:r>
      <w:r>
        <w:rPr>
          <w:rFonts w:ascii="Arial" w:hAnsi="Arial" w:cs="Arial"/>
          <w:sz w:val="28"/>
          <w:szCs w:val="28"/>
        </w:rPr>
        <w:t xml:space="preserve"> em </w:t>
      </w:r>
      <w:r>
        <w:rPr>
          <w:rFonts w:ascii="Arial" w:hAnsi="Arial" w:cs="Arial"/>
          <w:sz w:val="28"/>
          <w:szCs w:val="28"/>
        </w:rPr>
        <w:t xml:space="preserve">sistemas</w:t>
      </w:r>
      <w:r>
        <w:rPr>
          <w:rFonts w:ascii="Arial" w:hAnsi="Arial" w:cs="Arial"/>
          <w:sz w:val="28"/>
          <w:szCs w:val="28"/>
        </w:rPr>
        <w:t xml:space="preserve"> eletrônicos.</w:t>
      </w:r>
      <w:commentRangeEnd w:id="10"/>
      <w:r>
        <w:rPr>
          <w:rStyle w:val="CommentReference"/>
        </w:rPr>
        <w:commentReference w:id="10"/>
      </w:r>
    </w:p>
    <w:p w:rsidRPr="00882188" w:rsidR="00882188" w:rsidP="00882188" w:rsidRDefault="00882188" w14:paraId="042F6C97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82188" w:rsidR="00882188" w:rsidP="00882188" w:rsidRDefault="00882188" w14:paraId="2A6592BB" w14:textId="43FF325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946FF7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 xml:space="preserve">a </w:t>
      </w:r>
      <w:r w:rsidR="00A40FBB">
        <w:rPr>
          <w:rFonts w:ascii="Arial" w:hAnsi="Arial" w:cs="Arial"/>
          <w:sz w:val="28"/>
          <w:szCs w:val="28"/>
        </w:rPr>
        <w:t>cassação</w:t>
      </w:r>
      <w:r w:rsidR="006D07B9">
        <w:rPr>
          <w:rFonts w:ascii="Arial" w:hAnsi="Arial" w:cs="Arial"/>
          <w:sz w:val="28"/>
          <w:szCs w:val="28"/>
        </w:rPr>
        <w:t xml:space="preserve"> da r. sentença </w:t>
      </w:r>
      <w:r w:rsidR="00A40FBB">
        <w:rPr>
          <w:rFonts w:ascii="Arial" w:hAnsi="Arial" w:cs="Arial"/>
          <w:sz w:val="28"/>
          <w:szCs w:val="28"/>
        </w:rPr>
        <w:t>e o prosseguimento do feito executivo, ou, subsidiariamente, a sua anulação para que haja novo pronunciamento sobre as diligências promovidas.</w:t>
      </w:r>
    </w:p>
    <w:p w:rsidRPr="00882188" w:rsidR="00882188" w:rsidP="00882188" w:rsidRDefault="00882188" w14:paraId="15BADA6A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82188" w:rsidR="00882188" w:rsidP="00A40FBB" w:rsidRDefault="00882188" w14:paraId="3C59DD1D" w14:textId="19FCF35E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89383879)</w:t>
      </w:r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 Curadoria Especial</w:t>
      </w:r>
      <w:r>
        <w:rPr>
          <w:rFonts w:ascii="Arial" w:hAnsi="Arial" w:cs="Arial"/>
          <w:sz w:val="28"/>
          <w:szCs w:val="28"/>
        </w:rPr>
        <w:t xml:space="preserve"> alega que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requerimentos tardios e infrutíferos formulados pelo credor não </w:t>
      </w:r>
      <w:r>
        <w:rPr>
          <w:rFonts w:ascii="Arial" w:hAnsi="Arial" w:cs="Arial"/>
          <w:sz w:val="28"/>
          <w:szCs w:val="28"/>
        </w:rPr>
        <w:t xml:space="preserve">interrompem</w:t>
      </w:r>
      <w:r>
        <w:rPr>
          <w:rFonts w:ascii="Arial" w:hAnsi="Arial" w:cs="Arial"/>
          <w:sz w:val="28"/>
          <w:szCs w:val="28"/>
        </w:rPr>
        <w:t xml:space="preserve"> a prescrição intercorrente</w:t>
      </w:r>
      <w:r>
        <w:rPr>
          <w:rFonts w:ascii="Arial" w:hAnsi="Arial" w:cs="Arial"/>
          <w:sz w:val="28"/>
          <w:szCs w:val="28"/>
        </w:rPr>
        <w:t xml:space="preserve">.</w:t>
      </w:r>
    </w:p>
    <w:p w:rsidRPr="00882188" w:rsidR="00882188" w:rsidP="00882188" w:rsidRDefault="00882188" w14:paraId="5E847BB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63CDB" w:rsidP="00882188" w:rsidRDefault="00882188" w14:paraId="1F0E0E82" w14:textId="6FC4357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:rsidR="00882188" w:rsidP="00DB1301" w:rsidRDefault="00882188" w14:paraId="2D9FEE4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355C73" w:rsidRDefault="00355C73" w14:paraId="42AEDC34" w14:textId="55B9F79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882188" w:rsidP="00DB1301" w:rsidRDefault="00882188" w14:paraId="5A5C960D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55C73" w:rsidR="00882188" w:rsidP="00355C73" w:rsidRDefault="00355C73" w14:paraId="1869B69C" w14:textId="7A25C94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:rsidR="00882188" w:rsidP="00DB1301" w:rsidRDefault="00882188" w14:paraId="5518CFBB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55C73" w:rsidR="00355C73" w:rsidP="00355C73" w:rsidRDefault="00355C73" w14:paraId="39B1C8E2" w14:textId="1BE1B14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:rsidR="00355C73" w:rsidP="00DB1301" w:rsidRDefault="00355C73" w14:paraId="2F38563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355C73" w:rsidP="00DB1301" w:rsidRDefault="00A72414" w14:paraId="61AE6B8E" w14:textId="0F1DB93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16/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2013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sz w:val="28"/>
          <w:szCs w:val="28"/>
        </w:rPr>
        <w:t xml:space="preserve">29/</w:t>
      </w:r>
      <w:r>
        <w:rPr>
          <w:rFonts w:ascii="Arial" w:hAnsi="Arial" w:cs="Arial"/>
          <w:color w:val="808080"/>
          <w:sz w:val="28"/>
          <w:szCs w:val="28"/>
        </w:rPr>
        <w:t xml:space="preserve">05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26/</w:t>
      </w:r>
      <w:r>
        <w:rPr>
          <w:rFonts w:ascii="Arial" w:hAnsi="Arial" w:cs="Arial"/>
          <w:color w:val="808080"/>
          <w:sz w:val="28"/>
          <w:szCs w:val="28"/>
        </w:rPr>
        <w:t xml:space="preserve">06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Valor da causa: R$ </w:t>
      </w:r>
      <w:r>
        <w:rPr>
          <w:rFonts w:ascii="Arial" w:hAnsi="Arial" w:cs="Arial"/>
          <w:sz w:val="28"/>
          <w:szCs w:val="28"/>
        </w:rPr>
        <w:t xml:space="preserve">55.429,91</w:t>
      </w:r>
      <w:r>
        <w:rPr>
          <w:rFonts w:ascii="Arial" w:hAnsi="Arial" w:cs="Arial"/>
          <w:sz w:val="28"/>
          <w:szCs w:val="28"/>
        </w:rPr>
        <w:t xml:space="preserve">.</w:t>
      </w:r>
      <w:commentRangeEnd w:id="11"/>
      <w:r>
        <w:rPr>
          <w:rStyle w:val="CommentReference"/>
        </w:rPr>
        <w:commentReference w:id="11"/>
      </w:r>
    </w:p>
    <w:p w:rsidR="00355C73" w:rsidP="00DB1301" w:rsidRDefault="00355C73" w14:paraId="58BDE93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7E1C8C" w:rsidR="00355C73" w:rsidP="00A72414" w:rsidRDefault="00A72414" w14:paraId="2C5A86CD" w14:textId="3D5E564D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DO </w:t>
      </w:r>
      <w:r w:rsidR="005F0EBE">
        <w:rPr>
          <w:rFonts w:ascii="Arial" w:hAnsi="Arial" w:cs="Arial"/>
          <w:b/>
          <w:bCs/>
          <w:color w:val="000000" w:themeColor="text1"/>
          <w:sz w:val="28"/>
          <w:szCs w:val="28"/>
        </w:rPr>
        <w:t>EXEQUENTE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5F0EBE">
        <w:rPr>
          <w:rFonts w:ascii="Arial" w:hAnsi="Arial" w:cs="Arial"/>
          <w:b/>
          <w:bCs/>
          <w:color w:val="000000" w:themeColor="text1"/>
          <w:sz w:val="28"/>
          <w:szCs w:val="28"/>
        </w:rPr>
        <w:t>BRB – BANCO DE BRASÍLIA S.A.</w:t>
      </w:r>
    </w:p>
    <w:p w:rsidRPr="007E1C8C" w:rsidR="00A72414" w:rsidP="00DB1301" w:rsidRDefault="00A72414" w14:paraId="187A5EFC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E1C8C" w:rsidR="00A72414" w:rsidP="00DB1301" w:rsidRDefault="00A958AF" w14:paraId="2E63BFE0" w14:textId="2DE55355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72414" w:rsidP="00DB1301" w:rsidRDefault="00A72414" w14:paraId="6DD4E06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A72414" w:rsidP="00495EB5" w:rsidRDefault="005F0EBE" w14:paraId="4AC060DA" w14:textId="6B5B91BD">
      <w:pPr>
        <w:spacing w:after="0" w:line="360" w:lineRule="auto"/>
        <w:ind/>
        <w:jc w:val="center"/>
        <w:rPr>
          <w:rFonts w:ascii="Arial" w:hAnsi="Arial" w:cs="Arial"/>
          <w:sz w:val="28"/>
          <w:szCs w:val="28"/>
        </w:rPr>
      </w:pPr>
      <w:commentRangeStart w:id="12"/>
      <w:commentRangeStart w:id="3"/>
      <w:r>
        <w:rPr>
          <w:rFonts w:ascii="Arial" w:hAnsi="Arial" w:cs="Arial"/>
          <w:sz w:val="28"/>
          <w:szCs w:val="28"/>
          <w:highlight w:val="yellow"/>
        </w:rPr>
        <w:t xml:space="preserve">DA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MANUTENÇÃO</w:t>
      </w:r>
      <w:r>
        <w:rPr>
          <w:rFonts w:ascii="Arial" w:hAnsi="Arial" w:cs="Arial"/>
          <w:sz w:val="28"/>
          <w:szCs w:val="28"/>
          <w:highlight w:val="yellow"/>
        </w:rPr>
        <w:t xml:space="preserve"> DA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EXTINÇÃO DA EXECUÇÃO PELA</w:t>
      </w:r>
      <w:r>
        <w:rPr>
          <w:rFonts w:ascii="Arial" w:hAnsi="Arial" w:cs="Arial"/>
          <w:sz w:val="28"/>
          <w:szCs w:val="28"/>
          <w:highlight w:val="yellow"/>
        </w:rPr>
        <w:t xml:space="preserve"> PRESCRIÇÃO </w:t>
      </w:r>
      <w:r>
        <w:rPr>
          <w:rFonts w:ascii="Arial" w:hAnsi="Arial" w:cs="Arial"/>
          <w:sz w:val="28"/>
          <w:szCs w:val="28"/>
          <w:highlight w:val="yellow"/>
        </w:rPr>
        <w:t xml:space="preserve">INTERCORRENTE</w:t>
      </w:r>
      <w:commentRangeEnd w:id="3"/>
      <w:commentRangeEnd w:id="12"/>
      <w:r>
        <w:rPr>
          <w:rStyle w:val="CommentReference"/>
          <w:rFonts w:ascii="Arial" w:hAnsi="Arial" w:cs="Arial"/>
          <w:sz w:val="28"/>
          <w:szCs w:val="28"/>
        </w:rPr>
        <w:commentReference w:id="3"/>
      </w:r>
      <w:r>
        <w:rPr>
          <w:rStyle w:val="CommentReference"/>
        </w:rPr>
        <w:commentReference w:id="12"/>
      </w:r>
    </w:p>
    <w:p w:rsidR="00A72414" w:rsidP="00DB1301" w:rsidRDefault="00A72414" w14:paraId="143DFC13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7E1C8C" w:rsidR="00EB3378" w:rsidP="005F0EBE" w:rsidRDefault="005F0EBE" w14:paraId="3EA11C48" w14:textId="1FCE0F1A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3"/>
      <w:r>
        <w:rPr>
          <w:rFonts w:ascii="Arial" w:hAnsi="Arial" w:cs="Arial"/>
          <w:color w:val="000000" w:themeColor="text1"/>
          <w:sz w:val="28"/>
          <w:szCs w:val="28"/>
        </w:rPr>
        <w:t xml:space="preserve">O exequente</w:t>
      </w:r>
      <w:r>
        <w:rPr>
          <w:rFonts w:ascii="Arial" w:hAnsi="Arial" w:cs="Arial"/>
          <w:color w:val="808080"/>
          <w:sz w:val="28"/>
          <w:szCs w:val="28"/>
        </w:rPr>
        <w:t xml:space="preserve">/apelante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r>
        <w:rPr>
          <w:rFonts w:ascii="Arial" w:hAnsi="Arial" w:cs="Arial"/>
          <w:color w:val="808080"/>
          <w:sz w:val="28"/>
          <w:szCs w:val="28"/>
        </w:rPr>
        <w:t xml:space="preserve">: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não </w:t>
      </w:r>
      <w:r>
        <w:rPr>
          <w:rFonts w:ascii="Arial" w:hAnsi="Arial" w:cs="Arial"/>
          <w:color w:val="808080"/>
          <w:sz w:val="28"/>
          <w:szCs w:val="28"/>
        </w:rPr>
        <w:t xml:space="preserve">houve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inércia,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promoveu sucessivos 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pedidos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de pesquisas patrimoniais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;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i/>
          <w:iCs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diligências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infrutíferas não 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implicam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abandono da execução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 (ID 89383876)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Requer a cassação da r. sentença ou, subsidiariamente, a sua anulação.</w:t>
      </w:r>
    </w:p>
    <w:p w:rsidRPr="007E1C8C" w:rsidR="002437F6" w:rsidP="00621C46" w:rsidRDefault="002437F6" w14:paraId="38D3CE25" w14:textId="77777777">
      <w:pPr>
        <w:spacing w:after="0"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E1C8C" w:rsidR="00911601" w:rsidP="00DB1301" w:rsidRDefault="00137A7E" w14:paraId="102F1792" w14:textId="316ABE99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Sem razão</w:t>
      </w:r>
      <w:r w:rsidR="005F0EBE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 w:rsidRPr="007E1C8C" w:rsidR="00911601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o apelante</w:t>
      </w:r>
      <w:r w:rsidRPr="007E1C8C" w:rsidR="007F7839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</w:p>
    <w:p w:rsidRPr="007E1C8C" w:rsidR="00911601" w:rsidP="00DB1301" w:rsidRDefault="00911601" w14:paraId="3926BD70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417DB" w:rsidR="007417DB" w:rsidP="007417DB" w:rsidRDefault="007417DB" w14:paraId="63AA8627" w14:textId="6714019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4"/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execução </w:t>
      </w:r>
      <w:r>
        <w:rPr>
          <w:rFonts w:ascii="Arial" w:hAnsi="Arial" w:cs="Arial"/>
          <w:color w:val="808080"/>
          <w:sz w:val="28"/>
          <w:szCs w:val="28"/>
        </w:rPr>
        <w:t xml:space="preserve">funda-se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em cédula de crédito bancário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cuja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pretensão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prescreve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três anos, conforme </w:t>
      </w:r>
      <w:r>
        <w:rPr>
          <w:rFonts w:ascii="Arial" w:hAnsi="Arial" w:cs="Arial"/>
          <w:color w:val="808080"/>
          <w:sz w:val="28"/>
          <w:szCs w:val="28"/>
        </w:rPr>
        <w:t xml:space="preserve">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arts.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44 da Lei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nº 10.931/2004, 70 da </w:t>
      </w:r>
      <w:r>
        <w:rPr>
          <w:rFonts w:ascii="Arial" w:hAnsi="Arial" w:cs="Arial"/>
          <w:color w:val="808080"/>
          <w:sz w:val="28"/>
          <w:szCs w:val="28"/>
        </w:rPr>
        <w:t xml:space="preserve">LUG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 206, §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3º, VIII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do </w:t>
      </w:r>
      <w:r>
        <w:rPr>
          <w:rFonts w:ascii="Arial" w:hAnsi="Arial" w:cs="Arial"/>
          <w:color w:val="808080"/>
          <w:sz w:val="28"/>
          <w:szCs w:val="28"/>
        </w:rPr>
        <w:t xml:space="preserve">CC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(ID 89383102)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4"/>
      <w:r>
        <w:rPr>
          <w:rStyle w:val="CommentReference"/>
        </w:rPr>
        <w:commentReference w:id="14"/>
      </w:r>
    </w:p>
    <w:p w:rsidR="007417DB" w:rsidP="007417DB" w:rsidRDefault="007417DB" w14:paraId="526CF125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417DB" w:rsidR="007417DB" w:rsidP="007417DB" w:rsidRDefault="007417DB" w14:paraId="123692C6" w14:textId="38C42DF0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r>
        <w:rPr>
          <w:rFonts w:ascii="Arial" w:hAnsi="Arial" w:cs="Arial"/>
          <w:i/>
          <w:color w:val="808080"/>
          <w:sz w:val="26"/>
          <w:szCs w:val="26"/>
        </w:rPr>
        <w:t xml:space="preserve">Art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 70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Todas as ações contra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aceitante relativas a letras prescrevem em três anos a contar do seu vencimento.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”</w:t>
      </w:r>
    </w:p>
    <w:p w:rsidRPr="007417DB" w:rsidR="007417DB" w:rsidP="007417DB" w:rsidRDefault="007417DB" w14:paraId="331BF6B8" w14:textId="77777777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Pr="007417DB" w:rsidR="007417DB" w:rsidP="007417DB" w:rsidRDefault="007417DB" w14:paraId="52A968F4" w14:textId="77777777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r>
        <w:rPr>
          <w:rFonts w:ascii="Arial" w:hAnsi="Arial" w:cs="Arial"/>
          <w:i/>
          <w:color w:val="808080"/>
          <w:sz w:val="26"/>
          <w:szCs w:val="26"/>
        </w:rPr>
        <w:t xml:space="preserve">Art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 206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Prescreve:</w:t>
      </w:r>
    </w:p>
    <w:p w:rsidRPr="007417DB" w:rsidR="007417DB" w:rsidP="007417DB" w:rsidRDefault="007417DB" w14:paraId="482C4D3B" w14:textId="77777777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(...)</w:t>
      </w:r>
    </w:p>
    <w:p w:rsidRPr="007417DB" w:rsidR="007417DB" w:rsidP="007417DB" w:rsidRDefault="007417DB" w14:paraId="669B9C2F" w14:textId="77000D34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§ 3º Em três anos:</w:t>
      </w:r>
    </w:p>
    <w:p w:rsidRPr="007417DB" w:rsidR="007417DB" w:rsidP="007417DB" w:rsidRDefault="007417DB" w14:paraId="7AC3A969" w14:textId="77777777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(...)</w:t>
      </w:r>
    </w:p>
    <w:p w:rsidRPr="007417DB" w:rsidR="007417DB" w:rsidP="007417DB" w:rsidRDefault="007417DB" w14:paraId="27E558ED" w14:textId="33F0380E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VIII - a pretensão para haver o pagamento de título de crédito, a contar do vencimento, ressalvadas as disposições de lei especial;</w:t>
      </w:r>
      <w:r w:rsidRPr="007417DB">
        <w:rPr>
          <w:rFonts w:ascii="Arial" w:hAnsi="Arial" w:cs="Arial"/>
          <w:color w:val="000000" w:themeColor="text1"/>
          <w:sz w:val="26"/>
          <w:szCs w:val="26"/>
        </w:rPr>
        <w:t>”</w:t>
      </w:r>
    </w:p>
    <w:p w:rsidRPr="007417DB" w:rsidR="007417DB" w:rsidP="007417DB" w:rsidRDefault="007417DB" w14:paraId="0EE8EA02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7417DB" w:rsidP="007417DB" w:rsidRDefault="007417DB" w14:paraId="24913259" w14:textId="2073AF8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5"/>
      <w:r>
        <w:rPr>
          <w:rFonts w:ascii="Arial" w:hAnsi="Arial" w:cs="Arial"/>
          <w:color w:val="808080"/>
          <w:sz w:val="28"/>
          <w:szCs w:val="28"/>
        </w:rPr>
        <w:t xml:space="preserve">Nesse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sentido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5"/>
      <w:r>
        <w:rPr>
          <w:rStyle w:val="CommentReference"/>
        </w:rPr>
        <w:commentReference w:id="15"/>
      </w:r>
    </w:p>
    <w:p w:rsidRPr="007417DB" w:rsidR="007417DB" w:rsidP="007417DB" w:rsidRDefault="007417DB" w14:paraId="2BF11EE6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173BC6" w:rsidR="007417DB" w:rsidP="007417DB" w:rsidRDefault="007417DB" w14:paraId="5AD27434" w14:textId="20AA243A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color w:val="000000" w:themeColor="text1"/>
          <w:sz w:val="26"/>
          <w:szCs w:val="26"/>
        </w:rPr>
        <w:t xml:space="preserve">“(...)</w:t>
      </w:r>
      <w:r>
        <w:rPr>
          <w:rFonts w:ascii="Arial" w:hAnsi="Arial" w:cs="Arial"/>
          <w:i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A prescrição intercorrente aplica-se à execução de cédula de crédito bancário, 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com prazo de três (3) anos</w:t>
      </w:r>
      <w:r>
        <w:rPr>
          <w:rFonts w:ascii="Arial" w:hAnsi="Arial" w:cs="Arial"/>
          <w:i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(...)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” (Acórdão 2073134, 0703646-12.2017.8.07.0001, Relator(a): JANSEN FIALHO DE ALMEIDA, 4ª TURMA CÍVEL, data de julgamento: 27/11/2025, publicado no DJe: 11/12/2025)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:rsidRPr="007417DB" w:rsidR="007417DB" w:rsidP="00385F90" w:rsidRDefault="007417DB" w14:paraId="6DED7205" w14:textId="77777777">
      <w:pPr>
        <w:spacing w:after="0" w:line="36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7417DB" w:rsidP="007417DB" w:rsidRDefault="007417DB" w14:paraId="655CCB52" w14:textId="67EE260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6"/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execução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proposta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16/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2013, foi suspensa em 04/11/2021 por ausência de bens penhoráveis. O prazo voltou a correr em 17/11/2022 e, sem bens localizados,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a prescrição intercorrente se consumou em 17/11/2025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>
        <w:rPr>
          <w:rFonts w:ascii="Arial" w:hAnsi="Arial" w:cs="Arial"/>
          <w:color w:val="808080"/>
          <w:sz w:val="28"/>
          <w:szCs w:val="28"/>
        </w:rPr>
        <w:t xml:space="preserve">CPC 921 III e § 1º;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ID </w:t>
      </w:r>
      <w:r>
        <w:rPr>
          <w:rFonts w:ascii="Arial" w:hAnsi="Arial" w:cs="Arial"/>
          <w:color w:val="808080"/>
          <w:sz w:val="28"/>
          <w:szCs w:val="28"/>
        </w:rPr>
        <w:t xml:space="preserve">89383849 e 89383854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).</w:t>
      </w:r>
      <w:commentRangeEnd w:id="16"/>
      <w:r>
        <w:rPr>
          <w:rStyle w:val="CommentReference"/>
        </w:rPr>
        <w:commentReference w:id="16"/>
      </w:r>
    </w:p>
    <w:p w:rsidRPr="007417DB" w:rsidR="007417DB" w:rsidP="007417DB" w:rsidRDefault="007417DB" w14:paraId="691EE91C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107D2" w:rsidP="007417DB" w:rsidRDefault="007417DB" w14:paraId="1980F276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7"/>
      <w:r>
        <w:rPr>
          <w:rFonts w:ascii="Arial" w:hAnsi="Arial" w:cs="Arial"/>
          <w:color w:val="808080"/>
          <w:sz w:val="28"/>
          <w:szCs w:val="28"/>
        </w:rPr>
        <w:t xml:space="preserve">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07/07/2025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exequente requereu novas buscas nos sistemas SISBAJUD, RENAJUD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r>
        <w:rPr>
          <w:rFonts w:ascii="Arial" w:hAnsi="Arial" w:cs="Arial"/>
          <w:color w:val="808080"/>
          <w:sz w:val="28"/>
          <w:szCs w:val="28"/>
        </w:rPr>
        <w:t xml:space="preserve">INFOJUD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indeferidas por falta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 xml:space="preserve">demonstração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possibilidade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êxito; a reconsideração, de 14/11/2025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não </w:t>
      </w:r>
      <w:r>
        <w:rPr>
          <w:rFonts w:ascii="Arial" w:hAnsi="Arial" w:cs="Arial"/>
          <w:color w:val="808080"/>
          <w:sz w:val="28"/>
          <w:szCs w:val="28"/>
        </w:rPr>
        <w:t xml:space="preserve">resultou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constrição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(ID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89383855,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89383858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89383861)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7"/>
      <w:r>
        <w:rPr>
          <w:rStyle w:val="CommentReference"/>
        </w:rPr>
        <w:commentReference w:id="17"/>
      </w:r>
    </w:p>
    <w:p w:rsidR="005107D2" w:rsidP="007417DB" w:rsidRDefault="005107D2" w14:paraId="4226D4A5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E926C7" w:rsidP="00E926C7" w:rsidRDefault="00E926C7" w14:paraId="58CBB9E3" w14:textId="260D754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8"/>
      <w:r>
        <w:rPr>
          <w:rFonts w:ascii="Arial" w:hAnsi="Arial" w:cs="Arial"/>
          <w:color w:val="808080"/>
          <w:sz w:val="28"/>
          <w:szCs w:val="28"/>
        </w:rPr>
        <w:t xml:space="preserve">Por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isso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 prazo </w:t>
      </w:r>
      <w:r>
        <w:rPr>
          <w:rFonts w:ascii="Arial" w:hAnsi="Arial" w:cs="Arial"/>
          <w:color w:val="808080"/>
          <w:sz w:val="28"/>
          <w:szCs w:val="28"/>
        </w:rPr>
        <w:t xml:space="preserve">não foi interrompido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conforme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Tema </w:t>
      </w:r>
      <w:r>
        <w:rPr>
          <w:rFonts w:ascii="Arial" w:hAnsi="Arial" w:cs="Arial"/>
          <w:color w:val="808080"/>
          <w:sz w:val="28"/>
          <w:szCs w:val="28"/>
        </w:rPr>
        <w:t xml:space="preserve">Repetitivo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568/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TJ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8"/>
      <w:r>
        <w:rPr>
          <w:rStyle w:val="CommentReference"/>
        </w:rPr>
        <w:commentReference w:id="18"/>
      </w:r>
    </w:p>
    <w:p w:rsidRPr="00E926C7" w:rsidR="00E926C7" w:rsidP="00E926C7" w:rsidRDefault="00E926C7" w14:paraId="40B0D6E0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E926C7" w:rsidR="00E926C7" w:rsidP="00E926C7" w:rsidRDefault="00E926C7" w14:paraId="3E6A50F9" w14:textId="1D436EFE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commentRangeStart w:id="19"/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A efetiva constrição patrimonial e a efetiva citação (ainda que por edital) são aptas a interromper o curso da prescrição intercorrente, não bastando para tal o mero peticionamento em juízo, requerendo, v.g., a feitura da penhora sobre ativos financeiros ou sobre outros bens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”</w:t>
      </w:r>
      <w:r>
        <w:rPr>
          <w:rFonts w:ascii="Arial" w:hAnsi="Arial" w:cs="Arial"/>
          <w:color w:val="808080"/>
          <w:sz w:val="26"/>
          <w:szCs w:val="26"/>
        </w:rPr>
        <w:t xml:space="preserve"> </w:t>
      </w:r>
      <w:r>
        <w:rPr>
          <w:rFonts w:ascii="Arial" w:hAnsi="Arial" w:cs="Arial"/>
          <w:i/>
          <w:color w:val="808080"/>
          <w:sz w:val="26"/>
          <w:szCs w:val="26"/>
        </w:rPr>
        <w:t xml:space="preserve">(REsp n. 1.340.553/RS, relator Ministro Mauro Campbell Marques, Primeira Seção, julgado em 12/9/2018, DJe de 16/10/2018.)</w:t>
      </w:r>
      <w:commentRangeEnd w:id="19"/>
      <w:r>
        <w:rPr>
          <w:rStyle w:val="CommentReference"/>
        </w:rPr>
        <w:commentReference w:id="19"/>
      </w:r>
    </w:p>
    <w:p w:rsidRPr="00E926C7" w:rsidR="00E926C7" w:rsidP="00E926C7" w:rsidRDefault="00E926C7" w14:paraId="2810A74C" w14:textId="77777777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E926C7" w:rsidP="007417DB" w:rsidRDefault="00E926C7" w14:paraId="49479EF5" w14:textId="32FB22E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20"/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Portanto,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sem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efetiva penhora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no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prazo da prescrição intercorrente, correta a sentença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sendo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desnecessária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nova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manifestação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do Juízo de origem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  <w:commentRangeEnd w:id="20"/>
      <w:r>
        <w:rPr>
          <w:rStyle w:val="CommentReference"/>
        </w:rPr>
        <w:commentReference w:id="20"/>
      </w:r>
    </w:p>
    <w:p w:rsidR="00292ABE" w:rsidP="007417DB" w:rsidRDefault="00292ABE" w14:paraId="437EA1C1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642EE1" w:rsidR="00262F85" w:rsidP="00642EE1" w:rsidRDefault="00642EE1" w14:paraId="63AD4CAE" w14:textId="34D52B1B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42EE1">
        <w:rPr>
          <w:rFonts w:ascii="Arial" w:hAnsi="Arial" w:cs="Arial"/>
          <w:b/>
          <w:bCs/>
          <w:color w:val="000000" w:themeColor="text1"/>
          <w:sz w:val="28"/>
          <w:szCs w:val="28"/>
        </w:rPr>
        <w:t>DISPOSITIVO</w:t>
      </w:r>
    </w:p>
    <w:p w:rsidR="00642EE1" w:rsidP="007417DB" w:rsidRDefault="00642EE1" w14:paraId="49B2B3C5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E1C8C" w:rsidR="00C22469" w:rsidP="007417DB" w:rsidRDefault="00E926C7" w14:paraId="6416B54E" w14:textId="5DE635D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E926C7">
        <w:rPr>
          <w:rFonts w:ascii="Arial" w:hAnsi="Arial" w:cs="Arial"/>
          <w:color w:val="000000" w:themeColor="text1"/>
          <w:sz w:val="28"/>
          <w:szCs w:val="28"/>
        </w:rPr>
        <w:t xml:space="preserve">Ante o exposto, </w:t>
      </w:r>
      <w:r w:rsidRPr="00E926C7">
        <w:rPr>
          <w:rFonts w:ascii="Arial" w:hAnsi="Arial" w:cs="Arial"/>
          <w:b/>
          <w:bCs/>
          <w:color w:val="000000" w:themeColor="text1"/>
          <w:sz w:val="28"/>
          <w:szCs w:val="28"/>
        </w:rPr>
        <w:t>nego provimento</w:t>
      </w:r>
      <w:r w:rsidRPr="00E926C7">
        <w:rPr>
          <w:rFonts w:ascii="Arial" w:hAnsi="Arial" w:cs="Arial"/>
          <w:color w:val="000000" w:themeColor="text1"/>
          <w:sz w:val="28"/>
          <w:szCs w:val="28"/>
        </w:rPr>
        <w:t xml:space="preserve"> ao apelo do exequente, </w:t>
      </w:r>
      <w:r>
        <w:rPr>
          <w:rFonts w:ascii="Arial" w:hAnsi="Arial" w:cs="Arial"/>
          <w:color w:val="000000" w:themeColor="text1"/>
          <w:sz w:val="28"/>
          <w:szCs w:val="28"/>
        </w:rPr>
        <w:t>BRB – Banco de Brasília</w:t>
      </w:r>
      <w:r w:rsidRPr="00E926C7">
        <w:rPr>
          <w:rFonts w:ascii="Arial" w:hAnsi="Arial" w:cs="Arial"/>
          <w:color w:val="000000" w:themeColor="text1"/>
          <w:sz w:val="28"/>
          <w:szCs w:val="28"/>
        </w:rPr>
        <w:t xml:space="preserve"> S.A.</w:t>
      </w:r>
    </w:p>
    <w:p w:rsidR="00E926C7" w:rsidP="00635527" w:rsidRDefault="00E926C7" w14:paraId="6887CE5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635527" w:rsidP="00635527" w:rsidRDefault="00635527" w14:paraId="6D23747E" w14:textId="619B49A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1"/>
      <w:r>
        <w:rPr>
          <w:rFonts w:ascii="Arial" w:hAnsi="Arial" w:cs="Arial"/>
          <w:sz w:val="28"/>
          <w:szCs w:val="28"/>
        </w:rPr>
        <w:t xml:space="preserve">Sem honorários recursais</w:t>
      </w:r>
      <w:r>
        <w:rPr>
          <w:rFonts w:ascii="Arial" w:hAnsi="Arial" w:cs="Arial"/>
          <w:color w:val="808080"/>
          <w:sz w:val="28"/>
          <w:szCs w:val="28"/>
        </w:rPr>
        <w:t xml:space="preserve">, pois a sentença não os fixou</w:t>
      </w:r>
      <w:r>
        <w:rPr>
          <w:rFonts w:ascii="Arial" w:hAnsi="Arial" w:cs="Arial"/>
          <w:sz w:val="28"/>
          <w:szCs w:val="28"/>
        </w:rPr>
        <w:t xml:space="preserve"> (CPC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85</w:t>
      </w:r>
      <w:r>
        <w:rPr>
          <w:rFonts w:ascii="Arial" w:hAnsi="Arial" w:cs="Arial"/>
          <w:sz w:val="28"/>
          <w:szCs w:val="28"/>
        </w:rPr>
        <w:t xml:space="preserve"> § </w:t>
      </w:r>
      <w:r>
        <w:rPr>
          <w:rFonts w:ascii="Arial" w:hAnsi="Arial" w:cs="Arial"/>
          <w:color w:val="808080"/>
          <w:sz w:val="28"/>
          <w:szCs w:val="28"/>
        </w:rPr>
        <w:t xml:space="preserve">11</w:t>
      </w:r>
      <w:r>
        <w:rPr>
          <w:rFonts w:ascii="Arial" w:hAnsi="Arial" w:cs="Arial"/>
          <w:sz w:val="28"/>
          <w:szCs w:val="28"/>
        </w:rPr>
        <w:t xml:space="preserve">).</w:t>
      </w:r>
      <w:commentRangeEnd w:id="21"/>
      <w:r>
        <w:rPr>
          <w:rStyle w:val="CommentReference"/>
        </w:rPr>
        <w:commentReference w:id="21"/>
      </w:r>
    </w:p>
    <w:p w:rsidR="00635527" w:rsidP="00DB1301" w:rsidRDefault="00635527" w14:paraId="6AF8FD8A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7E1C8C" w:rsidP="00DB1301" w:rsidRDefault="007E1C8C" w14:paraId="0DA21613" w14:textId="569A3EA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:rsidR="64E63EB0" w:rsidP="00642EE1" w:rsidRDefault="64E63EB0" w14:paraId="4D1C0125" w14:textId="6D1C6F36">
      <w:pPr>
        <w:rPr>
          <w:rFonts w:ascii="Arial" w:hAnsi="Arial" w:cs="Arial"/>
          <w:sz w:val="28"/>
          <w:szCs w:val="28"/>
        </w:rPr>
      </w:pPr>
    </w:p>
    <w:p w:rsidR="007E1C8C" w:rsidP="007E1C8C" w:rsidRDefault="007E1C8C" w14:paraId="529D3CDE" w14:textId="3D1A7C3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642EE1" w:rsidP="00A7661A" w:rsidRDefault="00642EE1" w14:paraId="22179972" w14:textId="77777777">
      <w:pPr>
        <w:ind w:right="-96"/>
        <w:jc w:val="both"/>
        <w:rPr>
          <w:b/>
          <w:color w:val="008000"/>
        </w:rPr>
      </w:pPr>
      <w:r>
        <w:rPr>
          <w:b/>
          <w:color w:val="00B050"/>
        </w:rPr>
        <w:t>SENTENÇA</w:t>
      </w:r>
    </w:p>
    <w:p w:rsidRPr="00A7661A" w:rsidR="00A7661A" w:rsidP="00A7661A" w:rsidRDefault="00A7661A" w14:paraId="1DEB0F4D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Cuida-se de execução de título extrajudicial, fundada em cédula de crédito bancário (id. 31007236).</w:t>
      </w:r>
    </w:p>
    <w:p w:rsidRPr="00A7661A" w:rsidR="00A7661A" w:rsidP="00A7661A" w:rsidRDefault="00A7661A" w14:paraId="4E03796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Foram realizadas diversas diligências com vistas à expropriação de bens para o adimplemento do débito exequendo, sem êxito. Diante disso, à falta de bens, a execução permaneceu suspensa pelo prazo de 01 (ano), nos termos do art. 921, III, do CPC, conforme decisão proferida em 04/11/2021 (id. 107565005).</w:t>
      </w:r>
    </w:p>
    <w:p w:rsidRPr="00A7661A" w:rsidR="00A7661A" w:rsidP="00A7661A" w:rsidRDefault="00A7661A" w14:paraId="0C6453D2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Após o transcurso do prazo de suspensão, iniciou-se automaticamente o prazo de prescrição intercorrente. Nesse interregno, não ocorreu a penhora de bens e os autos foram arquivados provisoriamente (id. 144848082).</w:t>
      </w:r>
    </w:p>
    <w:p w:rsidRPr="00A7661A" w:rsidR="00A7661A" w:rsidP="00A7661A" w:rsidRDefault="00A7661A" w14:paraId="3CF06EDC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Por fim, anoto que as partes foram intimadas a se manifestarem sobre a prescrição (id. 262064545).</w:t>
      </w:r>
    </w:p>
    <w:p w:rsidRPr="00A7661A" w:rsidR="00A7661A" w:rsidP="00A7661A" w:rsidRDefault="00A7661A" w14:paraId="794DE8E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É o relatório. Decido.</w:t>
      </w:r>
    </w:p>
    <w:p w:rsidRPr="00A7661A" w:rsidR="00A7661A" w:rsidP="00A7661A" w:rsidRDefault="00A7661A" w14:paraId="1D06C94B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Após ajuizada a ação de execução, realizadas diligências que não se mostraram proveitosas à satisfação do débito, o feito teve o curso suspenso pelo prazo de 1 (um) ano, seguido de arquivamento provisório.</w:t>
      </w:r>
    </w:p>
    <w:p w:rsidRPr="00A7661A" w:rsidR="00A7661A" w:rsidP="00A7661A" w:rsidRDefault="00A7661A" w14:paraId="744F6473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É de se lembrar que o art. 921, § 4º, do CPC determina que, decorrido o prazo de 1 (um) ano desde a suspensão do feito sem que sejam encontrados bens penhoráveis, começa a correr o prazo de prescrição intercorrente.</w:t>
      </w:r>
    </w:p>
    <w:p w:rsidRPr="00A7661A" w:rsidR="00A7661A" w:rsidP="00A7661A" w:rsidRDefault="00A7661A" w14:paraId="57C1AE39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Nesse particular, a execução está amparada em cédula de crédito bancário que, nos termos do art. 44 da Lei nº 10.931/2004, se submete à legislação cambial. Em decorrência, as ações contra o emitente prescrevem em três anos, a contar do seu vencimento (art. 70 do Decreto 57.663/1966).</w:t>
      </w:r>
    </w:p>
    <w:p w:rsidRPr="00A7661A" w:rsidR="00A7661A" w:rsidP="00A7661A" w:rsidRDefault="00A7661A" w14:paraId="4AD7ABCD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Por ser a cobrança em questão advinda de título executivo extrajudicial, a ela se aplica a prescrição trienal prevista no art. 206, § 3º, inciso VIII, do Código Civil, que abrange a "pretensão, em 3 anos, para haver o pagamento de título de crédito, a contar do vencimento, ressalvadas as disposições de lei especial".</w:t>
      </w:r>
    </w:p>
    <w:p w:rsidRPr="00A7661A" w:rsidR="00A7661A" w:rsidP="00A7661A" w:rsidRDefault="00A7661A" w14:paraId="2B2506A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Uma vez que o prazo de prescrição intercorrente do título se iniciou automaticamente após o decurso do prazo suspensivo ocorrido em 17/11/2022 (id. 144848082), é de rigor reconhecer que a ação executiva do exequente foi fulminada pela prescrição intercorrente, em 17/11/2025, nos termos do inciso V do art. 924 do CPC.</w:t>
      </w:r>
    </w:p>
    <w:p w:rsidRPr="00A7661A" w:rsidR="00A7661A" w:rsidP="00A7661A" w:rsidRDefault="00A7661A" w14:paraId="048F6FA9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A propósito, esta foi a tese firmada no Incidente de Assunção de Competência, veiculado no REsp 1604412, conforme ementa que ora transcrevo:</w:t>
      </w:r>
    </w:p>
    <w:p w:rsidR="00A7661A" w:rsidP="00A7661A" w:rsidRDefault="00A7661A" w14:paraId="1692F780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69DECA80" w14:textId="414887EA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RECURSO ESPECIAL. INCIDENTE DE ASSUNÇÃO DE COMPETÊNCIA. AÇÃO DE EXECUÇÃO DE TÍTULO EXTRAJUDICIAL. PRESCRIÇÃO INTERCORRENTE DA PRETENSÃO EXECUTÓRIA.  CABIMENTO. TERMO INICIAL. NECESSIDADE DE PRÉVIA INTIMAÇÃO DO CREDOR-EXEQUENTE. OITIVA DO CREDOR. INEXISTÊNCIA. CONTRADITÓRIO DESRESPEITADO. RECURSO ESPECIAL PROVIDO. </w:t>
      </w:r>
    </w:p>
    <w:p w:rsidRPr="00A7661A" w:rsidR="00A7661A" w:rsidP="00A7661A" w:rsidRDefault="00A7661A" w14:paraId="230B7009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08D5D374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1. As teses a serem firmadas, para efeito do art. 947 do CPC/2015 são as seguintes: 1.1 Incide a prescrição intercorrente, nas causas regidas pelo CPC/73, quando o exequente permanece inerte por prazo superior ao de prescrição do direito material vindicado, conforme interpretação extraída do art. 202, parágrafo único, do Código Civil de 2002. 1.2 O termo inicial do prazo prescricional, na vigência do CPC/1973, conta-se do fim do prazo judicial de suspensão do processo ou, inexistindo prazo fixado, do transcurso de um ano (aplicação analógica do art. 40, § 2º, da Lei 6.830/1980). 1.3 . O termo inicial do art. 1.056 do CPC/2015 tem incidência apenas nas hipóteses em que o processo se encontrava suspenso na data da entrada em vigor da novel lei processual, uma vez que não se pode extrair interpretação que viabilize o reinício ou a reabertura de prazo prescricional ocorridos na vigência do revogado CPC/1973 (aplicação irretroativa da norma processual). 1.4. O contraditório é princípio que deve ser respeitado em todas as manifestações do Poder Judiciário, que deve zelar pela sua observância, inclusive nas hipóteses de declaração de ofício da prescrição intercorrente, devendo o credor ser previamente intimado para opor algum fato impeditivo à incidência da prescrição. </w:t>
      </w:r>
    </w:p>
    <w:p w:rsidRPr="00A7661A" w:rsidR="00A7661A" w:rsidP="00A7661A" w:rsidRDefault="00A7661A" w14:paraId="24D716B6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2. No caso concreto, a despeito de transcorrido mais de uma década após   o arquivamento administrativo do processo, não houve a intimação da recorrente a assegurar o exercício oportuno do contraditório.</w:t>
      </w:r>
    </w:p>
    <w:p w:rsidRPr="00A7661A" w:rsidR="00A7661A" w:rsidP="00A7661A" w:rsidRDefault="00A7661A" w14:paraId="0D832871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3. Recurso Especial provido.</w:t>
      </w:r>
    </w:p>
    <w:p w:rsidRPr="00A7661A" w:rsidR="00A7661A" w:rsidP="00A7661A" w:rsidRDefault="00A7661A" w14:paraId="22D815B3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(REsp 1604412 / SC; Ministro MARCO AURÉLIO BELLIZZE; DJe 22/08/2018).</w:t>
      </w:r>
    </w:p>
    <w:p w:rsidRPr="00A7661A" w:rsidR="00A7661A" w:rsidP="00A7661A" w:rsidRDefault="00A7661A" w14:paraId="69129D49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0A28E9FE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 A corroborar esse entendimento, também é nesse sentido a seguinte ementa, in verbis:</w:t>
      </w:r>
    </w:p>
    <w:p w:rsidR="00A7661A" w:rsidP="00A7661A" w:rsidRDefault="00A7661A" w14:paraId="428D4979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56F3D9A2" w14:textId="5717AE79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APELAÇÃO. PROCESSO CIVIL. EXECUÇÃO DE TÍTULO EXTRAJUDICIAL. CÉDULA DE CRÉDITO BANCÁRIO. AUSÊNCIA DE LOCALIZAÇÃO DE BENS PENHORÁVEIS. DILIGÊNCIAS INFRUTÍFERAS À SATISFAÇÃO DO CRÉDITO. PRESCRIÇÃO INTERCORRENTE. OCORRÊNCIA. SENTENÇA MANTIDA. </w:t>
      </w:r>
    </w:p>
    <w:p w:rsidRPr="00A7661A" w:rsidR="00A7661A" w:rsidP="00A7661A" w:rsidRDefault="00A7661A" w14:paraId="2D8A1EEC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1. Na hipótese, decorreu prazo superior a 3 (três) anos após o transcurso do prazo de suspensão de 1 (um) ano por ausência de bens penhoráveis, operando-se a prescrição intercorrente (art. 206, §3º, inc. VIII, do Código Civil), sendo certo afirmar que o credor foi previamente intimado para se manifestar sobre eventual transcurso do prazo prescricional, restando cumprido o disposto no art. 921, §5º, do Código de Processo Civil. </w:t>
      </w:r>
    </w:p>
    <w:p w:rsidRPr="00A7661A" w:rsidR="00A7661A" w:rsidP="00A7661A" w:rsidRDefault="00A7661A" w14:paraId="3F00E6BB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2. Requerimentos para realização de diligências que se mostraram infrutíferas em localizar bens suficientes do devedor não suspendem nem interrompem o prazo de prescrição intercorrente. Precedentes. </w:t>
      </w:r>
    </w:p>
    <w:p w:rsidRPr="00A7661A" w:rsidR="00A7661A" w:rsidP="00A7661A" w:rsidRDefault="00A7661A" w14:paraId="44CB602C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3. Recurso conhecido e não provido.</w:t>
      </w:r>
    </w:p>
    <w:p w:rsidRPr="00A7661A" w:rsidR="00A7661A" w:rsidP="00A7661A" w:rsidRDefault="00A7661A" w14:paraId="1D34E17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(Acórdão 2060027, 0730500-43.2017.8.07.0001, Relator(a): MAURICIO SILVA MIRANDA, 7ª TURMA CÍVEL, data de julgamento: 22/10/2025, publicado no DJe: 04/11/2025.)</w:t>
      </w:r>
    </w:p>
    <w:p w:rsidRPr="00A7661A" w:rsidR="00A7661A" w:rsidP="00A7661A" w:rsidRDefault="00A7661A" w14:paraId="5783A63B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708D1526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Ante o exposto, pronuncio a prescrição intercorrente da pretensão executiva e, por conseguinte, julgo extinto o processo executivo nos termos do art. 924, V, do CPC.</w:t>
      </w:r>
    </w:p>
    <w:p w:rsidRPr="00A7661A" w:rsidR="00A7661A" w:rsidP="00A7661A" w:rsidRDefault="00A7661A" w14:paraId="222022FE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 xml:space="preserve">Sem ônus sucumbenciais, consoante art. 921, §5°, do CPC.  </w:t>
      </w:r>
    </w:p>
    <w:p w:rsidRPr="00A7661A" w:rsidR="00A7661A" w:rsidP="00A7661A" w:rsidRDefault="00A7661A" w14:paraId="14980220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Desconstitua(m)-se eventual(ais) penhora(s) e/ou indisponibilidade(s) ainda vigentes sobre o patrimônio da parte executada.</w:t>
      </w:r>
    </w:p>
    <w:p w:rsidRPr="00A7661A" w:rsidR="00A7661A" w:rsidP="00A7661A" w:rsidRDefault="00A7661A" w14:paraId="54F3DEAD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</w:rPr>
        <w:t>Após o trânsito em julgado, arquivem-se os autos, com baixa na Distribuição e observância das cautelas de estilo.</w:t>
      </w:r>
    </w:p>
    <w:p w:rsidRPr="00A7661A" w:rsidR="00693B0D" w:rsidP="00693B0D" w:rsidRDefault="00693B0D" w14:paraId="356D1637" w14:textId="6A4B995B">
      <w:pPr>
        <w:ind w:right="-96"/>
        <w:jc w:val="both"/>
      </w:pPr>
      <w:r w:rsidRPr="1ECEA598" w:rsidR="00A7661A">
        <w:rPr>
          <w:b w:val="1"/>
          <w:bCs w:val="1"/>
          <w:color w:val="00B050"/>
        </w:rPr>
        <w:t>Publique-se. Intimem-se. Sentença registrada eletronicamente neste ato, por intermédio do sistema informatizado do TJDFT.</w:t>
      </w:r>
    </w:p>
    <w:p w:rsidRPr="00A7661A" w:rsidR="00693B0D" w:rsidP="1ECEA598" w:rsidRDefault="00693B0D" w14:paraId="39E1B210" w14:textId="2BA0F620">
      <w:pPr>
        <w:ind w:right="-96"/>
        <w:jc w:val="both"/>
        <w:rPr>
          <w:b w:val="1"/>
          <w:bCs w:val="1"/>
          <w:color w:val="C45911" w:themeColor="accent2" w:themeTint="FF" w:themeShade="BF"/>
        </w:rPr>
      </w:pPr>
    </w:p>
    <w:p w:rsidRPr="00A7661A" w:rsidR="00693B0D" w:rsidP="1ECEA598" w:rsidRDefault="00693B0D" w14:paraId="12F5F94F" w14:textId="457C5C40">
      <w:pPr>
        <w:ind w:right="-96"/>
        <w:jc w:val="both"/>
        <w:rPr>
          <w:b w:val="1"/>
          <w:bCs w:val="1"/>
          <w:color w:val="C45911"/>
        </w:rPr>
      </w:pPr>
    </w:p>
    <w:sectPr w:rsidRPr="00A7661A" w:rsidR="00693B0D">
      <w:footerReference w:type="defaul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G" w:author="Marcos Dwayne Saraiva Costa - GDSXSR" w:date="2025-09-01T13:19:00Z" w:id="0">
    <w:p w:rsidR="00B74FB6" w:rsidRDefault="0063376A" w14:paraId="346E87E3" w14:textId="0D98C4E7">
      <w:r>
        <w:annotationRef/>
      </w:r>
      <w:r w:rsidRPr="40B1094E">
        <w:t>Conclusão:</w:t>
      </w:r>
    </w:p>
    <w:p w:rsidR="00B74FB6" w:rsidRDefault="0063376A" w14:paraId="020D7533" w14:textId="1497ECC6">
      <w:r w:rsidRPr="3A8CDDB3">
        <w:t>Entrega:</w:t>
      </w:r>
    </w:p>
    <w:p w:rsidR="00B74FB6" w:rsidRDefault="0063376A" w14:paraId="448DA02E" w14:textId="7411C318">
      <w:r w:rsidRPr="43891A96">
        <w:t xml:space="preserve">Certeza: </w:t>
      </w:r>
    </w:p>
  </w:comment>
  <w:comment w:initials="GP" w:author="Gabriel Passos Sesana - GDACA" w:date="2026-09-22T16:40:00Z" w:id="1">
    <w:p w:rsidR="000525EE" w:rsidP="000525EE" w:rsidRDefault="000525EE" w14:paraId="3006A9EA" w14:textId="77777777">
      <w:pPr>
        <w:pStyle w:val="CommentText"/>
      </w:pPr>
      <w:r>
        <w:rPr>
          <w:rStyle w:val="CommentReference"/>
        </w:rPr>
        <w:annotationRef/>
      </w:r>
      <w:r>
        <w:t>Conclusão: 11/9/26</w:t>
      </w:r>
    </w:p>
  </w:comment>
  <w:comment w:initials="MV" w:author="Marcia Vilela Alves - GDACA" w:date="2026-09-29T15:53:00Z" w:id="2">
    <w:p w:rsidR="00CF1C50" w:rsidP="00CF1C50" w:rsidRDefault="00CF1C50" w14:paraId="2B329C53" w14:textId="77777777">
      <w:pPr>
        <w:pStyle w:val="CommentText"/>
      </w:pPr>
      <w:r>
        <w:rPr>
          <w:rStyle w:val="CommentReference"/>
        </w:rPr>
        <w:annotationRef/>
      </w:r>
      <w:r>
        <w:t>CORRIGIDO.</w:t>
      </w:r>
    </w:p>
  </w:comment>
  <w:comment w:initials="GP" w:author="Gabriel Passos Sesana - GDACA" w:date="2026-09-22T17:50:00Z" w:id="3">
    <w:p w:rsidR="005F0EBE" w:rsidP="005F0EBE" w:rsidRDefault="005F0EBE" w14:paraId="77A141A3" w14:textId="77777777">
      <w:pPr>
        <w:pStyle w:val="CommentText"/>
      </w:pPr>
      <w:r>
        <w:rPr>
          <w:rStyle w:val="CommentReference"/>
        </w:rPr>
        <w:annotationRef/>
      </w:r>
      <w:r>
        <w:t xml:space="preserve">Modelos: </w:t>
      </w:r>
    </w:p>
    <w:p w:rsidR="005F0EBE" w:rsidP="005F0EBE" w:rsidRDefault="005F0EBE" w14:paraId="005FFD29" w14:textId="77777777">
      <w:pPr>
        <w:pStyle w:val="CommentText"/>
      </w:pPr>
      <w:r>
        <w:t>APC 0011355-76.2016.8.07.0001, acórdão 2161931; e</w:t>
      </w:r>
    </w:p>
    <w:p w:rsidR="005F0EBE" w:rsidP="005F0EBE" w:rsidRDefault="005F0EBE" w14:paraId="67219C7D" w14:textId="77777777">
      <w:pPr>
        <w:pStyle w:val="CommentText"/>
      </w:pPr>
      <w:r>
        <w:t>APC 0004102-71.2015.8.07.0001, acórdão 1979794.</w:t>
      </w:r>
    </w:p>
  </w:comment>
  <w:comment w:id="4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Alterações em cinza, explicadas aqui e nos comentários seguintes. Mecânicas, sem comentário próprio: referências compactas entre parênteses (C-20), "ID" no singular (C-25), datas com dois dígitos e ano completo, EMENTA à esquerda (C-42), realce amarelo no título do capítulo e nas frases que decidem (C-42, C-43), sentença anexa recolorida para o verde 00B050 (C-45). O resumo em vermelho foi preservado (C-39). Resultado, fatos e datas do processo não foram alterados (C-03).</w:t>
      </w:r>
    </w:p>
  </w:comment>
  <w:comment w:id="5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nomear o exequente pela autuação ("BRB – Banco de Brasília S.A."), manter o executado como pessoa natural e fechar com o valor da causa entre parênteses (C-34, C-34A).</w:t>
      </w:r>
    </w:p>
  </w:comment>
  <w:comment w:id="6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Acrescentei o fundamento da extinção (CPC 924, V) ao item 2. Texto literal (C-63), CPC, art. 924, V: “Art. 924. Extingue-se a execução quando: (...) V - ocorrer a prescrição intercorrente.” (fonte: Planalto, via iajus).</w:t>
      </w:r>
    </w:p>
  </w:comment>
  <w:comment w:id="7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Excluí o antigo item 7 ("É ônus do exequente indicar bens do devedor…"), porque o voto não traz esse fundamento e a ementa espelha o voto (C-33). Reescrevi o item seguinte (agora 7) para refletir o que o voto decide: a reiteração de diligências infrutíferas ou indeferidas e o mero peticionamento não interrompem o prazo, sendo necessária a efetiva constrição (Tema 568/STJ); e acrescentei o item 9, que espelha o último parágrafo do voto (C-33, C-35). Itens renumerados.</w:t>
      </w:r>
    </w:p>
  </w:comment>
  <w:comment w:id="8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Refiz os rodapés na forma compacta e conforme o voto (C-20, C-33, C-67): dispositivos em ordem por diploma, com CPC 85 § 11 e sem o art. 921, § 5º (aplicado na sentença, não no voto); jurisprudência na ordem do corpo, com identificação completa. Saíram da lista os Acórdãos 2121895 e 1950428 (5ª Turma), 1950219 (1ª Turma) e 2103829 (4ª Turma, Rel. Aiston, 0085184-37.2009.8.07.0001, j. 11/03/2026), retirados do corpo para manter um precedente por tese (C-65, C-67); não foram conferidos no JurisDF. Pendência (C-52): o iajus confirmou, pelo número CNJ, o acórdão da 4ª Turma 0703646-12.2017.8.07.0001 (Rel. Jansen, j. 27/11/2025), mas não devolve número de acórdão nem DJe; conferir no JurisDF o nº 2073134 e o DJe 11/12/2025 (ambos da minuta). O REsp nº 1.340.553/RS, o relator e o DJe do Tema 568 seguem o modelo APC 0013934-65; o iajus confirma o tema, a tese e o julgamento em 12/9/2018.</w:t>
      </w:r>
    </w:p>
  </w:comment>
  <w:comment w:id="9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Conferido nos autos de origem: a sentença (ID 89383872) é assinada por Edioni da Costa Lima, da 2ª Vara de Execução de Títulos Extrajudiciais e Conflitos Arbitrais de Brasília. Pendência (C-52): o gênero da magistrada(o) não consta dos autos; conferir antes de usar "Dra."/"Dr.".</w:t>
      </w:r>
    </w:p>
  </w:comment>
  <w:comment w:id="10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Reescrevi o apelo na fórmula do relatório, com as alegações enumeradas em um só parágrafo, vírgula depois do ID e dois pontos depois de "que" (C-30), e tirei a cor vermelha do ponto e do espaço depois de "S.A", que estavam fora do resumo (C-46). Nas contrarrazões, passei o ID para depois da palavra (C-20).</w:t>
      </w:r>
    </w:p>
  </w:comment>
  <w:comment w:id="11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Corrigi "Apelo interposto em 26/6/13" para 26/06/2026 (o resumo da apelação indica o protocolo em 26/06/2026 e a sentença é de 29/05/2026) e escrevi as datas com dois dígitos e ano completo; o ajuizamento em 2013 confere com o número do processo (0026261-76.2013) (C-03, C-20).</w:t>
      </w:r>
    </w:p>
  </w:comment>
  <w:comment w:id="12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Troquei o título de assunto ("DA CONSUMAÇÃO…") pelo título que diz a decisão sobre o pedido de cassação da sentença (C-3W b) e o realcei em amarelo (C-42). Capítulo único: sem mini-dispositivo (C-3A).</w:t>
      </w:r>
    </w:p>
  </w:comment>
  <w:comment w:id="13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Reescrevi a abertura na fórmula do Gabinete: "O exequente/apelante alega que: 1) …", em um só parágrafo, com o ID ao final e sem repetir o nome já posto no título do apelo, e acrescentei o "Requer", conforme o relatório (C-3W c, C-30; perfil APC, seq. do capítulo). As alegações são as do apelo, já reproduzidas na minuta (ID 89383876).</w:t>
      </w:r>
    </w:p>
  </w:comment>
  <w:comment w:id="14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Concisão (C-02): fundi a abertura e a frase do prazo e tirei do corpo a transcrição do art. 44 da Lei 10.931/2004, norma acessória que só remete à legislação cambial (C-66); fica aqui (C-63): “Art. 44. Aplica-se às Cédulas de Crédito Bancário, no que não contrariar o disposto nesta Lei, a legislação cambial, dispensado o protesto para garantir o direito de cobrança contra endossantes, seus avalistas e terceiros garantidores.” Mantive no corpo os arts. 70 da LUG e 206 do CC, que sustentam o prazo trienal. Troquei "IDs" por "ID" (C-25). Os autos (ID 89383862) confirmam o fundamento: o despacho de 15/01/2026 aplica o art. 44 da Lei 10.931/2004 e o prazo trienal. Pendência (C-52, C-72): corrigi "contra ao aceitante" para "contra o aceitante" no art. 70 da LUG (Decreto 57.663/1966, Anexo I), mas não consegui abrir o Anexo I no iajus nem no Planalto (bloqueado no ambiente); conferir o texto. Lei 10.931/2004, art. 44, e CC, art. 206, § 3º, VIII, foram conferidos no iajus (Planalto) e conferem.</w:t>
      </w:r>
    </w:p>
  </w:comment>
  <w:comment w:id="15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Mantive só o acórdão da 4ª Turma Cível para a tese do prazo trienal (C-65, C-67); retirei o Acórdão 2121895 (5ª Turma, Rel. Fábio Eduardo Marques, j. 14/5/2026), que repetia a mesma tese e não foi conferido no JurisDF. Usei "Nesse sentido:" (C-67).</w:t>
      </w:r>
    </w:p>
  </w:comment>
  <w:comment w:id="16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Fundi em um só parágrafo os cinco parágrafos curtos de fatos (C-02, C-11, C-13) e usei "executado" (a autuação traz um só executado). Datas conferidas nos autos de origem: suspensão de 04/11/2021 (ID 89383849), certidão do fim da suspensão em 17/11/2022 (ID 89383854). Texto literal (C-63), CPC, art. 921: “III - quando não for localizado o executado ou bens penhoráveis; (...) § 1º Na hipótese do inciso III, o juiz suspenderá a execução pelo prazo de 1 (um) ano, durante o qual se suspenderá a prescrição.” (fonte: Planalto, via iajus). Ponto de atenção (C-64): a suspensão é de 04/11/2021, depois da Lei 14.195/2021, que deu ao § 4º a redação vigente: “O termo inicial da prescrição no curso do processo será a ciência da primeira tentativa infrutífera de localização do devedor ou de bens penhoráveis, e será suspensa, por uma única vez, pelo prazo máximo previsto no § 1º deste artigo.” O voto mantém o termo da sentença (17/11/2022, depois do ano de suspensão), mais favorável ao exequente, de modo que o resultado não muda; a data da primeira tentativa infrutífera não consta do material recebido.</w:t>
      </w:r>
    </w:p>
  </w:comment>
  <w:comment w:id="17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Concisão (C-02, C-65): substituí o parágrafo "Dito isso, diligências formais e infrutíferas…" pelos fatos dos autos de origem (abaixo) e retirei o Acórdão 2103829 (4ª Turma, Rel. Aiston, 0085184-37.2009.8.07.0001, j. 11/03/2026), que repetia a tese do Tema 568, apresentado em seguida. O iajus confirmava o julgado e a tese, mas não devolvia o número do acórdão nem o DJe (a minuta trazia "DJe: Invalid date"); com a retirada, a pendência de conferência deixa de existir.</w:t>
      </w:r>
    </w:p>
  </w:comment>
  <w:comment w:id="18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Complementei com os autos de origem (C-03): o pedido de novas buscas é de 07/07/2025 (ID 89383855; confirma o "7/725" da minuta); foi indeferido em 09/09/2025 por falta de demonstração de possibilidade de êxito que justifique a reiteração (ID 89383858); a reconsideração, de 14/11/2025 (ID 89383861), não resultou em constrição: o despacho de 15/01/2026 (ID 89383862) apenas abriu vista sobre a prescrição (CPC 921 § 5º). Troquei "IDs" por "ID" (C-25) e passei o ID para o fim do período (C-20).</w:t>
      </w:r>
    </w:p>
  </w:comment>
  <w:comment w:id="19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Transcrevi a tese do Tema 568 sem o rótulo "Tema 568:" e acrescentei o leading case na forma de C-61. Conferido no iajus: tese literal idêntica e julgamento em 12/9/2018 (o registro traz o aviso "maturidade não apurada"); REsp nº 1.340.553/RS, relator e DJe de 16/10/2018 conforme o modelo APC 0013934-65 (C-60, C-72).</w:t>
      </w:r>
    </w:p>
  </w:comment>
  <w:comment w:id="20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Retirei os Acórdãos 1950428 (5ª Turma, Rel. Leonor Aguena, j. 28/11/2024) e 1950219 (1ª Turma, Rel. Carlos Alberto Martins Filho, j. 27/11/2024): a tese está coberta pelo Tema 568 e pelo acórdão da 4ª Turma (C-65, C-67). Não foram conferidos no JurisDF.</w:t>
      </w:r>
    </w:p>
  </w:comment>
  <w:comment w:id="21" w:author="Assessor GDSXSR" w:initials="RG" w:date="2026-10-30T19:44:37Z">
    <w:p>
      <w:pPr>
        <w:pStyle w:val="CommentText"/>
      </w:pPr>
      <w:r>
        <w:rPr>
          <w:rStyle w:val="CommentReference"/>
        </w:rPr>
        <w:annotationRef/>
      </w:r>
      <w:r>
        <w:t>ASSESSOR GDSXSR — Troquei "CPC 921 § 5º" pela fórmula de honorários recursais do modelo APC 0013934-65: a sentença não fixou honorários ("Sem ônus sucumbenciais, consoante art. 921, § 5°, do CPC"), logo não há o que majorar (C-51). Texto literal (C-63), CPC, art. 85, § 11: “O tribunal, ao julgar recurso, majorará os honorários fixados anteriormente levando em conta o trabalho adicional realizado em grau recursal, observando, conforme o caso, o disposto nos §§ 2º a 6º, (...).” Art. 921, § 5º: “O juiz, depois de ouvidas as partes, no prazo de 15 (quinze) dias, poderá, de ofício, reconhecer a prescrição no curso do processo e extingui-lo, sem ônus para as partes.” (fonte: Planalto, via iajus).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3006A9EA" w15:paraIdParent="448DA02E" w15:done="0"/>
  <w15:commentEx w15:paraId="2B329C53" w15:paraIdParent="448DA02E" w15:done="0"/>
  <w15:commentEx w15:paraId="67219C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043D86E0" w16cex:dateUtc="2026-09-22T19:40:00Z"/>
  <w16cex:commentExtensible w16cex:durableId="4248380A" w16cex:dateUtc="2026-09-29T18:53:00Z"/>
  <w16cex:commentExtensible w16cex:durableId="2598BB7F" w16cex:dateUtc="2026-09-22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3006A9EA" w16cid:durableId="043D86E0"/>
  <w16cid:commentId w16cid:paraId="2B329C53" w16cid:durableId="4248380A"/>
  <w16cid:commentId w16cid:paraId="67219C7D" w16cid:durableId="2598BB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0759" w:rsidP="003A42DE" w:rsidRDefault="00910759" w14:paraId="47778BEC" w14:textId="77777777">
      <w:pPr>
        <w:spacing w:after="0" w:line="240" w:lineRule="auto"/>
      </w:pPr>
      <w:r>
        <w:separator/>
      </w:r>
    </w:p>
  </w:endnote>
  <w:endnote w:type="continuationSeparator" w:id="0">
    <w:p w:rsidR="00910759" w:rsidP="003A42DE" w:rsidRDefault="00910759" w14:paraId="398ADD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:rsidR="003A42DE" w:rsidRDefault="003A42DE" w14:paraId="4A86AAF9" w14:textId="777777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0759" w:rsidP="003A42DE" w:rsidRDefault="00910759" w14:paraId="02A91AAD" w14:textId="77777777">
      <w:pPr>
        <w:spacing w:after="0" w:line="240" w:lineRule="auto"/>
      </w:pPr>
      <w:r>
        <w:separator/>
      </w:r>
    </w:p>
  </w:footnote>
  <w:footnote w:type="continuationSeparator" w:id="0">
    <w:p w:rsidR="00910759" w:rsidP="003A42DE" w:rsidRDefault="00910759" w14:paraId="066EC7A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2FC"/>
    <w:multiLevelType w:val="hybridMultilevel"/>
    <w:tmpl w:val="59AC91B2"/>
    <w:lvl w:ilvl="0" w:tplc="F840619C">
      <w:start w:val="1"/>
      <w:numFmt w:val="decimal"/>
      <w:lvlText w:val="%1."/>
      <w:lvlJc w:val="left"/>
      <w:pPr>
        <w:ind w:left="1440" w:hanging="360"/>
      </w:pPr>
    </w:lvl>
    <w:lvl w:ilvl="1" w:tplc="3BD018F8">
      <w:start w:val="1"/>
      <w:numFmt w:val="decimal"/>
      <w:lvlText w:val="%2."/>
      <w:lvlJc w:val="left"/>
      <w:pPr>
        <w:ind w:left="1440" w:hanging="360"/>
      </w:pPr>
    </w:lvl>
    <w:lvl w:ilvl="2" w:tplc="37647642">
      <w:start w:val="1"/>
      <w:numFmt w:val="decimal"/>
      <w:lvlText w:val="%3."/>
      <w:lvlJc w:val="left"/>
      <w:pPr>
        <w:ind w:left="1440" w:hanging="360"/>
      </w:pPr>
    </w:lvl>
    <w:lvl w:ilvl="3" w:tplc="5DBE9C5E">
      <w:start w:val="1"/>
      <w:numFmt w:val="decimal"/>
      <w:lvlText w:val="%4."/>
      <w:lvlJc w:val="left"/>
      <w:pPr>
        <w:ind w:left="1440" w:hanging="360"/>
      </w:pPr>
    </w:lvl>
    <w:lvl w:ilvl="4" w:tplc="6538900C">
      <w:start w:val="1"/>
      <w:numFmt w:val="decimal"/>
      <w:lvlText w:val="%5."/>
      <w:lvlJc w:val="left"/>
      <w:pPr>
        <w:ind w:left="1440" w:hanging="360"/>
      </w:pPr>
    </w:lvl>
    <w:lvl w:ilvl="5" w:tplc="83525DC2">
      <w:start w:val="1"/>
      <w:numFmt w:val="decimal"/>
      <w:lvlText w:val="%6."/>
      <w:lvlJc w:val="left"/>
      <w:pPr>
        <w:ind w:left="1440" w:hanging="360"/>
      </w:pPr>
    </w:lvl>
    <w:lvl w:ilvl="6" w:tplc="6954524C">
      <w:start w:val="1"/>
      <w:numFmt w:val="decimal"/>
      <w:lvlText w:val="%7."/>
      <w:lvlJc w:val="left"/>
      <w:pPr>
        <w:ind w:left="1440" w:hanging="360"/>
      </w:pPr>
    </w:lvl>
    <w:lvl w:ilvl="7" w:tplc="C818C66A">
      <w:start w:val="1"/>
      <w:numFmt w:val="decimal"/>
      <w:lvlText w:val="%8."/>
      <w:lvlJc w:val="left"/>
      <w:pPr>
        <w:ind w:left="1440" w:hanging="360"/>
      </w:pPr>
    </w:lvl>
    <w:lvl w:ilvl="8" w:tplc="7A547A3E">
      <w:start w:val="1"/>
      <w:numFmt w:val="decimal"/>
      <w:lvlText w:val="%9."/>
      <w:lvlJc w:val="left"/>
      <w:pPr>
        <w:ind w:left="1440" w:hanging="360"/>
      </w:pPr>
    </w:lvl>
  </w:abstractNum>
  <w:abstractNum w:abstractNumId="1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47904"/>
    <w:multiLevelType w:val="hybridMultilevel"/>
    <w:tmpl w:val="E54C34DE"/>
    <w:lvl w:ilvl="0" w:tplc="6F129584">
      <w:start w:val="1"/>
      <w:numFmt w:val="decimal"/>
      <w:lvlText w:val="%1."/>
      <w:lvlJc w:val="left"/>
      <w:pPr>
        <w:ind w:left="1440" w:hanging="360"/>
      </w:pPr>
    </w:lvl>
    <w:lvl w:ilvl="1" w:tplc="7DF0BCE4">
      <w:start w:val="1"/>
      <w:numFmt w:val="decimal"/>
      <w:lvlText w:val="%2."/>
      <w:lvlJc w:val="left"/>
      <w:pPr>
        <w:ind w:left="1440" w:hanging="360"/>
      </w:pPr>
    </w:lvl>
    <w:lvl w:ilvl="2" w:tplc="22684894">
      <w:start w:val="1"/>
      <w:numFmt w:val="decimal"/>
      <w:lvlText w:val="%3."/>
      <w:lvlJc w:val="left"/>
      <w:pPr>
        <w:ind w:left="1440" w:hanging="360"/>
      </w:pPr>
    </w:lvl>
    <w:lvl w:ilvl="3" w:tplc="C886642C">
      <w:start w:val="1"/>
      <w:numFmt w:val="decimal"/>
      <w:lvlText w:val="%4."/>
      <w:lvlJc w:val="left"/>
      <w:pPr>
        <w:ind w:left="1440" w:hanging="360"/>
      </w:pPr>
    </w:lvl>
    <w:lvl w:ilvl="4" w:tplc="69C40946">
      <w:start w:val="1"/>
      <w:numFmt w:val="decimal"/>
      <w:lvlText w:val="%5."/>
      <w:lvlJc w:val="left"/>
      <w:pPr>
        <w:ind w:left="1440" w:hanging="360"/>
      </w:pPr>
    </w:lvl>
    <w:lvl w:ilvl="5" w:tplc="FE9C7576">
      <w:start w:val="1"/>
      <w:numFmt w:val="decimal"/>
      <w:lvlText w:val="%6."/>
      <w:lvlJc w:val="left"/>
      <w:pPr>
        <w:ind w:left="1440" w:hanging="360"/>
      </w:pPr>
    </w:lvl>
    <w:lvl w:ilvl="6" w:tplc="CDD02B36">
      <w:start w:val="1"/>
      <w:numFmt w:val="decimal"/>
      <w:lvlText w:val="%7."/>
      <w:lvlJc w:val="left"/>
      <w:pPr>
        <w:ind w:left="1440" w:hanging="360"/>
      </w:pPr>
    </w:lvl>
    <w:lvl w:ilvl="7" w:tplc="0932FFD2">
      <w:start w:val="1"/>
      <w:numFmt w:val="decimal"/>
      <w:lvlText w:val="%8."/>
      <w:lvlJc w:val="left"/>
      <w:pPr>
        <w:ind w:left="1440" w:hanging="360"/>
      </w:pPr>
    </w:lvl>
    <w:lvl w:ilvl="8" w:tplc="C194C262">
      <w:start w:val="1"/>
      <w:numFmt w:val="decimal"/>
      <w:lvlText w:val="%9."/>
      <w:lvlJc w:val="left"/>
      <w:pPr>
        <w:ind w:left="1440" w:hanging="360"/>
      </w:pPr>
    </w:lvl>
  </w:abstractNum>
  <w:abstractNum w:abstractNumId="5" w15:restartNumberingAfterBreak="0">
    <w:nsid w:val="2DAA0674"/>
    <w:multiLevelType w:val="hybridMultilevel"/>
    <w:tmpl w:val="9F40D6DC"/>
    <w:lvl w:ilvl="0" w:tplc="626C3FE8">
      <w:start w:val="1"/>
      <w:numFmt w:val="decimal"/>
      <w:lvlText w:val="%1."/>
      <w:lvlJc w:val="left"/>
      <w:pPr>
        <w:ind w:left="1440" w:hanging="360"/>
      </w:pPr>
    </w:lvl>
    <w:lvl w:ilvl="1" w:tplc="F674521C">
      <w:start w:val="1"/>
      <w:numFmt w:val="decimal"/>
      <w:lvlText w:val="%2."/>
      <w:lvlJc w:val="left"/>
      <w:pPr>
        <w:ind w:left="1440" w:hanging="360"/>
      </w:pPr>
    </w:lvl>
    <w:lvl w:ilvl="2" w:tplc="7B528E16">
      <w:start w:val="1"/>
      <w:numFmt w:val="decimal"/>
      <w:lvlText w:val="%3."/>
      <w:lvlJc w:val="left"/>
      <w:pPr>
        <w:ind w:left="1440" w:hanging="360"/>
      </w:pPr>
    </w:lvl>
    <w:lvl w:ilvl="3" w:tplc="717AC2F8">
      <w:start w:val="1"/>
      <w:numFmt w:val="decimal"/>
      <w:lvlText w:val="%4."/>
      <w:lvlJc w:val="left"/>
      <w:pPr>
        <w:ind w:left="1440" w:hanging="360"/>
      </w:pPr>
    </w:lvl>
    <w:lvl w:ilvl="4" w:tplc="6082D594">
      <w:start w:val="1"/>
      <w:numFmt w:val="decimal"/>
      <w:lvlText w:val="%5."/>
      <w:lvlJc w:val="left"/>
      <w:pPr>
        <w:ind w:left="1440" w:hanging="360"/>
      </w:pPr>
    </w:lvl>
    <w:lvl w:ilvl="5" w:tplc="12D00D5E">
      <w:start w:val="1"/>
      <w:numFmt w:val="decimal"/>
      <w:lvlText w:val="%6."/>
      <w:lvlJc w:val="left"/>
      <w:pPr>
        <w:ind w:left="1440" w:hanging="360"/>
      </w:pPr>
    </w:lvl>
    <w:lvl w:ilvl="6" w:tplc="3340AB5C">
      <w:start w:val="1"/>
      <w:numFmt w:val="decimal"/>
      <w:lvlText w:val="%7."/>
      <w:lvlJc w:val="left"/>
      <w:pPr>
        <w:ind w:left="1440" w:hanging="360"/>
      </w:pPr>
    </w:lvl>
    <w:lvl w:ilvl="7" w:tplc="7474E420">
      <w:start w:val="1"/>
      <w:numFmt w:val="decimal"/>
      <w:lvlText w:val="%8."/>
      <w:lvlJc w:val="left"/>
      <w:pPr>
        <w:ind w:left="1440" w:hanging="360"/>
      </w:pPr>
    </w:lvl>
    <w:lvl w:ilvl="8" w:tplc="3EAE1F8A">
      <w:start w:val="1"/>
      <w:numFmt w:val="decimal"/>
      <w:lvlText w:val="%9."/>
      <w:lvlJc w:val="left"/>
      <w:pPr>
        <w:ind w:left="1440" w:hanging="360"/>
      </w:pPr>
    </w:lvl>
  </w:abstractNum>
  <w:abstractNum w:abstractNumId="6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823E8"/>
    <w:multiLevelType w:val="hybridMultilevel"/>
    <w:tmpl w:val="4E7665AA"/>
    <w:lvl w:ilvl="0" w:tplc="AD505550">
      <w:start w:val="1"/>
      <w:numFmt w:val="decimal"/>
      <w:lvlText w:val="%1."/>
      <w:lvlJc w:val="left"/>
      <w:pPr>
        <w:ind w:left="1440" w:hanging="360"/>
      </w:pPr>
    </w:lvl>
    <w:lvl w:ilvl="1" w:tplc="6AA22908">
      <w:start w:val="1"/>
      <w:numFmt w:val="decimal"/>
      <w:lvlText w:val="%2."/>
      <w:lvlJc w:val="left"/>
      <w:pPr>
        <w:ind w:left="1440" w:hanging="360"/>
      </w:pPr>
    </w:lvl>
    <w:lvl w:ilvl="2" w:tplc="8F38DEC4">
      <w:start w:val="1"/>
      <w:numFmt w:val="decimal"/>
      <w:lvlText w:val="%3."/>
      <w:lvlJc w:val="left"/>
      <w:pPr>
        <w:ind w:left="1440" w:hanging="360"/>
      </w:pPr>
    </w:lvl>
    <w:lvl w:ilvl="3" w:tplc="9392AD78">
      <w:start w:val="1"/>
      <w:numFmt w:val="decimal"/>
      <w:lvlText w:val="%4."/>
      <w:lvlJc w:val="left"/>
      <w:pPr>
        <w:ind w:left="1440" w:hanging="360"/>
      </w:pPr>
    </w:lvl>
    <w:lvl w:ilvl="4" w:tplc="6AD85956">
      <w:start w:val="1"/>
      <w:numFmt w:val="decimal"/>
      <w:lvlText w:val="%5."/>
      <w:lvlJc w:val="left"/>
      <w:pPr>
        <w:ind w:left="1440" w:hanging="360"/>
      </w:pPr>
    </w:lvl>
    <w:lvl w:ilvl="5" w:tplc="8DEABD38">
      <w:start w:val="1"/>
      <w:numFmt w:val="decimal"/>
      <w:lvlText w:val="%6."/>
      <w:lvlJc w:val="left"/>
      <w:pPr>
        <w:ind w:left="1440" w:hanging="360"/>
      </w:pPr>
    </w:lvl>
    <w:lvl w:ilvl="6" w:tplc="AC3C2484">
      <w:start w:val="1"/>
      <w:numFmt w:val="decimal"/>
      <w:lvlText w:val="%7."/>
      <w:lvlJc w:val="left"/>
      <w:pPr>
        <w:ind w:left="1440" w:hanging="360"/>
      </w:pPr>
    </w:lvl>
    <w:lvl w:ilvl="7" w:tplc="52701428">
      <w:start w:val="1"/>
      <w:numFmt w:val="decimal"/>
      <w:lvlText w:val="%8."/>
      <w:lvlJc w:val="left"/>
      <w:pPr>
        <w:ind w:left="1440" w:hanging="360"/>
      </w:pPr>
    </w:lvl>
    <w:lvl w:ilvl="8" w:tplc="94A27ECA">
      <w:start w:val="1"/>
      <w:numFmt w:val="decimal"/>
      <w:lvlText w:val="%9."/>
      <w:lvlJc w:val="left"/>
      <w:pPr>
        <w:ind w:left="1440" w:hanging="360"/>
      </w:pPr>
    </w:lvl>
  </w:abstractNum>
  <w:abstractNum w:abstractNumId="8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2"/>
  </w:num>
  <w:num w:numId="2" w16cid:durableId="1365403601">
    <w:abstractNumId w:val="1"/>
  </w:num>
  <w:num w:numId="3" w16cid:durableId="1699744316">
    <w:abstractNumId w:val="8"/>
  </w:num>
  <w:num w:numId="4" w16cid:durableId="1036810075">
    <w:abstractNumId w:val="3"/>
  </w:num>
  <w:num w:numId="5" w16cid:durableId="1881167072">
    <w:abstractNumId w:val="6"/>
  </w:num>
  <w:num w:numId="6" w16cid:durableId="1437095995">
    <w:abstractNumId w:val="7"/>
  </w:num>
  <w:num w:numId="7" w16cid:durableId="172191484">
    <w:abstractNumId w:val="0"/>
  </w:num>
  <w:num w:numId="8" w16cid:durableId="594636134">
    <w:abstractNumId w:val="5"/>
  </w:num>
  <w:num w:numId="9" w16cid:durableId="134756266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Gabriel Passos Sesana - GDACA">
    <w15:presenceInfo w15:providerId="AD" w15:userId="S::t318556@tjdft.jus.br::98268d75-773c-423e-bbc3-55d5340811be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4C15"/>
    <w:rsid w:val="00012123"/>
    <w:rsid w:val="000121B2"/>
    <w:rsid w:val="00012E42"/>
    <w:rsid w:val="0002189B"/>
    <w:rsid w:val="0002738F"/>
    <w:rsid w:val="00033421"/>
    <w:rsid w:val="00033AFD"/>
    <w:rsid w:val="00036B93"/>
    <w:rsid w:val="000525EE"/>
    <w:rsid w:val="00052AE3"/>
    <w:rsid w:val="0006080C"/>
    <w:rsid w:val="000619E0"/>
    <w:rsid w:val="00062B87"/>
    <w:rsid w:val="00064301"/>
    <w:rsid w:val="00076D7D"/>
    <w:rsid w:val="0009174A"/>
    <w:rsid w:val="00091ABC"/>
    <w:rsid w:val="00097BBF"/>
    <w:rsid w:val="000A7009"/>
    <w:rsid w:val="000B0FC6"/>
    <w:rsid w:val="000B7AF7"/>
    <w:rsid w:val="000D2E62"/>
    <w:rsid w:val="000D59B2"/>
    <w:rsid w:val="000D5B96"/>
    <w:rsid w:val="000E50C3"/>
    <w:rsid w:val="000F1358"/>
    <w:rsid w:val="000F1817"/>
    <w:rsid w:val="000F6570"/>
    <w:rsid w:val="001009CC"/>
    <w:rsid w:val="0010525D"/>
    <w:rsid w:val="0011527A"/>
    <w:rsid w:val="00115458"/>
    <w:rsid w:val="00115569"/>
    <w:rsid w:val="00120021"/>
    <w:rsid w:val="00122133"/>
    <w:rsid w:val="00125329"/>
    <w:rsid w:val="00126492"/>
    <w:rsid w:val="00131A63"/>
    <w:rsid w:val="00137A7E"/>
    <w:rsid w:val="001457C7"/>
    <w:rsid w:val="00151611"/>
    <w:rsid w:val="00155B85"/>
    <w:rsid w:val="00161CD2"/>
    <w:rsid w:val="00164388"/>
    <w:rsid w:val="001676A4"/>
    <w:rsid w:val="00167F3A"/>
    <w:rsid w:val="00173BC6"/>
    <w:rsid w:val="001801E9"/>
    <w:rsid w:val="00183B77"/>
    <w:rsid w:val="00185ADA"/>
    <w:rsid w:val="001A09B8"/>
    <w:rsid w:val="001A1B8B"/>
    <w:rsid w:val="001C3EA1"/>
    <w:rsid w:val="001C466B"/>
    <w:rsid w:val="001D2162"/>
    <w:rsid w:val="001E0D41"/>
    <w:rsid w:val="001E4974"/>
    <w:rsid w:val="001E7903"/>
    <w:rsid w:val="001F285F"/>
    <w:rsid w:val="00203B1D"/>
    <w:rsid w:val="0020478E"/>
    <w:rsid w:val="00206304"/>
    <w:rsid w:val="002126F1"/>
    <w:rsid w:val="0021526A"/>
    <w:rsid w:val="0021791B"/>
    <w:rsid w:val="002218E0"/>
    <w:rsid w:val="00222EF4"/>
    <w:rsid w:val="00232EEB"/>
    <w:rsid w:val="002437F6"/>
    <w:rsid w:val="00250886"/>
    <w:rsid w:val="00254E51"/>
    <w:rsid w:val="00262F85"/>
    <w:rsid w:val="00264107"/>
    <w:rsid w:val="00273F21"/>
    <w:rsid w:val="00274644"/>
    <w:rsid w:val="00277029"/>
    <w:rsid w:val="0028319F"/>
    <w:rsid w:val="002864CA"/>
    <w:rsid w:val="002926F9"/>
    <w:rsid w:val="00292ABE"/>
    <w:rsid w:val="00292E82"/>
    <w:rsid w:val="00296003"/>
    <w:rsid w:val="00296DAE"/>
    <w:rsid w:val="002A2038"/>
    <w:rsid w:val="002A3D11"/>
    <w:rsid w:val="002A5205"/>
    <w:rsid w:val="002B0491"/>
    <w:rsid w:val="002B1184"/>
    <w:rsid w:val="002B210E"/>
    <w:rsid w:val="002C2464"/>
    <w:rsid w:val="002C42D2"/>
    <w:rsid w:val="002D0407"/>
    <w:rsid w:val="002D127E"/>
    <w:rsid w:val="002D2D56"/>
    <w:rsid w:val="002D3FF3"/>
    <w:rsid w:val="002F13AB"/>
    <w:rsid w:val="002F7666"/>
    <w:rsid w:val="00302029"/>
    <w:rsid w:val="00303FAE"/>
    <w:rsid w:val="0031063D"/>
    <w:rsid w:val="00311BCD"/>
    <w:rsid w:val="00312291"/>
    <w:rsid w:val="00316B1F"/>
    <w:rsid w:val="00321068"/>
    <w:rsid w:val="00323779"/>
    <w:rsid w:val="00323D27"/>
    <w:rsid w:val="0033735F"/>
    <w:rsid w:val="00337B6B"/>
    <w:rsid w:val="0034247B"/>
    <w:rsid w:val="003436F6"/>
    <w:rsid w:val="0034511C"/>
    <w:rsid w:val="0034578E"/>
    <w:rsid w:val="00347818"/>
    <w:rsid w:val="00351653"/>
    <w:rsid w:val="003524E5"/>
    <w:rsid w:val="00352D66"/>
    <w:rsid w:val="00354AA2"/>
    <w:rsid w:val="00355C73"/>
    <w:rsid w:val="00362154"/>
    <w:rsid w:val="003624B4"/>
    <w:rsid w:val="00370C48"/>
    <w:rsid w:val="003717FC"/>
    <w:rsid w:val="003749AB"/>
    <w:rsid w:val="00385F90"/>
    <w:rsid w:val="00386303"/>
    <w:rsid w:val="00392CF1"/>
    <w:rsid w:val="003A1DD8"/>
    <w:rsid w:val="003A42DE"/>
    <w:rsid w:val="003A4E55"/>
    <w:rsid w:val="003A6871"/>
    <w:rsid w:val="003B3398"/>
    <w:rsid w:val="003C2247"/>
    <w:rsid w:val="003D11BE"/>
    <w:rsid w:val="003D3FEE"/>
    <w:rsid w:val="003E436D"/>
    <w:rsid w:val="00401FA1"/>
    <w:rsid w:val="00413928"/>
    <w:rsid w:val="00423538"/>
    <w:rsid w:val="00445ED9"/>
    <w:rsid w:val="00451A6D"/>
    <w:rsid w:val="00465A25"/>
    <w:rsid w:val="0047216B"/>
    <w:rsid w:val="004738B5"/>
    <w:rsid w:val="00474DCD"/>
    <w:rsid w:val="004762F1"/>
    <w:rsid w:val="00480A33"/>
    <w:rsid w:val="00484723"/>
    <w:rsid w:val="00485185"/>
    <w:rsid w:val="00495EB5"/>
    <w:rsid w:val="00496EB5"/>
    <w:rsid w:val="004A55E8"/>
    <w:rsid w:val="004A6DE1"/>
    <w:rsid w:val="004B2A9C"/>
    <w:rsid w:val="004B7A6C"/>
    <w:rsid w:val="004C0465"/>
    <w:rsid w:val="004C339B"/>
    <w:rsid w:val="004C591E"/>
    <w:rsid w:val="004C7418"/>
    <w:rsid w:val="004D0BCF"/>
    <w:rsid w:val="00506A7D"/>
    <w:rsid w:val="00506D76"/>
    <w:rsid w:val="005107D2"/>
    <w:rsid w:val="00511630"/>
    <w:rsid w:val="00517F10"/>
    <w:rsid w:val="00520E8A"/>
    <w:rsid w:val="00525FCB"/>
    <w:rsid w:val="00530C7C"/>
    <w:rsid w:val="00546DC4"/>
    <w:rsid w:val="0055172B"/>
    <w:rsid w:val="00557342"/>
    <w:rsid w:val="00560427"/>
    <w:rsid w:val="00573C5D"/>
    <w:rsid w:val="00576A45"/>
    <w:rsid w:val="0057726B"/>
    <w:rsid w:val="00585828"/>
    <w:rsid w:val="00586EB6"/>
    <w:rsid w:val="005925FC"/>
    <w:rsid w:val="0059689A"/>
    <w:rsid w:val="00597864"/>
    <w:rsid w:val="005A1443"/>
    <w:rsid w:val="005A1AD9"/>
    <w:rsid w:val="005A58E7"/>
    <w:rsid w:val="005A6662"/>
    <w:rsid w:val="005B7851"/>
    <w:rsid w:val="005C108B"/>
    <w:rsid w:val="005C31C4"/>
    <w:rsid w:val="005C69F8"/>
    <w:rsid w:val="005C75B9"/>
    <w:rsid w:val="005D305E"/>
    <w:rsid w:val="005E3F4E"/>
    <w:rsid w:val="005E5A03"/>
    <w:rsid w:val="005F0EBE"/>
    <w:rsid w:val="005F32C8"/>
    <w:rsid w:val="00601B09"/>
    <w:rsid w:val="0060333D"/>
    <w:rsid w:val="00611216"/>
    <w:rsid w:val="0061262D"/>
    <w:rsid w:val="00615051"/>
    <w:rsid w:val="00621C46"/>
    <w:rsid w:val="006226C6"/>
    <w:rsid w:val="00632EAA"/>
    <w:rsid w:val="00633703"/>
    <w:rsid w:val="0063376A"/>
    <w:rsid w:val="00635527"/>
    <w:rsid w:val="00641BB6"/>
    <w:rsid w:val="00642EE1"/>
    <w:rsid w:val="006520E0"/>
    <w:rsid w:val="00661CF3"/>
    <w:rsid w:val="006658A2"/>
    <w:rsid w:val="006921E1"/>
    <w:rsid w:val="00693B0D"/>
    <w:rsid w:val="006B2A89"/>
    <w:rsid w:val="006B555B"/>
    <w:rsid w:val="006C6E29"/>
    <w:rsid w:val="006D07B9"/>
    <w:rsid w:val="006D0993"/>
    <w:rsid w:val="006D3824"/>
    <w:rsid w:val="006D595E"/>
    <w:rsid w:val="006F725D"/>
    <w:rsid w:val="00711FE9"/>
    <w:rsid w:val="00713933"/>
    <w:rsid w:val="00715D4D"/>
    <w:rsid w:val="00726567"/>
    <w:rsid w:val="00730800"/>
    <w:rsid w:val="007417DB"/>
    <w:rsid w:val="00744BDF"/>
    <w:rsid w:val="00747176"/>
    <w:rsid w:val="0076287B"/>
    <w:rsid w:val="00765709"/>
    <w:rsid w:val="00770E7F"/>
    <w:rsid w:val="0077693D"/>
    <w:rsid w:val="0077719E"/>
    <w:rsid w:val="00782446"/>
    <w:rsid w:val="007844F9"/>
    <w:rsid w:val="00791D48"/>
    <w:rsid w:val="007A32D4"/>
    <w:rsid w:val="007A3F4D"/>
    <w:rsid w:val="007B1C1A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17A"/>
    <w:rsid w:val="008235A6"/>
    <w:rsid w:val="00825BFF"/>
    <w:rsid w:val="00850905"/>
    <w:rsid w:val="0085425F"/>
    <w:rsid w:val="0086390F"/>
    <w:rsid w:val="00863E44"/>
    <w:rsid w:val="00877CCC"/>
    <w:rsid w:val="00877F2B"/>
    <w:rsid w:val="008809C2"/>
    <w:rsid w:val="00881203"/>
    <w:rsid w:val="00882188"/>
    <w:rsid w:val="00886ABA"/>
    <w:rsid w:val="008966E3"/>
    <w:rsid w:val="008A01E9"/>
    <w:rsid w:val="008A4445"/>
    <w:rsid w:val="008A49BC"/>
    <w:rsid w:val="008A56A3"/>
    <w:rsid w:val="008B35C6"/>
    <w:rsid w:val="008B45C4"/>
    <w:rsid w:val="008B62DA"/>
    <w:rsid w:val="008C29EA"/>
    <w:rsid w:val="008C306F"/>
    <w:rsid w:val="008C34E5"/>
    <w:rsid w:val="008C4183"/>
    <w:rsid w:val="008C641E"/>
    <w:rsid w:val="008D0C9F"/>
    <w:rsid w:val="008D3078"/>
    <w:rsid w:val="008D721A"/>
    <w:rsid w:val="008D7295"/>
    <w:rsid w:val="008F43F4"/>
    <w:rsid w:val="008F4440"/>
    <w:rsid w:val="00910759"/>
    <w:rsid w:val="00911601"/>
    <w:rsid w:val="0092538F"/>
    <w:rsid w:val="009300C5"/>
    <w:rsid w:val="00933600"/>
    <w:rsid w:val="00937017"/>
    <w:rsid w:val="0094285B"/>
    <w:rsid w:val="009431B2"/>
    <w:rsid w:val="00945DCA"/>
    <w:rsid w:val="00946FF7"/>
    <w:rsid w:val="009506E0"/>
    <w:rsid w:val="00951CAD"/>
    <w:rsid w:val="00962A91"/>
    <w:rsid w:val="00963E74"/>
    <w:rsid w:val="00966A46"/>
    <w:rsid w:val="00972EF3"/>
    <w:rsid w:val="009757E6"/>
    <w:rsid w:val="0097780C"/>
    <w:rsid w:val="00980B49"/>
    <w:rsid w:val="0099680F"/>
    <w:rsid w:val="009A136D"/>
    <w:rsid w:val="009A37F4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A03057"/>
    <w:rsid w:val="00A2661C"/>
    <w:rsid w:val="00A31C13"/>
    <w:rsid w:val="00A330C4"/>
    <w:rsid w:val="00A3595E"/>
    <w:rsid w:val="00A37E08"/>
    <w:rsid w:val="00A40FBB"/>
    <w:rsid w:val="00A44876"/>
    <w:rsid w:val="00A44A87"/>
    <w:rsid w:val="00A6481B"/>
    <w:rsid w:val="00A666B6"/>
    <w:rsid w:val="00A72414"/>
    <w:rsid w:val="00A7661A"/>
    <w:rsid w:val="00A773CE"/>
    <w:rsid w:val="00A80091"/>
    <w:rsid w:val="00A86951"/>
    <w:rsid w:val="00A87227"/>
    <w:rsid w:val="00A958AF"/>
    <w:rsid w:val="00A96CB3"/>
    <w:rsid w:val="00A97525"/>
    <w:rsid w:val="00AA1C23"/>
    <w:rsid w:val="00AA7E81"/>
    <w:rsid w:val="00AB1DE4"/>
    <w:rsid w:val="00AB6A11"/>
    <w:rsid w:val="00AB7E65"/>
    <w:rsid w:val="00AC20E1"/>
    <w:rsid w:val="00AE495E"/>
    <w:rsid w:val="00B04942"/>
    <w:rsid w:val="00B17310"/>
    <w:rsid w:val="00B175A0"/>
    <w:rsid w:val="00B30DAE"/>
    <w:rsid w:val="00B41866"/>
    <w:rsid w:val="00B5663B"/>
    <w:rsid w:val="00B60375"/>
    <w:rsid w:val="00B606B1"/>
    <w:rsid w:val="00B60851"/>
    <w:rsid w:val="00B71FB9"/>
    <w:rsid w:val="00B73FAD"/>
    <w:rsid w:val="00B74FB6"/>
    <w:rsid w:val="00B75D6D"/>
    <w:rsid w:val="00B834B5"/>
    <w:rsid w:val="00B848AE"/>
    <w:rsid w:val="00BA3360"/>
    <w:rsid w:val="00BA65D0"/>
    <w:rsid w:val="00BA700C"/>
    <w:rsid w:val="00BB2608"/>
    <w:rsid w:val="00BB6749"/>
    <w:rsid w:val="00BE75D7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461F"/>
    <w:rsid w:val="00C57E17"/>
    <w:rsid w:val="00C65EBB"/>
    <w:rsid w:val="00C6664A"/>
    <w:rsid w:val="00C728D3"/>
    <w:rsid w:val="00C94119"/>
    <w:rsid w:val="00C966CA"/>
    <w:rsid w:val="00CA324E"/>
    <w:rsid w:val="00CB0848"/>
    <w:rsid w:val="00CB4E4C"/>
    <w:rsid w:val="00CB7FF8"/>
    <w:rsid w:val="00CC7150"/>
    <w:rsid w:val="00CF0581"/>
    <w:rsid w:val="00CF1C50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104B"/>
    <w:rsid w:val="00D42648"/>
    <w:rsid w:val="00D42B4A"/>
    <w:rsid w:val="00D42DB8"/>
    <w:rsid w:val="00D456A6"/>
    <w:rsid w:val="00D516B2"/>
    <w:rsid w:val="00D52E56"/>
    <w:rsid w:val="00D57E55"/>
    <w:rsid w:val="00D80EBC"/>
    <w:rsid w:val="00D8260E"/>
    <w:rsid w:val="00D8334B"/>
    <w:rsid w:val="00D84490"/>
    <w:rsid w:val="00D85E07"/>
    <w:rsid w:val="00DB0A08"/>
    <w:rsid w:val="00DB1301"/>
    <w:rsid w:val="00DB342D"/>
    <w:rsid w:val="00DC71DB"/>
    <w:rsid w:val="00DF0654"/>
    <w:rsid w:val="00DF2670"/>
    <w:rsid w:val="00DF2730"/>
    <w:rsid w:val="00E055B0"/>
    <w:rsid w:val="00E07B96"/>
    <w:rsid w:val="00E211F5"/>
    <w:rsid w:val="00E26735"/>
    <w:rsid w:val="00E27460"/>
    <w:rsid w:val="00E437CF"/>
    <w:rsid w:val="00E53472"/>
    <w:rsid w:val="00E53CAF"/>
    <w:rsid w:val="00E611E9"/>
    <w:rsid w:val="00E647A0"/>
    <w:rsid w:val="00E806F5"/>
    <w:rsid w:val="00E828E3"/>
    <w:rsid w:val="00E828EB"/>
    <w:rsid w:val="00E84050"/>
    <w:rsid w:val="00E86190"/>
    <w:rsid w:val="00E87018"/>
    <w:rsid w:val="00E87B28"/>
    <w:rsid w:val="00E91CD1"/>
    <w:rsid w:val="00E926C7"/>
    <w:rsid w:val="00E963CE"/>
    <w:rsid w:val="00E96D12"/>
    <w:rsid w:val="00E97CB9"/>
    <w:rsid w:val="00EA63F0"/>
    <w:rsid w:val="00EB3378"/>
    <w:rsid w:val="00EB3F6A"/>
    <w:rsid w:val="00EB54B5"/>
    <w:rsid w:val="00EC5732"/>
    <w:rsid w:val="00EC712D"/>
    <w:rsid w:val="00ED0A9E"/>
    <w:rsid w:val="00ED44BA"/>
    <w:rsid w:val="00ED5E8E"/>
    <w:rsid w:val="00EE027D"/>
    <w:rsid w:val="00EE760E"/>
    <w:rsid w:val="00EF2715"/>
    <w:rsid w:val="00F041BA"/>
    <w:rsid w:val="00F066B4"/>
    <w:rsid w:val="00F07B06"/>
    <w:rsid w:val="00F07F92"/>
    <w:rsid w:val="00F10D23"/>
    <w:rsid w:val="00F12768"/>
    <w:rsid w:val="00F143F5"/>
    <w:rsid w:val="00F1627D"/>
    <w:rsid w:val="00F20A80"/>
    <w:rsid w:val="00F213B7"/>
    <w:rsid w:val="00F3251E"/>
    <w:rsid w:val="00F32608"/>
    <w:rsid w:val="00F3776A"/>
    <w:rsid w:val="00F43DDE"/>
    <w:rsid w:val="00F516D2"/>
    <w:rsid w:val="00F51BA9"/>
    <w:rsid w:val="00F51F47"/>
    <w:rsid w:val="00F547F1"/>
    <w:rsid w:val="00F63CDB"/>
    <w:rsid w:val="00F66640"/>
    <w:rsid w:val="00F84974"/>
    <w:rsid w:val="00F87022"/>
    <w:rsid w:val="00F879B4"/>
    <w:rsid w:val="00F90352"/>
    <w:rsid w:val="00F90DC1"/>
    <w:rsid w:val="00F9351B"/>
    <w:rsid w:val="00FC0273"/>
    <w:rsid w:val="00FC0C0F"/>
    <w:rsid w:val="00FC2DF0"/>
    <w:rsid w:val="00FC613E"/>
    <w:rsid w:val="00FD2D53"/>
    <w:rsid w:val="00FD5831"/>
    <w:rsid w:val="00FF25B5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08AD0F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AB6635E"/>
    <w:rsid w:val="1B897297"/>
    <w:rsid w:val="1D73FD00"/>
    <w:rsid w:val="1D8A9227"/>
    <w:rsid w:val="1DCB177C"/>
    <w:rsid w:val="1DE275A0"/>
    <w:rsid w:val="1E3E6500"/>
    <w:rsid w:val="1ECEA598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A8CD65"/>
    <w:rsid w:val="2AE1B6B7"/>
    <w:rsid w:val="2AE79E71"/>
    <w:rsid w:val="2AF5D78B"/>
    <w:rsid w:val="2BDF0338"/>
    <w:rsid w:val="2DD61D48"/>
    <w:rsid w:val="2E2B134C"/>
    <w:rsid w:val="2E9247A0"/>
    <w:rsid w:val="2F1C19A9"/>
    <w:rsid w:val="303ED86D"/>
    <w:rsid w:val="30508782"/>
    <w:rsid w:val="30587508"/>
    <w:rsid w:val="30A4AA1E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311B44"/>
    <w:rsid w:val="49420DA2"/>
    <w:rsid w:val="4962903A"/>
    <w:rsid w:val="49AAD572"/>
    <w:rsid w:val="4AF457DF"/>
    <w:rsid w:val="4B409B22"/>
    <w:rsid w:val="4C380660"/>
    <w:rsid w:val="4D3433F4"/>
    <w:rsid w:val="4D45AE2A"/>
    <w:rsid w:val="4D484E22"/>
    <w:rsid w:val="4EB5970F"/>
    <w:rsid w:val="4F3CC75C"/>
    <w:rsid w:val="50AFF784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5F3F5CAB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DDB7C5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BDD8F9F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227D"/>
  <w15:chartTrackingRefBased/>
  <w15:docId w15:val="{F3EF0117-CB36-4871-B798-5011927A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Heading1">
    <w:name w:val="heading 1"/>
    <w:basedOn w:val="Normal"/>
    <w:next w:val="Normal"/>
    <w:link w:val="Heading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8630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0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rsid w:val="003B3398"/>
    <w:rPr>
      <w:b/>
      <w:bCs/>
    </w:rPr>
  </w:style>
  <w:style w:type="character" w:styleId="Emphasis">
    <w:name w:val="Emphasis"/>
    <w:basedOn w:val="DefaultParagraphFont"/>
    <w:uiPriority w:val="20"/>
    <w:rsid w:val="003B3398"/>
    <w:rPr>
      <w:i/>
      <w:iCs/>
    </w:rPr>
  </w:style>
  <w:style w:type="character" w:styleId="CommentReference">
    <w:name w:val="annotation reference"/>
    <w:uiPriority w:val="99"/>
    <w:rsid w:val="002D3F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DefaultParagraphFont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661CF3"/>
  </w:style>
  <w:style w:type="character" w:styleId="eop" w:customStyle="1">
    <w:name w:val="eop"/>
    <w:basedOn w:val="DefaultParagraphFont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eading1Char" w:customStyle="1">
    <w:name w:val="Heading 1 Char"/>
    <w:basedOn w:val="DefaultParagraphFont"/>
    <w:link w:val="Heading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DefaultParagraphFont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NoSpacing">
    <w:name w:val="No Spacing"/>
    <w:uiPriority w:val="1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42DE"/>
  </w:style>
  <w:style w:type="paragraph" w:styleId="Footer">
    <w:name w:val="footer"/>
    <w:basedOn w:val="Normal"/>
    <w:link w:val="Foot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42DE"/>
  </w:style>
  <w:style w:type="paragraph" w:styleId="Quote">
    <w:name w:val="Quote"/>
    <w:next w:val="Normal"/>
    <w:link w:val="Quote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QuoteChar" w:customStyle="1">
    <w:name w:val="Quote Char"/>
    <w:basedOn w:val="DefaultParagraphFont"/>
    <w:link w:val="Quote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770E7F"/>
    <w:rPr>
      <w:color w:val="808080"/>
    </w:rPr>
  </w:style>
  <w:style w:type="paragraph" w:styleId="Ttulos" w:customStyle="1">
    <w:name w:val="Títulos"/>
    <w:basedOn w:val="Quote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Quote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ListParagraph">
    <w:name w:val="List Paragraph"/>
    <w:basedOn w:val="Normal"/>
    <w:uiPriority w:val="34"/>
    <w:rsid w:val="003624B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38630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8630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P="00730800" w:rsidRDefault="00730800">
          <w:pPr>
            <w:pStyle w:val="A3B9A70FAF5543A087E733AB63B30A08"/>
          </w:pPr>
          <w:r w:rsidRPr="002A0A13">
            <w:rPr>
              <w:rStyle w:val="PlaceholderText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P="00465A25" w:rsidRDefault="00465A25">
          <w:pPr>
            <w:pStyle w:val="3FA3A92DAD524C3DB57C04BE729E38DD2"/>
          </w:pPr>
          <w:r w:rsidRPr="009F36E1">
            <w:rPr>
              <w:rStyle w:val="PlaceholderText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P="00465A25" w:rsidRDefault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P="00465A25" w:rsidRDefault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E2AC0"/>
    <w:rsid w:val="00277029"/>
    <w:rsid w:val="002F13AB"/>
    <w:rsid w:val="0034578E"/>
    <w:rsid w:val="003B38E0"/>
    <w:rsid w:val="004214D0"/>
    <w:rsid w:val="00465A25"/>
    <w:rsid w:val="004C591E"/>
    <w:rsid w:val="00617896"/>
    <w:rsid w:val="00730800"/>
    <w:rsid w:val="00733D48"/>
    <w:rsid w:val="0077693D"/>
    <w:rsid w:val="007D5396"/>
    <w:rsid w:val="007E66CB"/>
    <w:rsid w:val="00801E64"/>
    <w:rsid w:val="008C4978"/>
    <w:rsid w:val="00962A91"/>
    <w:rsid w:val="009A37F4"/>
    <w:rsid w:val="00DF51C9"/>
    <w:rsid w:val="00E87B28"/>
    <w:rsid w:val="00FD2D53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6572DB4E-3BC0-4468-A742-F995A364D8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Passos Sesana</dc:creator>
  <keywords/>
  <dc:description/>
  <lastModifiedBy>Marcia Vilela Alves - GDACA</lastModifiedBy>
  <revision>61</revision>
  <dcterms:created xsi:type="dcterms:W3CDTF">2026-09-22T23:39:00.0000000Z</dcterms:created>
  <dcterms:modified xsi:type="dcterms:W3CDTF">2026-09-29T18:55:27.6425848Z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