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0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:rsidTr="39286FAB" w14:paraId="4680266B" w14:textId="77777777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64107" w:rsidP="00FD470E" w:rsidRDefault="00264107" w14:paraId="6DE29C9C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64107" w:rsidP="39286FAB" w:rsidRDefault="00264107" w14:paraId="299F0D40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9286FAB">
              <w:rPr>
                <w:rStyle w:val="normaltextrun"/>
                <w:rFonts w:ascii="Calibri" w:hAnsi="Calibri" w:cs="Calibri"/>
                <w:b/>
                <w:bCs/>
                <w:color w:val="595959" w:themeColor="text1" w:themeTint="A6"/>
                <w:sz w:val="20"/>
                <w:szCs w:val="20"/>
              </w:rPr>
              <w:t>Poder Judiciário da União</w:t>
            </w:r>
            <w:r w:rsidRPr="39286FA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:rsidR="00264107" w:rsidP="00FD470E" w:rsidRDefault="00264107" w14:paraId="55CC1E66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Tribunal de Justiça do Distrito Federal e dos Territórios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00FD470E" w:rsidRDefault="00264107" w14:paraId="12B71A35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00FD470E" w:rsidRDefault="00264107" w14:paraId="15750CFE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:rsidR="00DB1301" w:rsidP="00DB1301" w:rsidRDefault="00DB1301" w14:paraId="3D4EAEEA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Pr="009F36E1" w:rsidR="00770E7F" w:rsidTr="773BBDE1" w14:paraId="39579C6E" w14:textId="77777777">
        <w:trPr>
          <w:cantSplit/>
          <w:trHeight w:val="397"/>
        </w:trPr>
        <w:tc>
          <w:tcPr>
            <w:tcW w:w="3686" w:type="dxa"/>
            <w:shd w:val="clear" w:color="auto" w:fill="auto"/>
            <w:tcMar/>
            <w:vAlign w:val="center"/>
          </w:tcPr>
          <w:p w:rsidRPr="009F36E1" w:rsidR="00770E7F" w:rsidP="00B34ADF" w:rsidRDefault="79304B6F" w14:paraId="0E990AE5" w14:textId="77777777" w14:noSpellErr="1">
            <w:pPr>
              <w:rPr>
                <w:rFonts w:ascii="Arial" w:hAnsi="Arial" w:cs="Arial"/>
                <w:sz w:val="28"/>
                <w:szCs w:val="28"/>
              </w:rPr>
            </w:pPr>
            <w:commentRangeStart w:id="0"/>
            <w:commentRangeStart w:id="1548154177"/>
            <w:r w:rsidRPr="773BBDE1" w:rsidR="79304B6F">
              <w:rPr>
                <w:rFonts w:ascii="Arial" w:hAnsi="Arial" w:cs="Arial"/>
                <w:sz w:val="28"/>
                <w:szCs w:val="28"/>
              </w:rPr>
              <w:t>Ór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548154177"/>
            <w:r>
              <w:rPr>
                <w:rStyle w:val="CommentReference"/>
              </w:rPr>
              <w:commentReference w:id="1548154177"/>
            </w:r>
            <w:r w:rsidRPr="773BBDE1" w:rsidR="79304B6F">
              <w:rPr>
                <w:rFonts w:ascii="Arial" w:hAnsi="Arial" w:cs="Arial"/>
                <w:sz w:val="28"/>
                <w:szCs w:val="28"/>
              </w:rPr>
              <w:t>gão</w:t>
            </w:r>
          </w:p>
        </w:tc>
        <w:tc>
          <w:tcPr>
            <w:tcW w:w="447" w:type="dxa"/>
            <w:shd w:val="clear" w:color="auto" w:fill="auto"/>
            <w:tcMar/>
            <w:vAlign w:val="center"/>
          </w:tcPr>
          <w:p w:rsidRPr="009F36E1" w:rsidR="00770E7F" w:rsidP="00B34ADF" w:rsidRDefault="00770E7F" w14:paraId="2043BC66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shd w:val="clear" w:color="auto" w:fill="auto"/>
            <w:tcMar/>
            <w:vAlign w:val="center"/>
          </w:tcPr>
          <w:p w:rsidRPr="009F36E1" w:rsidR="00770E7F" w:rsidP="00B34ADF" w:rsidRDefault="00000000" w14:paraId="619F5A49" w14:textId="77777777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Pr="009F36E1" w:rsidR="00770E7F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Pr="009F36E1" w:rsidR="00770E7F" w:rsidTr="773BBDE1" w14:paraId="1234CB9C" w14:textId="77777777">
        <w:trPr>
          <w:cantSplit/>
          <w:trHeight w:val="397"/>
        </w:trPr>
        <w:tc>
          <w:tcPr>
            <w:tcW w:w="3686" w:type="dxa"/>
            <w:shd w:val="clear" w:color="auto" w:fill="auto"/>
            <w:tcMar/>
            <w:vAlign w:val="center"/>
          </w:tcPr>
          <w:p w:rsidRPr="009F36E1" w:rsidR="00770E7F" w:rsidP="00B34ADF" w:rsidRDefault="00770E7F" w14:paraId="7118EFBD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shd w:val="clear" w:color="auto" w:fill="auto"/>
            <w:tcMar/>
            <w:vAlign w:val="center"/>
          </w:tcPr>
          <w:p w:rsidRPr="009F36E1" w:rsidR="00770E7F" w:rsidP="00B34ADF" w:rsidRDefault="00770E7F" w14:paraId="64B2264F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shd w:val="clear" w:color="auto" w:fill="auto"/>
            <w:tcMar/>
            <w:vAlign w:val="center"/>
          </w:tcPr>
          <w:sdt>
            <w:sdt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  <w:rPr>
                <w:rFonts w:cs="Arial"/>
                <w:i w:val="0"/>
                <w:iCs w:val="0"/>
                <w:sz w:val="28"/>
                <w:szCs w:val="28"/>
              </w:rPr>
            </w:sdtPr>
            <w:sdtContent>
              <w:p w:rsidRPr="009F36E1" w:rsidR="00770E7F" w:rsidP="00B34ADF" w:rsidRDefault="00F63CDB" w14:paraId="2174A042" w14:textId="4BD4FA6E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Embargos de Declaração</w:t>
                </w:r>
              </w:p>
            </w:sdtContent>
            <w:sdtEndPr>
              <w:rPr>
                <w:rFonts w:cs="Arial"/>
                <w:i w:val="0"/>
                <w:iCs w:val="0"/>
                <w:sz w:val="28"/>
                <w:szCs w:val="28"/>
              </w:rPr>
            </w:sdtEndPr>
          </w:sdt>
        </w:tc>
      </w:tr>
      <w:tr w:rsidRPr="009F36E1" w:rsidR="00770E7F" w:rsidTr="773BBDE1" w14:paraId="32B00EA9" w14:textId="77777777">
        <w:trPr>
          <w:cantSplit/>
          <w:trHeight w:val="397"/>
        </w:trPr>
        <w:tc>
          <w:tcPr>
            <w:tcW w:w="3686" w:type="dxa"/>
            <w:shd w:val="clear" w:color="auto" w:fill="auto"/>
            <w:tcMar/>
            <w:vAlign w:val="center"/>
          </w:tcPr>
          <w:p w:rsidRPr="009F36E1" w:rsidR="00770E7F" w:rsidP="00B34ADF" w:rsidRDefault="00770E7F" w14:paraId="0E73EC0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shd w:val="clear" w:color="auto" w:fill="auto"/>
            <w:tcMar/>
            <w:vAlign w:val="center"/>
          </w:tcPr>
          <w:p w:rsidRPr="009F36E1" w:rsidR="00770E7F" w:rsidP="00B34ADF" w:rsidRDefault="00770E7F" w14:paraId="10327F8B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shd w:val="clear" w:color="auto" w:fill="auto"/>
            <w:tcMar/>
            <w:vAlign w:val="center"/>
          </w:tcPr>
          <w:p w:rsidRPr="009F36E1" w:rsidR="00770E7F" w:rsidP="00B34ADF" w:rsidRDefault="001C16FB" w14:paraId="7C53B768" w14:textId="5A7ECA41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1C16FB">
              <w:rPr>
                <w:rFonts w:ascii="Arial" w:hAnsi="Arial" w:cs="Arial"/>
                <w:sz w:val="28"/>
                <w:szCs w:val="28"/>
              </w:rPr>
              <w:t>0708494-30.2026.8.07.0000</w:t>
            </w:r>
          </w:p>
        </w:tc>
      </w:tr>
      <w:tr w:rsidRPr="009F36E1" w:rsidR="00770E7F" w:rsidTr="773BBDE1" w14:paraId="48ED7BFE" w14:textId="77777777">
        <w:trPr>
          <w:cantSplit/>
          <w:trHeight w:val="397"/>
        </w:trPr>
        <w:tc>
          <w:tcPr>
            <w:tcW w:w="3686" w:type="dxa"/>
            <w:shd w:val="clear" w:color="auto" w:fill="auto"/>
            <w:tcMar/>
            <w:vAlign w:val="center"/>
          </w:tcPr>
          <w:p w:rsidRPr="00F63CDB" w:rsidR="00770E7F" w:rsidP="00B34ADF" w:rsidRDefault="00000000" w14:paraId="272F493B" w14:textId="1AD7452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Pr="00F63CDB" w:rsidR="00F63CDB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Embargante (s)</w:t>
                </w:r>
              </w:sdtContent>
            </w:sdt>
            <w:r w:rsidRPr="00F63CDB" w:rsidR="00770E7F">
              <w:rPr>
                <w:rFonts w:ascii="Arial" w:hAnsi="Arial" w:cs="Arial"/>
                <w:sz w:val="28"/>
                <w:szCs w:val="28"/>
              </w:rPr>
              <w:t xml:space="preserve"/>
            </w:r>
          </w:p>
        </w:tc>
        <w:tc>
          <w:tcPr>
            <w:tcW w:w="447" w:type="dxa"/>
            <w:shd w:val="clear" w:color="auto" w:fill="auto"/>
            <w:tcMar/>
            <w:vAlign w:val="center"/>
          </w:tcPr>
          <w:p w:rsidRPr="009F36E1" w:rsidR="00770E7F" w:rsidP="00B34ADF" w:rsidRDefault="00770E7F" w14:paraId="5C191C1F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shd w:val="clear" w:color="auto" w:fill="auto"/>
            <w:tcMar/>
            <w:vAlign w:val="center"/>
          </w:tcPr>
          <w:p w:rsidRPr="00B66EC2" w:rsidR="00770E7F" w:rsidP="00B34ADF" w:rsidRDefault="001C16FB" w14:paraId="4A58BA3C" w14:textId="4331C501">
            <w:pPr>
              <w:rPr>
                <w:rFonts w:ascii="Arial" w:hAnsi="Arial" w:cs="Arial"/>
                <w:sz w:val="28"/>
                <w:szCs w:val="28"/>
              </w:rPr>
            </w:pPr>
            <w:r w:rsidRPr="06571051">
              <w:rPr>
                <w:rFonts w:ascii="Arial" w:hAnsi="Arial" w:cs="Arial"/>
                <w:sz w:val="28"/>
                <w:szCs w:val="28"/>
              </w:rPr>
              <w:t>WALDOW &amp; DUTRA ADVOGADOS</w:t>
            </w:r>
            <w:commentRangeStart w:id="1"/>
            <w:commentRangeStart w:id="2"/>
            <w:commentRangeStart w:id="3"/>
            <w:r w:rsidRPr="06571051">
              <w:rPr>
                <w:rFonts w:ascii="Arial" w:hAnsi="Arial" w:cs="Arial"/>
                <w:sz w:val="28"/>
                <w:szCs w:val="28"/>
              </w:rPr>
              <w:t xml:space="preserve"/>
            </w:r>
            <w:commentRangeEnd w:id="1"/>
            <w:r>
              <w:commentReference w:id="1"/>
            </w:r>
            <w:commentRangeEnd w:id="2"/>
            <w:r>
              <w:commentReference w:id="2"/>
            </w:r>
            <w:commentRangeEnd w:id="3"/>
            <w:r w:rsidR="00555B54">
              <w:rPr>
                <w:rStyle w:val="Refdecomentrio"/>
                <w:rFonts w:ascii="Verdana" w:hAnsi="Verdana" w:eastAsia="Times New Roman" w:cs="Times New Roman"/>
                <w:lang w:val="x-none" w:eastAsia="x-none"/>
              </w:rPr>
              <w:commentReference w:id="3"/>
            </w:r>
            <w:r w:rsidRPr="06571051">
              <w:rPr>
                <w:rFonts w:ascii="Arial" w:hAnsi="Arial" w:cs="Arial"/>
                <w:sz w:val="28"/>
                <w:szCs w:val="28"/>
              </w:rPr>
              <w:t/>
            </w:r>
          </w:p>
        </w:tc>
      </w:tr>
      <w:tr w:rsidRPr="009F36E1" w:rsidR="00770E7F" w:rsidTr="773BBDE1" w14:paraId="55763F2D" w14:textId="77777777">
        <w:trPr>
          <w:cantSplit/>
          <w:trHeight w:val="397"/>
        </w:trPr>
        <w:tc>
          <w:tcPr>
            <w:tcW w:w="3686" w:type="dxa"/>
            <w:shd w:val="clear" w:color="auto" w:fill="auto"/>
            <w:tcMar/>
            <w:vAlign w:val="center"/>
          </w:tcPr>
          <w:p w:rsidRPr="009F36E1" w:rsidR="00770E7F" w:rsidP="009F36E1" w:rsidRDefault="00000000" w14:paraId="59BAA433" w14:textId="5D3E517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F63CDB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Embargado (a)(s)</w:t>
                </w:r>
              </w:sdtContent>
            </w:sdt>
            <w:r w:rsidRPr="009F36E1" w:rsidR="00770E7F">
              <w:rPr>
                <w:rFonts w:ascii="Arial" w:hAnsi="Arial" w:cs="Arial"/>
                <w:sz w:val="28"/>
                <w:szCs w:val="28"/>
              </w:rPr>
              <w:t xml:space="preserve"/>
            </w:r>
            <w:r w:rsidR="009F36E1">
              <w:rPr>
                <w:rFonts w:ascii="Arial" w:hAnsi="Arial" w:cs="Arial"/>
                <w:sz w:val="28"/>
                <w:szCs w:val="28"/>
              </w:rPr>
              <w:t/>
            </w:r>
            <w:r w:rsidRPr="009F36E1" w:rsidR="00770E7F">
              <w:rPr>
                <w:rFonts w:ascii="Arial" w:hAnsi="Arial" w:cs="Arial"/>
                <w:sz w:val="28"/>
                <w:szCs w:val="28"/>
              </w:rPr>
              <w:t/>
            </w:r>
          </w:p>
        </w:tc>
        <w:tc>
          <w:tcPr>
            <w:tcW w:w="447" w:type="dxa"/>
            <w:shd w:val="clear" w:color="auto" w:fill="auto"/>
            <w:tcMar/>
            <w:vAlign w:val="center"/>
          </w:tcPr>
          <w:p w:rsidRPr="009F36E1" w:rsidR="00770E7F" w:rsidP="00B34ADF" w:rsidRDefault="00770E7F" w14:paraId="683A2C11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shd w:val="clear" w:color="auto" w:fill="auto"/>
            <w:tcMar/>
            <w:vAlign w:val="center"/>
          </w:tcPr>
          <w:p w:rsidRPr="009F36E1" w:rsidR="00770E7F" w:rsidP="00B34ADF" w:rsidRDefault="001C16FB" w14:paraId="1AB96577" w14:textId="6F3149F0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 w:rsidRPr="001C16FB">
              <w:rPr>
                <w:rFonts w:ascii="Arial" w:hAnsi="Arial" w:cs="Arial"/>
                <w:sz w:val="28"/>
                <w:szCs w:val="28"/>
              </w:rPr>
              <w:t>SOL - SAUDE OCUPACIONAL LTDA - ME, ABEL ALVINO DA SILVA, MARIA ELIETE DA SILVA</w:t>
            </w:r>
            <w:r>
              <w:rPr>
                <w:rFonts w:ascii="Arial" w:hAnsi="Arial" w:cs="Arial"/>
                <w:sz w:val="28"/>
                <w:szCs w:val="28"/>
              </w:rPr>
              <w:t xml:space="preserve"/>
            </w:r>
          </w:p>
        </w:tc>
      </w:tr>
      <w:tr w:rsidRPr="009F36E1" w:rsidR="00770E7F" w:rsidTr="773BBDE1" w14:paraId="640EA867" w14:textId="77777777">
        <w:trPr>
          <w:cantSplit/>
          <w:trHeight w:val="397"/>
        </w:trPr>
        <w:tc>
          <w:tcPr>
            <w:tcW w:w="3686" w:type="dxa"/>
            <w:shd w:val="clear" w:color="auto" w:fill="auto"/>
            <w:tcMar/>
            <w:vAlign w:val="center"/>
          </w:tcPr>
          <w:p w:rsidRPr="009F36E1" w:rsidR="00770E7F" w:rsidP="00B34ADF" w:rsidRDefault="00770E7F" w14:paraId="34627CF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shd w:val="clear" w:color="auto" w:fill="auto"/>
            <w:tcMar/>
            <w:vAlign w:val="center"/>
          </w:tcPr>
          <w:p w:rsidRPr="009F36E1" w:rsidR="00770E7F" w:rsidP="00B34ADF" w:rsidRDefault="00770E7F" w14:paraId="4161AF01" w14:textId="7777777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shd w:val="clear" w:color="auto" w:fill="auto"/>
            <w:tcMar/>
            <w:vAlign w:val="center"/>
          </w:tcPr>
          <w:p w:rsidRPr="009F36E1" w:rsidR="00770E7F" w:rsidP="00B34ADF" w:rsidRDefault="00770E7F" w14:paraId="5B83A2F0" w14:textId="777777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:rsidR="00DB1301" w:rsidP="00DB1301" w:rsidRDefault="00DB1301" w14:paraId="3D4EAEEA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  <w:r>
        <w:rPr/>
      </w:r>
    </w:p>
    <w:p w:rsidR="00DB1301" w:rsidP="00DB1301" w:rsidRDefault="00DB1301" w14:paraId="3D4EAEEA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  <w:r>
        <w:rPr/>
      </w:r>
    </w:p>
    <w:p>
      <w:pPr>
        <w:spacing w:line="360" w:lineRule="auto" w:after="0" w:before="0"/>
        <w:jc w:val="left"/>
      </w:pPr>
      <w:r>
        <w:rPr>
          <w:rFonts w:ascii="Arial" w:hAnsi="Arial" w:cs="Arial"/>
          <w:b/>
          <w:i w:val="0"/>
          <w:sz w:val="28"/>
        </w:rPr>
        <w:t>EMENTA</w:t>
      </w:r>
    </w:p>
    <w:p>
      <w:pPr>
        <w:spacing w:line="360" w:lineRule="auto" w:after="0" w:before="0"/>
        <w:jc w:val="both"/>
      </w:pPr>
      <w:commentRangeStart w:id="0"/>
      <w:r>
        <w:rPr>
          <w:rFonts w:ascii="Arial" w:hAnsi="Arial" w:cs="Arial"/>
          <w:b w:val="0"/>
          <w:i w:val="0"/>
          <w:sz w:val="28"/>
        </w:rPr>
        <w:t>EMBARGOS DE DECLARAÇÃO. DIREITO PROCESSUAL CIVIL. ALEGADA OMISSÃO E CONTRADIÇÃO. INEXISTÊNCIA. REDISCUSSÃO DO MÉRITO. PREQUESTIONAMENTO. EMBARGOS NÃO PROVIDOS.</w:t>
      </w:r>
      <w:commentRangeEnd w:id="0"/>
      <w:r>
        <w:rPr>
          <w:rStyle w:val="CommentReference"/>
        </w:rPr>
        <w:commentReference w:id="0"/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I. Caso em exame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1. Embargos de declaração opostos por Waldow &amp; Dutra Advogados, sociedade de advogados exequente de honorários, contra acórdão que negou provimento a agravo interno e manteve a decisão que indeferiu a dispensa do adiantamento do preparo recursal do agravo de instrumento, em cumprimento de sentença de honorários advocatícios movido contra Sol - Saúde Ocupacional Ltda. - ME e outros.</w:t>
      </w:r>
    </w:p>
    <w:p>
      <w:pPr>
        <w:spacing w:line="360" w:lineRule="auto" w:after="0" w:before="0"/>
        <w:jc w:val="both"/>
      </w:pPr>
      <w:commentRangeStart w:id="1"/>
      <w:r>
        <w:rPr>
          <w:rFonts w:ascii="Arial" w:hAnsi="Arial" w:cs="Arial"/>
          <w:b w:val="0"/>
          <w:i w:val="0"/>
          <w:sz w:val="28"/>
        </w:rPr>
        <w:t>2. O acórdão embargado entendeu que o CPC 82 § 3º, por sua literalidade e finalidade, beneficia o advogado pessoa natural e não alcança sociedades de advogados.</w:t>
      </w:r>
      <w:commentRangeEnd w:id="1"/>
      <w:r>
        <w:rPr>
          <w:rStyle w:val="CommentReference"/>
        </w:rPr>
        <w:commentReference w:id="1"/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3. A embargante sustenta omissão e contradição quanto à interpretação do CPC 82 § 3º e à natureza alimentar dos honorários, e requer manifestação expressa sobre dispositivos legais e constitucionais para fins de prequestionamento.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II. Questão em discussão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4. Há duas questões em discussão: (i) saber se o acórdão incorreu em omissão ou contradição quanto à interpretação do CPC 82 § 3º, ao caráter de diferimento das custas e à natureza alimentar dos honorários; e (ii) saber se é necessária manifestação expressa sobre dispositivos, para fins de prequestionamento.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III. Razões de decidir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5. Inexiste omissão quando o acórdão enfrenta, de modo suficiente e fundamentado, as questões relevantes para o julgamento.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6. O acórdão embargado enfrentou o caráter de diferimento das custas, a natureza alimentar dos honorários e a distinção entre advogado pessoa natural e sociedade de advogados.</w:t>
      </w:r>
    </w:p>
    <w:p>
      <w:pPr>
        <w:spacing w:line="360" w:lineRule="auto" w:after="0" w:before="0"/>
        <w:jc w:val="both"/>
      </w:pPr>
      <w:commentRangeStart w:id="2"/>
      <w:r>
        <w:rPr>
          <w:rFonts w:ascii="Arial" w:hAnsi="Arial" w:cs="Arial"/>
          <w:b w:val="0"/>
          <w:i w:val="0"/>
          <w:sz w:val="28"/>
        </w:rPr>
        <w:t>7. Fundamentos apresentados pela primeira vez nos embargos, como o art. 15 da Lei nº 8.906/1994, o CPC 85 § 14, a Súmula Vinculante 47 e o Tema 608/STJ, não constaram do agravo interno e não configuram omissão do acórdão.</w:t>
      </w:r>
      <w:commentRangeEnd w:id="2"/>
      <w:r>
        <w:rPr>
          <w:rStyle w:val="CommentReference"/>
        </w:rPr>
        <w:commentReference w:id="2"/>
      </w:r>
    </w:p>
    <w:p>
      <w:pPr>
        <w:spacing w:line="360" w:lineRule="auto" w:after="0" w:before="0"/>
        <w:jc w:val="both"/>
      </w:pPr>
      <w:commentRangeStart w:id="3"/>
      <w:r>
        <w:rPr>
          <w:rFonts w:ascii="Arial" w:hAnsi="Arial" w:cs="Arial"/>
          <w:b w:val="0"/>
          <w:i w:val="0"/>
          <w:sz w:val="28"/>
        </w:rPr>
        <w:t>8. O julgador não está obrigado a responder a todas as teses jurídicas suscitadas pelas partes, bastando que enfrente as matérias capazes de infirmar a conclusão adotada (CPC 489 § 1º IV).</w:t>
      </w:r>
      <w:commentRangeEnd w:id="3"/>
      <w:r>
        <w:rPr>
          <w:rStyle w:val="CommentReference"/>
        </w:rPr>
        <w:commentReference w:id="3"/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9. A contradição que autoriza os embargos de declaração é a interna, entre as premissas e a conclusão do julgado, o que não se verifica no acórdão embargado.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10. O acórdão embargado afastou a aplicação do CPC 82 § 3º a sociedades de advogados, de modo que a embargante apenas busca a rediscussão do mérito.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11. Suscitada a matéria nos embargos de declaração, consideram-se incluídos no acórdão os elementos para fins de prequestionamento, ainda que os embargos sejam rejeitados, caso o tribunal superior considere existentes erro, omissão, contradição ou obscuridade (CPC 1025).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IV. Dispositivo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12. Negou-se provimento aos embargos de declaração da agravante.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6"/>
          <w:u w:val="single"/>
        </w:rPr>
        <w:t>________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/>
          <w:sz w:val="26"/>
        </w:rPr>
        <w:t>Dispositivos relevantes citados:</w:t>
      </w:r>
      <w:r>
        <w:rPr>
          <w:rFonts w:ascii="Arial" w:hAnsi="Arial" w:cs="Arial"/>
          <w:b w:val="0"/>
          <w:i w:val="0"/>
          <w:sz w:val="26"/>
        </w:rPr>
        <w:t xml:space="preserve"> CPC, arts. 82, § 3º, 85, § 14, 489, § 1º, IV, 1.022 e 1.025; Lei nº 8.906/1994, art. 15.</w:t>
      </w:r>
    </w:p>
    <w:p>
      <w:pPr>
        <w:spacing w:line="360" w:lineRule="auto" w:after="0" w:before="0"/>
        <w:jc w:val="both"/>
      </w:pPr>
      <w:commentRangeStart w:id="4"/>
      <w:r>
        <w:rPr>
          <w:rFonts w:ascii="Arial" w:hAnsi="Arial" w:cs="Arial"/>
          <w:b w:val="0"/>
          <w:i/>
          <w:sz w:val="26"/>
        </w:rPr>
        <w:t>Jurisprudência relevante citada:</w:t>
      </w:r>
      <w:commentRangeEnd w:id="4"/>
      <w:r>
        <w:rPr>
          <w:rStyle w:val="CommentReference"/>
        </w:rPr>
        <w:commentReference w:id="4"/>
      </w:r>
      <w:r>
        <w:rPr>
          <w:rFonts w:ascii="Arial" w:hAnsi="Arial" w:cs="Arial"/>
          <w:b w:val="0"/>
          <w:i w:val="0"/>
          <w:sz w:val="26"/>
        </w:rPr>
        <w:t xml:space="preserve"> STF, Súmula Vinculante nº 47; STJ, Tema 608; TJDFT, Processo nº 0719044-92.2024.8.07.0020, Rel. Des. Jansen Fialho de Almeida, 4ª Turma Cível, j. 11/03/2026.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  <w:highlight w:val="yellow"/>
        </w:rPr>
        <w:t>RESUMO DOS EMBARGOS EM SENTIDO CONTRÁRIO AO VOTO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I. RAZÕES RECURSAIS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Omissão e contradição quanto à interpretação do CPC 82 § 3º e do art. 15 da Lei nº 8.906/1994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1. A embargante sustenta que o acórdão não enfrentou a tese de que o CPC 82 § 3º é regra de diferimento do recolhimento das custas, e não gratuidade de justiça, isenção ou benefício pessoal, nem os motivos pelos quais afastou a tese de que inexiste distinção entre honorários cobrados por advogado e por sociedade de advogados, que a interpretação sistemática com o art. 15 da Lei nº 8.906/1994 impõe alcançar. Alega, ainda, contradição interna, pois o acórdão reconhece que a inovação legislativa facilita a cobrança de honorários e preserva o acesso à Justiça, mas exclui da proteção as sociedades por meio das quais a advocacia é exercida (ID 87406977).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Omissão quanto ao CPC 85 § 14, à natureza alimentar dos honorários e à titularidade do crédito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2. Afirma que o acórdão não enfrentou o fundamento autônomo da natureza alimentar dos honorários (CPC 85 § 14 e Súmula Vinculante 47), que não se altera pela personalidade jurídica da sociedade, nem a orientação do Tema 608/STJ sobre a autonomia do crédito honorário, e que a interpretação adotada cria distinção fundada só na forma de organização da advocacia (ID 87406977).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Prequestionamento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3. Requer manifestação expressa sobre os dispositivos legais e constitucionais e sobre as quatro teses jurídicas indicadas nos embargos, para fins de prequestionamento (ID 87406977).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II. PEDIDO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Requer o provimento dos embargos de declaração, com efeitos infringentes, para sanar as omissões e a contradição apontadas, reformar o acórdão e reconhecer o direito da sociedade de advogados ao diferimento do pagamento das custas (CPC 82 § 3º); subsidiariamente, a manifestação expressa para fins de prequestionamento; e o recebimento do parecer da OAB/DF (ID 87406977 e 87406978).</w:t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>RELATÓRIO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A agravante, Waldow &amp; Dutra Advogados, opõe embargos de declaração contra o v. acórdão que negou provimento ao agravo interno e ostenta a seguinte ementa: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“AGRAVO DE INSTRUMENTO. DIREITO PROCESSUAL CIVIL. AGRAVO INTERNO. PREPARO RECURSAL. SOCIEDADE DE ADVOGADOS. ART. 82, § 3º, DO CPC (LEI Nº 15.109/2025). INAPLICABILIDADE. NEGOU-SE PROVIMENTO.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I. Caso em exame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1. Ação de execução/cumprimento de sentença de honorários advocatícios proposta por Waldow &amp; Dutra Advogados contra Maria Eliete da Silva, na qual se discute a dispensa do adiantamento das custas processuais em sede recursal.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2. A decisão agravada indeferiu o pedido de dispensa do preparo recursal, formulado com fundamento no art. 82, § 3º, do CPC, e determinou o recolhimento do preparo na forma simples, sob pena de deserção.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3. O exequente agravou, por meio de agravo interno, requerendo o reconhecimento da aplicabilidade do art. 82, § 3º, do CPC às sociedades de advogados e o afastamento da exigência de recolhimento prévio das custas.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II. Questão em discussão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4. A questão em discussão consiste em saber se sociedade de advogados pode se beneficiar da dispensa do adiantamento das custas processuais prevista no art. 82, § 3º, do CPC, incluído pela Lei nº 15.109/2025, em execução ou cumprimento de sentença de honorários advocatícios.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III. Razões de decidir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5. O art. 82, § 3º, do CPC, por literalidade e finalidade, beneficia exclusivamente o advogado pessoa natural, titular de honorários de natureza alimentar, não alcançando sociedades de advogados, inexistindo previsão legal de extensão subjetiva do benefício.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6. A distinção jurídica entre advogado pessoa física e sociedade de advogados impede interpretação ampliativa da norma, sob pena de criação indevida de benefício processual não previsto em lei.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7. Precedente recente desta Corte reconhece que a regra promove apenas o diferimento do pagamento das custas, sem configurar gratuidade de justiça, e não se aplica às sociedades de advogados, que permanecem obrigadas ao recolhimento inicial do preparo.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IV. Dispositivo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8. Negou-se provimento ao agravo interno interposto por Waldow &amp; Dutra Advogados. (...).” (ID 87002568)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A embargante alega a existência de omissão e de contradição no acórdão.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Contrarrazões em que a embargada, Maria Eliete da Silva, por meio da curadoria especial, alega que: </w:t>
      </w:r>
      <w:r>
        <w:rPr>
          <w:rFonts w:ascii="Arial" w:hAnsi="Arial" w:cs="Arial"/>
          <w:b/>
          <w:i w:val="0"/>
          <w:sz w:val="28"/>
        </w:rPr>
        <w:t>1)</w:t>
      </w:r>
      <w:r>
        <w:rPr>
          <w:rFonts w:ascii="Arial" w:hAnsi="Arial" w:cs="Arial"/>
          <w:b w:val="0"/>
          <w:i w:val="0"/>
          <w:sz w:val="28"/>
        </w:rPr>
        <w:t xml:space="preserve"> os embargos não se enquadram nas hipóteses do CPC 1.022, pois a embargante pretende revisar o julgado por via imprópria; </w:t>
      </w:r>
      <w:r>
        <w:rPr>
          <w:rFonts w:ascii="Arial" w:hAnsi="Arial" w:cs="Arial"/>
          <w:b/>
          <w:i w:val="0"/>
          <w:sz w:val="28"/>
        </w:rPr>
        <w:t>2)</w:t>
      </w:r>
      <w:r>
        <w:rPr>
          <w:rFonts w:ascii="Arial" w:hAnsi="Arial" w:cs="Arial"/>
          <w:b w:val="0"/>
          <w:i w:val="0"/>
          <w:sz w:val="28"/>
        </w:rPr>
        <w:t xml:space="preserve"> o órgão julgador não é obrigado a se pronunciar sobre todos os pontos suscitados pelas partes, mas apenas sobre os suficientes para fundamentar a decisão; </w:t>
      </w:r>
      <w:r>
        <w:rPr>
          <w:rFonts w:ascii="Arial" w:hAnsi="Arial" w:cs="Arial"/>
          <w:b/>
          <w:i w:val="0"/>
          <w:sz w:val="28"/>
        </w:rPr>
        <w:t>3)</w:t>
      </w:r>
      <w:r>
        <w:rPr>
          <w:rFonts w:ascii="Arial" w:hAnsi="Arial" w:cs="Arial"/>
          <w:b w:val="0"/>
          <w:i w:val="0"/>
          <w:sz w:val="28"/>
        </w:rPr>
        <w:t xml:space="preserve"> os embargos devem ser rejeitados, para que prevaleça o acórdão por seus próprios fundamentos </w:t>
      </w:r>
      <w:r>
        <w:rPr>
          <w:rFonts w:ascii="Arial" w:hAnsi="Arial" w:cs="Arial"/>
          <w:b w:val="0"/>
          <w:i w:val="0"/>
          <w:sz w:val="28"/>
        </w:rPr>
        <w:t>(ID 87789407).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É o relatório.</w:t>
      </w:r>
    </w:p>
    <w:p>
      <w:pPr>
        <w:spacing w:line="360" w:lineRule="auto" w:after="0"/>
        <w:ind w:firstLine="2268"/>
      </w:pP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>VOTO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O Senhor Desembargador SÉRGIO ROCHA – Relator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>EMBARGOS DE DECLARAÇÃO OPOSTOS PELA AGRAVANTE, WALDOW &amp; DUTRA ADVOGADOS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commentRangeStart w:id="5"/>
      <w:r>
        <w:rPr>
          <w:rFonts w:ascii="Arial" w:hAnsi="Arial" w:cs="Arial"/>
          <w:b w:val="0"/>
          <w:i w:val="0"/>
          <w:sz w:val="28"/>
        </w:rPr>
        <w:t>Presentes os pressupostos de admissibilidade, conheço dos embargos de declaração.</w:t>
      </w:r>
      <w:commentRangeEnd w:id="5"/>
      <w:r>
        <w:rPr>
          <w:rStyle w:val="CommentReference"/>
        </w:rPr>
        <w:commentReference w:id="5"/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center"/>
      </w:pPr>
      <w:r>
        <w:rPr>
          <w:rFonts w:ascii="Arial" w:hAnsi="Arial" w:cs="Arial"/>
          <w:b w:val="0"/>
          <w:i w:val="0"/>
          <w:sz w:val="28"/>
          <w:highlight w:val="yellow"/>
        </w:rPr>
        <w:t>DA INEXISTÊNCIA DE OMISSÃO E DE CONTRADIÇÃO QUANTO À EXTENSÃO DA DISPENSA DE CUSTAS ÀS SOCIEDADES DE ADVOGADOS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 embargante alega que: </w:t>
      </w:r>
      <w:r>
        <w:rPr>
          <w:rFonts w:ascii="Arial" w:hAnsi="Arial" w:cs="Arial"/>
          <w:b/>
          <w:i w:val="0"/>
          <w:sz w:val="28"/>
        </w:rPr>
        <w:t>1)</w:t>
      </w:r>
      <w:r>
        <w:rPr>
          <w:rFonts w:ascii="Arial" w:hAnsi="Arial" w:cs="Arial"/>
          <w:b w:val="0"/>
          <w:i w:val="0"/>
          <w:sz w:val="28"/>
        </w:rPr>
        <w:t xml:space="preserve"> o acórdão não enfrentou a tese de que o CPC 82 § 3º não institui gratuidade de justiça nem isenção, mas regra de diferimento do recolhimento das custas, de modo que a distinção entre advogado pessoa natural e sociedade de advogados não pode se fundar em capacidade contributiva; </w:t>
      </w:r>
      <w:r>
        <w:rPr>
          <w:rFonts w:ascii="Arial" w:hAnsi="Arial" w:cs="Arial"/>
          <w:b/>
          <w:i w:val="0"/>
          <w:sz w:val="28"/>
        </w:rPr>
        <w:t>2)</w:t>
      </w:r>
      <w:r>
        <w:rPr>
          <w:rFonts w:ascii="Arial" w:hAnsi="Arial" w:cs="Arial"/>
          <w:b w:val="0"/>
          <w:i w:val="0"/>
          <w:sz w:val="28"/>
        </w:rPr>
        <w:t xml:space="preserve"> o acórdão não apresentou os motivos pelos quais afastou a tese de que inexiste distinção entre honorários cobrados por advogado e por sociedade de advogados, nem considerou o art. 15 da Lei nº 8.906/1994, que autoriza o exercício da advocacia por meio de sociedade; </w:t>
      </w:r>
      <w:r>
        <w:rPr>
          <w:rFonts w:ascii="Arial" w:hAnsi="Arial" w:cs="Arial"/>
          <w:b/>
          <w:i w:val="0"/>
          <w:sz w:val="28"/>
        </w:rPr>
        <w:t>3)</w:t>
      </w:r>
      <w:r>
        <w:rPr>
          <w:rFonts w:ascii="Arial" w:hAnsi="Arial" w:cs="Arial"/>
          <w:b w:val="0"/>
          <w:i w:val="0"/>
          <w:sz w:val="28"/>
        </w:rPr>
        <w:t xml:space="preserve"> há contradição interna, pois o acórdão reconhece que a inovação legislativa facilita a cobrança de honorários e preserva o acesso à Justiça, mas exclui da proteção as sociedades por meio das quais a advocacia é exercida </w:t>
      </w:r>
      <w:r>
        <w:rPr>
          <w:rFonts w:ascii="Arial" w:hAnsi="Arial" w:cs="Arial"/>
          <w:b w:val="0"/>
          <w:i w:val="0"/>
          <w:sz w:val="28"/>
        </w:rPr>
        <w:t>(ID 87406977).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Requer o provimento dos embargos de declaração para que sejam sanadas a omissão e a contradição apontadas.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</w:rPr>
        <w:t>Sem razão a embargante.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A alegação de omissão não merece prosperar, pois a matéria foi devidamente analisada no r. acórdão, que assim se manifestou: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“(...) 5. O art. 82, § 3º, do CPC, por literalidade e finalidade, beneficia exclusivamente o advogado pessoa natural, titular de honorários de natureza alimentar, não alcançando sociedades de advogados, inexistindo previsão legal de extensão subjetiva do benefício. 6. A distinção jurídica entre advogado pessoa física e sociedade de advogados impede interpretação ampliativa da norma, sob pena de criação indevida de benefício processual não previsto em lei. 7. Precedente recente desta Corte reconhece que a regra promove apenas o diferimento do pagamento das custas, sem configurar gratuidade de justiça, e não se aplica às sociedades de advogados, que permanecem obrigadas ao recolhimento inicial do preparo. (...)” (ID 87002568)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</w:rPr>
        <w:t>No caso, o acórdão afirmou que a regra apenas posterga o pagamento das custas, sem configurar gratuidade de justiça, e que a literalidade e a finalidade do CPC 82 § 3º beneficiam o advogado pessoa natural, distinção que impede a interpretação ampliativa (ID 87002568).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O agravo interno não invocou o art. 15 da Lei nº 8.906/1994, fundamento apresentado somente nos embargos (ID 82787109).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commentRangeStart w:id="6"/>
      <w:r>
        <w:rPr>
          <w:rFonts w:ascii="Arial" w:hAnsi="Arial" w:cs="Arial"/>
          <w:b w:val="0"/>
          <w:i w:val="0"/>
          <w:sz w:val="28"/>
        </w:rPr>
        <w:t>No mais, o parecer da Comissão de Honorários da OAB/DF, juntado com os embargos, defende a interpretação extensiva do CPC 82 § 3º, mas não indica vício no acórdão embargado (ID 87406978).</w:t>
      </w:r>
      <w:commentRangeEnd w:id="6"/>
      <w:r>
        <w:rPr>
          <w:rStyle w:val="CommentReference"/>
        </w:rPr>
        <w:commentReference w:id="6"/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Dessa forma, conforme mencionado no v. acórdão embargado, a matéria relativa à interpretação do CPC 82 § 3º foi suficientemente abordada, não havendo omissão a ser sanada, mas apenas mero inconformismo meritório da embargante com a conclusão adotada pelo Colegiado.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commentRangeStart w:id="7"/>
      <w:r>
        <w:rPr>
          <w:rFonts w:ascii="Arial" w:hAnsi="Arial" w:cs="Arial"/>
          <w:b w:val="0"/>
          <w:i w:val="0"/>
          <w:sz w:val="28"/>
        </w:rPr>
        <w:t>Registro que a contradição passível de ser alegada em embargos de declaração é a interna, ou seja, entre as premissas utilizadas e a conclusão do julgamento, o que não se verifica na hipótese, uma vez que a fundamentação e o dispositivo ostentam coerência lógica entre si.</w:t>
      </w:r>
      <w:commentRangeEnd w:id="7"/>
      <w:r>
        <w:rPr>
          <w:rStyle w:val="CommentReference"/>
        </w:rPr>
        <w:commentReference w:id="7"/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O v. acórdão embargado, portanto, cumpriu sua finalidade, na medida em que analisou as teses jurídicas sustentadas e decidiu-as fundamentadamente, emitindo juízo de valor sobre as questões relevantes para o julgamento da matéria devolvida.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Na verdade, ao alegar omissão e contradição, a embargante pretende o reexame do agravo interno, o que é vedado em sede de embargos de declaração.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  <w:u w:val="single"/>
        </w:rPr>
        <w:t>Nego provimento aos embargos de declaração, nesse ponto.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center"/>
      </w:pPr>
      <w:r>
        <w:rPr>
          <w:rFonts w:ascii="Arial" w:hAnsi="Arial" w:cs="Arial"/>
          <w:b w:val="0"/>
          <w:i w:val="0"/>
          <w:sz w:val="28"/>
          <w:highlight w:val="yellow"/>
        </w:rPr>
        <w:t>DA INEXISTÊNCIA DE OMISSÃO QUANTO À NATUREZA ALIMENTAR DOS HONORÁRIOS E À TITULARIDADE DO CRÉDITO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 embargante alega que: </w:t>
      </w:r>
      <w:r>
        <w:rPr>
          <w:rFonts w:ascii="Arial" w:hAnsi="Arial" w:cs="Arial"/>
          <w:b/>
          <w:i w:val="0"/>
          <w:sz w:val="28"/>
        </w:rPr>
        <w:t>1)</w:t>
      </w:r>
      <w:r>
        <w:rPr>
          <w:rFonts w:ascii="Arial" w:hAnsi="Arial" w:cs="Arial"/>
          <w:b w:val="0"/>
          <w:i w:val="0"/>
          <w:sz w:val="28"/>
        </w:rPr>
        <w:t xml:space="preserve"> o acórdão deixou de enfrentar o fundamento autônomo da natureza alimentar dos honorários (CPC 85 § 14 e Súmula Vinculante 47), que não se altera pelo fato de a cobrança ser promovida por sociedade de advogados; </w:t>
      </w:r>
      <w:r>
        <w:rPr>
          <w:rFonts w:ascii="Arial" w:hAnsi="Arial" w:cs="Arial"/>
          <w:b/>
          <w:i w:val="0"/>
          <w:sz w:val="28"/>
        </w:rPr>
        <w:t>2)</w:t>
      </w:r>
      <w:r>
        <w:rPr>
          <w:rFonts w:ascii="Arial" w:hAnsi="Arial" w:cs="Arial"/>
          <w:b w:val="0"/>
          <w:i w:val="0"/>
          <w:sz w:val="28"/>
        </w:rPr>
        <w:t xml:space="preserve"> o acórdão se limitou a afirmar que a sociedade de advogados possui personalidade jurídica distinta, sem enfrentar que essa personalidade não descaracteriza a natureza do crédito nem a finalidade do CPC 82 § 3º; </w:t>
      </w:r>
      <w:r>
        <w:rPr>
          <w:rFonts w:ascii="Arial" w:hAnsi="Arial" w:cs="Arial"/>
          <w:b/>
          <w:i w:val="0"/>
          <w:sz w:val="28"/>
        </w:rPr>
        <w:t>3)</w:t>
      </w:r>
      <w:r>
        <w:rPr>
          <w:rFonts w:ascii="Arial" w:hAnsi="Arial" w:cs="Arial"/>
          <w:b w:val="0"/>
          <w:i w:val="0"/>
          <w:sz w:val="28"/>
        </w:rPr>
        <w:t xml:space="preserve"> não houve manifestação sobre o Tema 608/STJ, segundo o qual os honorários são direito autônomo da advocacia e podem ser executados autonomamente </w:t>
      </w:r>
      <w:r>
        <w:rPr>
          <w:rFonts w:ascii="Arial" w:hAnsi="Arial" w:cs="Arial"/>
          <w:b w:val="0"/>
          <w:i w:val="0"/>
          <w:sz w:val="28"/>
        </w:rPr>
        <w:t>(ID 87406977).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Requer o provimento dos embargos de declaração para que seja sanada a omissão apontada.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</w:rPr>
        <w:t>Sem razão a embargante.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A alegação de omissão não merece prosperar, pois a matéria foi devidamente analisada no r. acórdão, que assim se manifestou: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“(...) Em especial, a invocação de interpretação teleológica e da natureza alimentar dos honorários não afasta a distinção jurídica relevante entre o advogado pessoa natural e a sociedade de advogados, tampouco autoriza a ampliação do alcance subjetivo da norma analisada (CPC 82 §3º). (...)” (ID 87002568)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</w:rPr>
        <w:t>No caso, o acórdão considerou a natureza alimentar dos honorários e entendeu que ela não autoriza estender o benefício às sociedades de advogados (ID 87002568).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O agravo interno sustentou a natureza alimentar dos honorários em termos gerais, sem invocar o CPC 85 § 14, a Súmula Vinculante 47 nem o Tema 608/STJ (ID 82787109).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No mais, o julgador não está obrigado a responder a todas as teses jurídicas suscitadas pelas partes, bastando que enfrente as matérias capazes de infirmar a conclusão adotada.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Nesse sentido: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“(...) 5. O julgador não está obrigado a responder a todas as questões ou teses jurídicas suscitadas pelas partes, bastando que, da análise dos autos, encontre fundamentos suficientes para formar sua convicção, sendo-lhe exigido enfrentar apenas as matérias capazes de infirmar a conclusão adotada, conforme dispõe o art. 489, § 1º, IV, do CPC. (...)” (Processo 0719044-92.2024.8.07.0020, Relator(a): JANSEN FIALHO DE ALMEIDA, 4ª TURMA CÍVEL, data de julgamento: 11/03/2026.) – Grifei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Dessa forma, conforme mencionado no v. acórdão embargado, a matéria relativa à natureza alimentar dos honorários e à titularidade do crédito foi suficientemente abordada, não havendo omissão a ser sanada, mas apenas mero inconformismo meritório da embargante com a conclusão adotada pelo Colegiado.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O v. acórdão embargado, portanto, cumpriu sua finalidade, na medida em que analisou as teses jurídicas sustentadas e decidiu-as fundamentadamente, emitindo juízo de valor sobre as questões relevantes para o julgamento da matéria devolvida.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Na verdade, ao alegar omissão, a embargante pretende o reexame do agravo interno, o que é vedado em sede de embargos de declaração.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  <w:u w:val="single"/>
        </w:rPr>
        <w:t>Nego provimento aos embargos de declaração, nesse ponto.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center"/>
      </w:pPr>
      <w:r>
        <w:rPr>
          <w:rFonts w:ascii="Arial" w:hAnsi="Arial" w:cs="Arial"/>
          <w:b w:val="0"/>
          <w:i w:val="0"/>
          <w:sz w:val="28"/>
          <w:highlight w:val="yellow"/>
        </w:rPr>
        <w:t>DO PREQUESTIONAMENTO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A embargante pede manifestação expressa quanto aos dispositivos legais e constitucionais e às teses jurídicas indicados nos embargos, para fins de prequestionamento (ID 87406977).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</w:rPr>
        <w:t>Sem razão a embargante.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Caso o acórdão tenha sido omisso, eivado de erro, contradição ou obscuridade, a arguição da matéria em embargos de declaração é suficiente para caracterizar o prequestionamento ficto.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Sobre o tema, dispõe o art. 1.025 do CPC: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>“Art. 1.025. Consideram-se incluídos no acórdão os elementos que o embargante suscitou, para fins de pré-questionamento, ainda que os embargos de declaração sejam inadmitidos ou rejeitados, caso o tribunal superior considere existentes erro, omissão, contradição ou obscuridade.”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>DISPOSITIVO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Ante o exposto, </w:t>
      </w:r>
      <w:r>
        <w:rPr>
          <w:rFonts w:ascii="Arial" w:hAnsi="Arial" w:cs="Arial"/>
          <w:b/>
          <w:i w:val="0"/>
          <w:sz w:val="28"/>
        </w:rPr>
        <w:t>nego provimento</w:t>
      </w:r>
      <w:r>
        <w:rPr>
          <w:rFonts w:ascii="Arial" w:hAnsi="Arial" w:cs="Arial"/>
          <w:b w:val="0"/>
          <w:i w:val="0"/>
          <w:sz w:val="28"/>
        </w:rPr>
        <w:t xml:space="preserve"> aos embargos de declaração opostos pela agravante, Waldow &amp; Dutra Advogados.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É como voto.</w:t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color w:val="00B050"/>
          <w:sz w:val="27"/>
        </w:rPr>
        <w:t>DECISÃO RECORRIDA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Órgão 4ª Turma Cível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Processo N. AGRAVO DE INSTRUMENTO 0708494-30.2026.8.07.0000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AGRAVANTE(S) WALDOW &amp; DUTRA ADVOGADOS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SOL - SAUDE OCUPACIONAL LTDA - ME,ABEL ALVINO DA SILVA e AGRAVADO(S) MARIA ELIETE DA SILVA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Relator Desembargador SÉRGIO ROCHA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Acórdão Nº 2149420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EMENTA AGRAVO DE INSTRUMENTO. DIREITO PROCESSUAL CIVIL. AGRAVO INTERNO. PREPARO RECURSAL. SOCIEDADE DE ADVOGADOS. ART. 82, § 3º, DO CPC (LEI Nº 15.109/2025). INAPLICABILIDADE. NEGOU-SE PROVIMENTO.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I. Caso em exame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1. Ação de execução/cumprimento de sentença de honorários advocatícios proposta por Waldow &amp; Dutra Advogados contra Maria Eliete da Silva, na qual se discute a dispensa do adiantamento das custas processuais em sede recursal.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2. A decisão agravada indeferiu o pedido de dispensa do preparo recursal, formulado com fundamento no art. 82, § 3º, do CPC, e determinou o recolhimento do preparo na forma simples, sob pena de deserção.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3. O exequente agravou, por meio de agravo interno, requerendo o reconhecimento da aplicabilidade do art. 82, § 3º, do CPC às sociedades de advogados e o afastamento da exigência de recolhimento prévio das custas.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II. Questão em discussão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4. A questão em discussão consiste em saber se sociedade de advogados pode se beneficiar da dispensa do adiantamento das custas processuais prevista no art. 82, §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3º, do CPC, incluído pela Lei nº 15.109/2025, em execução ou cumprimento de sentença de honorários advocatícios.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III. Razões de decidir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5. O art. 82, § 3º, do CPC, por literalidade e finalidade, beneficia exclusivamente o advogado pessoa natural, titular de honorários de natureza alimentar, não alcançando sociedades de advogados, inexistindo previsão legal de extensão subjetiva do benefício.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6. A distinção jurídica entre advogado pessoa física e sociedade de advogados impede interpretação ampliativa da norma, sob pena de criação indevida de benefício processual não previsto em lei.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7. Precedente recente desta Corte reconhece que a regra promove apenas o diferimento do pagamento das custas, sem configurar gratuidade de justiça, e não se aplica às sociedades de advogados, que permanecem obrigadas ao recolhimento inicial do preparo.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IV. Dispositivo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8. Negou-se provimento ao agravo interno interposto por Waldow &amp; Dutra Advogados.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_____________________________________________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Dispositivos relevantes citados: CPC, art. 82, § 3º; CPC, art. 101, § 2º; Lei nº 15.109/2025.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Jurisprudência relevante citada: TJDFT, Agravo de Instrumento nº 0746676- 22.2025.8.07.0000, Rel. Des. Arquibaldo Carneiro Portela, 6ª Turma Cível, j. 11/02/2026, DJe 05/03/2026.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ACÓRDÃO Acordam os Senhores Desembargadores do(a) 4ª Turma Cível do Tribunal de Justiça do Distrito Federal e dos Territórios, SÉRGIO ROCHA - Relator, MARIO-ZAM BELMIRO - 1º Vogal e ROBERVAL CASEMIRO BELINATI - 2º Vogal, sob a Presidência do Senhor Desembargador JAMES EDUARDO OLIVEIRA, em proferir a seguinte decisão: NEGAR PROVIMENTO AO RECURSO. UNÂNIME, de acordo com a ata do julgamento e notas taquigráficas.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Brasília (DF), 17 de Julho de 2026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Desembargador SÉRGIO ROCHA Relator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RELATÓRIO Trata-se de agravo interno interposto por Waldow &amp; Dutra Advogados contra decisão monocrática que, ao apreciar embargos de declaração opostos no agravo de instrumento, sanou omissão, mas indeferiu o pedido de dispensa do adiantamento do preparo recursal, nos seguintes termos: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“(...)Trata-se de embargos de declaração opostos pelo exequente/agravante, Waldow &amp; Dutra Advogados, contra despacho em que determinei a sua intimação para recolhimento em dobro do preparo do agravo de instrumento, sob pena de deserção (ID 81870800).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O embargante alega, em síntese, que há omissão no pronunciamento impugnado, uma vez que expressamente requereu a dispensa do preparo, com fundamento no art. 82, § 3º, do CPC.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Requer o saneamento da omissão e a atribuição de efeitos infringentes aos embargos, para que seja reconhecido o direito à dispensa do adiantamento das custas processuais (ID 82186253).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É o breve relato. Decido.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Com razão o embargante quanto à alegação de omissão, pois houve pedido expresso de dispensa do adiantamento do preparo nas razões do agravo de instrumento (ID 81742579, p. 5-6), ainda não apreciado.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Suprindo-a, entendo que o art. 82, § 3º, do CPC, por sua literalidade e teleologia, aplica-se apenas aos advogados pessoas naturais que buscam a satisfação de honorários sucumbenciais, não à sociedade de advogados, como é o caso.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Confira-se a redação do referido dispositivo: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‘Art. 82 (...) § 3º Nas ações de cobrança por qualquer procedimento, comum ou especial, bem como nas execuções ou cumprimentos de sentença de honorários advocatícios, o advogado ficará dispensado de adiantar o pagamento de custas processuais, e caberá ao réu ou executado suprir, ao final do processo, o seu pagamento, se tiver dado causa ao processo. (Incluído pela Lei nº 15.109, de 2025)’ – Grifei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Nesse sentido: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‘(...) II. QUESTÃO EM DISCUSSÃO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3. A questão em discussão consiste em saber se a sociedade de advogados pode se beneficiar da dispensa do adiantamento das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custas processuais prevista no art. 82, § 3º, do CPC, incluído pela Lei nº 15.109/2025.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III. RAZÕES DE DECIDIR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4. O art. 82, § 3º, do CPC promove a postergação do pagamento das custas ao final do processo. A norma tem natureza processual e não cria isenção tributária. Ajusta apenas o momento da cobrança para garantir o acesso do advogado à Justiça.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5. A regra beneficia advogado, pessoa natural, titular de honorários de natureza alimentar. Não há previsão de extensão automática às sociedades de advogados, que possuem estrutura jurídica e capacidade contributiva distintas.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6. A interpretação restritiva preserva a finalidade da norma e evita ampliação indevida do benefício, que não se confunde com gratuidade de justiça.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7. Mantém-se a decisão recorrida, pois a sociedade de advogados permanece sujeita ao recolhimento das custas iniciais. (...)’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(Acórdão 2090994, 0746676-22.2025.8.07.0000, Relator(a): ARQUIBALDO CARNEIRO PORTELA, 6ª TURMA CÍVEL, data de julgamento: 11/02/2026, publicado no DJe: 05/03/2026.) – Grifei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Deve, então, o agravante recolher o preparo, na sua forma simples – já que ainda não era exigível, em razão da pendência da análise do requerimento de dispensa –, sob pena de deserção, de maneira análoga à hipótese de indeferimento da gratuidade da justiça em sede recursal (CPC 101 § 2º).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Ante o exposto, dou provimento aos embargos de declaração do agravante, Waldow &amp; Dutra Advogados, para sanar a omissão e indeferir o pedido de dispensa de adiantamento do preparo recursal.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Intime-se a parte agravante para recolher o preparo na forma simples, sob pena de deserção. Prazo: 5 dias. (...)” (ID 82301907)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O agravante alega, em síntese, que: 1) a decisão monocrática que indeferiu a aplicação da Lei nº 15.109/2025 ao caso concreto, sob o fundamento de que o benefício do diferimento das custas processuais alcançaria apenas advogados pessoas físicas, incorreu em interpretação restritiva e inadequada do art. 82, § 3º, do CPC, introduzido pela referida lei; 2) a finalidade da norma é proteger a advocacia na cobrança de honorários advocatícios, verbas de natureza alimentar, evitando que o profissional — ou o escritório de advocacia — suporte ônus financeiro indevido para acessar o Judiciário; 3) a expressão legal ‘o advogado’ deve ser interpretada de forma sistemática e teleológica, de modo a abranger também as sociedades de advogados, sob pena de esvaziamento prático da norma, haja vista que grande parte da atuação profissional se dá de forma coletiva; 4) os honorários advocatícios não perdem seu caráter alimentar pelo simples fato de serem titularizados por sociedade de advogados, subsistindo a necessidade de proteção legislativa da justa remuneração pelo trabalho jurídico, à luz do princípio da valorização do trabalho humano; 5) a dispensa do adiantamento das custas processuais prestigia, ainda, o princípio do acesso à justiça, ao afastar obstáculo econômico que, na prática, inviabilizava a execução de honorários, especialmente de menor monta; 6) há precedente recente deste Tribunal, posterior ao julgado citado na decisão agravada, que reconhece a constitucionalidade e a aplicação imediata da Lei nº 15.109/2025 às execuções e aos cumprimentos de sentença de honorários advocatícios promovidos por sociedades de advogados, afastando a obrigatoriedade de recolhimento inicial das custas processuais.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Requer o provimento do agravo interno para reformar a decisão monocrática, reconhecer a aplicabilidade do art. 82, § 3º, do CPC, incluído pela Lei nº 15.109/2025, às sociedades de advogados, afastar a exigência de recolhimento prévio das custas processuais e determinar o regular prosseguimento do feito (ID 82787109).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Em contrarrazões, a agravada Maria Eliete da Silva sustenta que: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1) o agravo interno visa reformar decisão que indeferiu a dispensa do adiantamento do preparo recursal, corretamente afastada a aplicação do art. 82, § 3º, do CPC às sociedades de advogados; 2) a Lei nº 15.109/2025 beneficia exclusivamente o advogado pessoa natural, titular de honorários de natureza alimentar, não havendo previsão legal de extensão automática às sociedades; 3) a interpretação restritiva preserva a finalidade da norma e evita ampliação indevida de benefício que não se confunde com gratuidade de justiça, sendo correta a manutenção da decisão agravada. (ID 83259308)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É o relatório.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VOTOS O Senhor Desembargador SÉRGIO ROCHA - Relator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DO AGRAVO INTERNO DO EXEQUENTE, WALDOW &amp; DUTRA ADVOGADOS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Presentes os pressupostos de admissibilidade, conheço do agravo interno.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DA MANUTENÇÃO DA EXIGÊNCIA DE RECOLHIMENTO PRÉVIO DE CUSTAS PELA SOCIEDADE DE ADVOGADOS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O agravante alega, em síntese, que: 1) a decisão monocrática que indeferiu a aplicação da Lei nº 15.109/2025 ao caso concreto, sob o fundamento de que o benefício do diferimento das custas processuais alcançaria apenas advogados pessoas físicas, incorreu em interpretação restritiva e inadequada do art. 82, § 3º, do CPC, introduzido pela referida lei; 2) a finalidade da norma é proteger a advocacia na cobrança de honorários advocatícios, verbas de natureza alimentar, evitando que o profissional — ou o escritório de advocacia — suporte ônus financeiro indevido para acessar o Judiciário; 3) a expressão legal ‘o advogado’ deve ser interpretada de forma sistemática e teleológica, de modo a abranger também as sociedades de advogados, sob pena de esvaziamento prático da norma, haja vista que grande parte da atuação profissional se dá de forma coletiva; 4) os honorários advocatícios não perdem seu caráter alimentar pelo simples fato de serem titularizados por sociedade de advogados, subsistindo a necessidade de proteção legislativa da justa remuneração pelo trabalho jurídico, à luz do princípio da valorização do trabalho humano; 5) a dispensa do adiantamento das custas processuais prestigia, ainda, o princípio do acesso à justiça, ao afastar obstáculo econômico que, na prática, inviabilizava a execução de honorários, especialmente de menor monta; 6) há precedente recente deste Tribunal, posterior ao julgado citado na decisão agravada, que reconhece a constitucionalidade e a aplicação imediata da Lei nº 15.109/2025 às execuções e aos cumprimentos de sentença de honorários advocatícios promovidos por sociedades de advogados, afastando a obrigatoriedade de recolhimento inicial das custas processuais.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Requer o provimento do agravo interno para reformar a decisão monocrática, reconhecer a aplicabilidade do art. 82, § 3º, do CPC, incluído pela Lei nº 15.109/2025, às sociedades de advogados, afastar a exigência de recolhimento prévio das custas processuais e determinar o regular prosseguimento do feito (ID 82787109).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Sem razão.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Como exposto na decisão monocrática agravada (ID 82301907):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“(...) Suprindo-a, entendo que o art. 82, § 3º, do CPC, por sua literalidade e teleologia, aplica-se apenas aos advogados pessoas naturais que buscam a satisfação de honorários sucumbenciais, não à sociedade de advogados, como é o caso.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Confira-se a redação do referido dispositivo: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‘Art. 82 (...) § 3º Nas ações de cobrança por qualquer procedimento, comum ou especial, bem como nas execuções ou cumprimentos de sentença de honorários advocatícios, o advogado ficará dispensado de adiantar o pagamento de custas processuais, e caberá ao réu ou executado suprir, ao final do processo, o seu pagamento, se tiver dado causa ao processo. (Incluído pela Lei nº 15.109, de 2025)’ – Grifei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Nesse sentido: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‘(...) II. QUESTÃO EM DISCUSSÃO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3. A questão em discussão consiste em saber se a sociedade de advogados pode se beneficiar da dispensa do adiantamento das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custas processuais prevista no art. 82, § 3º, do CPC, incluído pela Lei nº 15.109/2025.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III. RAZÕES DE DECIDIR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4. O art. 82, § 3º, do CPC promove a postergação do pagamento das custas ao final do processo. A norma tem natureza processual e não cria isenção tributária. Ajusta apenas o momento da cobrança para garantir o acesso do advogado à Justiça.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5. A regra beneficia advogado, pessoa natural, titular de honorários de natureza alimentar. Não há previsão de extensão automática às sociedades de advogados, que possuem estrutura jurídica e capacidade contributiva distintas.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6. A interpretação restritiva preserva a finalidade da norma e evita ampliação indevida do benefício, que não se confunde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com gratuidade de justiça.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7. Mantém-se a decisão recorrida, pois a sociedade de advogados permanece sujeita ao recolhimento das custas iniciais. (...)’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(Acórdão 2090994, 0746676-22.2025.8.07.0000, Relator(a): ARQUIBALDO CARNEIRO PORTELA, 6ª TURMA CÍVEL, data de julgamento: 11/02/2026, publicado no DJe: 05/03/2026.) – Grifei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Deve, então, o agravante recolher o preparo, na sua forma simples – já que ainda não era exigível, em razão da pendência da análise do requerimento de dispensa –, sob pena de deserção, de maneira análoga à hipótese de indeferimento da gratuidade da justiça em sede recursal (CPC 101 § 2º). (...)” (Grifei)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Os argumentos expendidos limitam-se a reiterar tese já examinada e adequadamente enfrentada na decisão agravada, sem trazer elemento novo apto a infirmar seus fundamentos.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Em especial, a invocação de interpretação teleológica e da natureza alimentar dos honorários não afasta a distinção jurídica relevante entre o advogado pessoa natural e a sociedade de advogados, tampouco autoriza a ampliação do alcance subjetivo da norma analisada (CPC 82 §3º).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Do mesmo modo, o precedente colacionado, isoladamente considerado, não tem o condão de modificar a orientação adotada, amparada em entendimento recente desta Corte.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Assim, inexistindo ilegalidade ou teratologia na decisão impugnada, impõe-se sua manutenção por seus próprios fundamentos.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DISPOSITIVO Ante o exposto, nego provimento ao agravo interno interposto por Waldow &amp; Dutra Advogados.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É como voto.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O Senhor Desembargador MARIO-ZAM BELMIRO - 1º Vogal Com o(a) relator(a) O Senhor Desembargador ROBERVAL CASEMIRO BELINATI - 2º Vogal Com o(a) relator(a)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DECISÃO NEGAR PROVIMENTO AO RECURSO. UNÂNIME</w:t>
      </w:r>
    </w:p>
    <w:sectPr w:rsidRPr="0079792E" w:rsidR="0079792E">
      <w:headerReference w:type="default" r:id="rId16"/>
      <w:footerReference w:type="default" r:id="rId1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nuta GDSXSR" w:initials="MG" w:date="2026-10-30T16:44:50Z">
    <w:p>
      <w:pPr>
        <w:pStyle w:val="CommentText"/>
      </w:pPr>
      <w:r>
        <w:rPr>
          <w:rStyle w:val="CommentReference"/>
        </w:rPr>
        <w:annotationRef/>
      </w:r>
      <w:r>
        <w:t>MINUTA GDSXSR — Processo recebido como embargos de declaração cível (EMD) contra o acórdão 2149420 (ID 87002568), que negou provimento ao agravo interno interposto no AGI 0708494-30.2026.8.07.0000; não é AGI. Minuta do zero, resultado NP (nego provimento): o acórdão enfrentou o caráter de diferimento das custas, a natureza alimentar dos honorários e a distinção entre advogado pessoa natural e sociedade de advogados, e os fundamentos novos dos embargos (art. 15 da Lei 8.906/1994, CPC 85 § 14, SV 47, Tema 608/STJ) não constaram do agravo interno (ID 82787109). Modelos consultados: EMD 0703926-84 (voto do zero, versão de Marcos), EMD 0720510-92 e EMD 0707086-22 (OURO, Cecília/Marcos, NP). Orientação C-73: EMD sem tese nova, passível de modelo mais leve.</w:t>
      </w:r>
    </w:p>
  </w:comment>
  <w:comment w:id="1" w:author="Minuta GDSXSR" w:initials="MG" w:date="2026-10-30T16:44:50Z">
    <w:p>
      <w:pPr>
        <w:pStyle w:val="CommentText"/>
      </w:pPr>
      <w:r>
        <w:rPr>
          <w:rStyle w:val="CommentReference"/>
        </w:rPr>
        <w:annotationRef/>
      </w:r>
      <w:r>
        <w:t>MINUTA GDSXSR — Texto literal (C-63): CPC, art. 82, § 3º: “Art. 82. (...) § 3º Nas ações de cobrança por qualquer procedimento, comum ou especial, bem como nas execuções ou cumprimentos de sentença de honorários advocatícios, o advogado ficará dispensado de adiantar o pagamento de custas processuais, e caberá ao réu ou executado suprir, ao final do processo, o seu pagamento, se tiver dado causa ao processo. (Incluído pela Lei nº 15.109, de 2025)” (fonte: Planalto, via iajus).</w:t>
      </w:r>
    </w:p>
  </w:comment>
  <w:comment w:id="2" w:author="Minuta GDSXSR" w:initials="MG" w:date="2026-10-30T16:44:50Z">
    <w:p>
      <w:pPr>
        <w:pStyle w:val="CommentText"/>
      </w:pPr>
      <w:r>
        <w:rPr>
          <w:rStyle w:val="CommentReference"/>
        </w:rPr>
        <w:annotationRef/>
      </w:r>
      <w:r>
        <w:t>MINUTA GDSXSR — Texto literal (C-63): (1) CPC, art. 85, § 14: “Os honorários constituem direito do advogado e têm natureza alimentar, com os mesmos privilégios dos créditos oriundos da legislação do trabalho, sendo vedada a compensação em caso de sucumbência parcial.” (fonte: Planalto, via iajus). (2) Lei 8.906/1994, art. 15, caput: “Os advogados podem reunir-se em sociedade simples de prestação de serviços de advocacia ou constituir sociedade unipessoal de advocacia, na forma disciplinada nesta Lei e no regulamento geral.” (redação da Lei 13.247/2016; conferido no Senado Federal, legis.senado.leg.br; o iajus e o Planalto não abriram). (3) STF, Súmula Vinculante 47: “Os honorários advocatícios incluídos na condenação ou destacados do montante principal devido ao credor consubstanciam verba de natureza alimentar cuja satisfação ocorrerá com a expedição de precatório ou requisição de pequeno valor, observada ordem especial restrita aos créditos dessa natureza.” (vigente; fonte: iajus/STF). (4) STJ, Tema Repetitivo 608: “Não há impedimento constitucional, ou mesmo legal, para que os honorários advocatícios, quando não excederem ao valor limite, possam ser executados mediante RPV, ainda que o crédito dito ‘principal’ observe o regime dos precatórios.” (REsp julgado em 09/10/2013; fonte: iajus). O Tema 608 trata de RPV, e não da autonomia do crédito honorário que os embargos lhe atribuem; o voto não o discute, por não ter sido invocado no agravo interno (ID 82787109).</w:t>
      </w:r>
    </w:p>
  </w:comment>
  <w:comment w:id="3" w:author="Minuta GDSXSR" w:initials="MG" w:date="2026-10-30T16:44:50Z">
    <w:p>
      <w:pPr>
        <w:pStyle w:val="CommentText"/>
      </w:pPr>
      <w:r>
        <w:rPr>
          <w:rStyle w:val="CommentReference"/>
        </w:rPr>
        <w:annotationRef/>
      </w:r>
      <w:r>
        <w:t>MINUTA GDSXSR — Texto literal (C-63): CPC, art. 489, § 1º, IV: “Não se considera fundamentada qualquer decisão judicial, seja ela interlocutória, sentença ou acórdão, que: (...) IV - não enfrentar todos os argumentos deduzidos no processo capazes de, em tese, infirmar a conclusão adotada pelo julgador;” (fonte: Planalto, via iajus). CPC, art. 1.022, caput e incisos: “Cabem embargos de declaração contra qualquer decisão judicial para: I - esclarecer obscuridade ou eliminar contradição; II - suprir omissão de ponto ou questão sobre o qual devia se pronunciar o juiz de ofício ou a requerimento; III - corrigir erro material. Parágrafo único. Considera-se omissa a decisão que: I - deixe de se manifestar sobre tese firmada em julgamento de casos repetitivos ou em incidente de assunção de competência aplicável ao caso sob julgamento; II - incorra em qualquer das condutas descritas no art. 489, § 1º.” (fonte: Planalto, via iajus).</w:t>
      </w:r>
    </w:p>
  </w:comment>
  <w:comment w:id="4" w:author="Minuta GDSXSR" w:initials="MG" w:date="2026-10-30T16:44:50Z">
    <w:p>
      <w:pPr>
        <w:pStyle w:val="CommentText"/>
      </w:pPr>
      <w:r>
        <w:rPr>
          <w:rStyle w:val="CommentReference"/>
        </w:rPr>
        <w:annotationRef/>
      </w:r>
      <w:r>
        <w:t>MINUTA GDSXSR — Pendência (C-52, C-67, C-72): o iajus devolveu a ementa, o processo, o relator e a data de julgamento do acórdão da 4ª Turma Cível (EMD 0719044-92.2024.8.07.0020, Des. Jansen Fialho de Almeida, 11/03/2026), mas não o número do acórdão nem o DJe. Completar no JurisDF; a citação segue a forma de C-62/C-67 v47, sem número e sem DJe até a conferência.</w:t>
      </w:r>
    </w:p>
  </w:comment>
  <w:comment w:id="5" w:author="Minuta GDSXSR" w:initials="MG" w:date="2026-10-30T16:44:50Z">
    <w:p>
      <w:pPr>
        <w:pStyle w:val="CommentText"/>
      </w:pPr>
      <w:r>
        <w:rPr>
          <w:rStyle w:val="CommentReference"/>
        </w:rPr>
        <w:annotationRef/>
      </w:r>
      <w:r>
        <w:t>MINUTA GDSXSR — Tempestividade conferida nos autos: o acórdão foi disponibilizado no DJEN em 22/07/2026 e publicado em 23/07/2026 (certidão de disponibilização); o prazo de 5 dias úteis (CPC 1.023) terminou em 30/07/2026, e os embargos foram opostos em 28/07/2026 (ID 87406977). Não há preparo a conferir.</w:t>
      </w:r>
    </w:p>
  </w:comment>
  <w:comment w:id="6" w:author="Minuta GDSXSR" w:initials="MG" w:date="2026-10-30T16:44:50Z">
    <w:p>
      <w:pPr>
        <w:pStyle w:val="CommentText"/>
      </w:pPr>
      <w:r>
        <w:rPr>
          <w:rStyle w:val="CommentReference"/>
        </w:rPr>
        <w:annotationRef/>
      </w:r>
      <w:r>
        <w:t>MINUTA GDSXSR — Este parágrafo foi acrescentado porque os embargos pedem expressamente o recebimento do parecer (pedido d). As calibrações e os modelos de EMD não trazem padrão para parecer de entidade de classe juntado com os embargos; a redação é própria do voto do zero e se limita ao que o parecer afirma (ID 87406978, conclusão de 19/04/2026: aplicabilidade extensiva do CPC 82 § 3º às sociedades de advogados; o parecer analisa a decisão monocrática e é anterior ao acórdão). Marcos decide se mantém.</w:t>
      </w:r>
    </w:p>
  </w:comment>
  <w:comment w:id="7" w:author="Minuta GDSXSR" w:initials="MG" w:date="2026-10-30T16:44:50Z">
    <w:p>
      <w:pPr>
        <w:pStyle w:val="CommentText"/>
      </w:pPr>
      <w:r>
        <w:rPr>
          <w:rStyle w:val="CommentReference"/>
        </w:rPr>
        <w:annotationRef/>
      </w:r>
      <w:r>
        <w:t>MINUTA GDSXSR — Divergência na jurisprudência (C-53): o agravo interno invocou o Acórdão 2101154 (0700110-78.2026.8.07.0000, Des. Fátima Rafael, 7ª Turma Cível, j. 11/03/2026, DJe 25/03/2026), que deu provimento a agravo de escritório de advocacia exequente para aplicar o CPC 82 § 3º; o acórdão embargado já o enfrentou ("o precedente colacionado, isoladamente considerado, não tem o condão de modificar a orientação", ID 87002568) e os embargos não o reiteram. Não incluí bloco violeta de precedentes contrários porque não há vício a sanar nesse ponto; a Turma de origem do precedente adotado no acórdão é a 6ª (Acórdão 2090994, 0746676-22.2025.8.07.0000, j. 11/02/2026, DJe 05/03/2026), o que mostra divergência interna do TJDFT sobre o tema. Texto do precedente conferido apenas pela transcrição que consta do agravo interno (ID 82787109) e do acórdão embargado; não foi localizado no iajus.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3946126"/>
  <w15:commentEx w15:done="0" w15:paraId="1617252E"/>
  <w15:commentEx w15:done="0" w15:paraId="1D8DCDBF" w15:paraIdParent="1617252E"/>
  <w15:commentEx w15:done="0" w15:paraId="6029EBB5" w15:paraIdParent="1617252E"/>
  <w15:commentEx w15:done="0" w15:paraId="79AC0CEC"/>
  <w15:commentEx w15:done="0" w15:paraId="7D5E3CA3"/>
  <w15:commentEx w15:done="0" w15:paraId="09ED36C1"/>
  <w15:commentEx w15:done="0" w15:paraId="664BFDE5"/>
  <w15:commentEx w15:done="0" w15:paraId="76C8CC23"/>
  <w15:commentEx w15:done="0" w15:paraId="0E1AF305" w15:paraIdParent="5394612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FE13722" w16cex:dateUtc="2025-01-15T20:45:00Z"/>
  <w16cex:commentExtensible w16cex:durableId="62876044" w16cex:dateUtc="2025-02-13T20:01:00Z"/>
  <w16cex:commentExtensible w16cex:durableId="107D5E84" w16cex:dateUtc="2025-02-16T14:29:00Z"/>
  <w16cex:commentExtensible w16cex:durableId="12372489" w16cex:dateUtc="2025-02-17T22:51:00Z"/>
  <w16cex:commentExtensible w16cex:durableId="598CE646" w16cex:dateUtc="2025-01-15T20:43:00Z"/>
  <w16cex:commentExtensible w16cex:durableId="5212C952" w16cex:dateUtc="2025-02-17T21:31:00Z"/>
  <w16cex:commentExtensible w16cex:durableId="429EEF6A" w16cex:dateUtc="2025-02-17T22:01:00Z"/>
  <w16cex:commentExtensible w16cex:durableId="1BF6874C" w16cex:dateUtc="2025-02-13T18:55:00Z"/>
  <w16cex:commentExtensible w16cex:durableId="52619A33" w16cex:dateUtc="2025-02-17T22:15:00Z"/>
  <w16cex:commentExtensible w16cex:durableId="5040A6A6" w16cex:dateUtc="2025-02-18T01:02:48.80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3946126" w16cid:durableId="3FE13722"/>
  <w16cid:commentId w16cid:paraId="1617252E" w16cid:durableId="62876044"/>
  <w16cid:commentId w16cid:paraId="1D8DCDBF" w16cid:durableId="107D5E84"/>
  <w16cid:commentId w16cid:paraId="6029EBB5" w16cid:durableId="12372489"/>
  <w16cid:commentId w16cid:paraId="79AC0CEC" w16cid:durableId="598CE646"/>
  <w16cid:commentId w16cid:paraId="7D5E3CA3" w16cid:durableId="5212C952"/>
  <w16cid:commentId w16cid:paraId="09ED36C1" w16cid:durableId="429EEF6A"/>
  <w16cid:commentId w16cid:paraId="664BFDE5" w16cid:durableId="1BF6874C"/>
  <w16cid:commentId w16cid:paraId="76C8CC23" w16cid:durableId="52619A33"/>
  <w16cid:commentId w16cid:paraId="0E1AF305" w16cid:durableId="5040A6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68AF" w:rsidP="003A42DE" w:rsidRDefault="00B668AF" w14:paraId="6BE09AEB" w14:textId="77777777">
      <w:pPr>
        <w:spacing w:after="0" w:line="240" w:lineRule="auto"/>
      </w:pPr>
      <w:r>
        <w:separator/>
      </w:r>
    </w:p>
  </w:endnote>
  <w:endnote w:type="continuationSeparator" w:id="0">
    <w:p w:rsidR="00B668AF" w:rsidP="003A42DE" w:rsidRDefault="00B668AF" w14:paraId="0B1BA95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:rsidR="003A42DE" w:rsidRDefault="003A42DE" w14:paraId="4A86AAF9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42DE" w:rsidRDefault="003A42DE" w14:paraId="2B59F42A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68AF" w:rsidP="003A42DE" w:rsidRDefault="00B668AF" w14:paraId="50D828C8" w14:textId="77777777">
      <w:pPr>
        <w:spacing w:after="0" w:line="240" w:lineRule="auto"/>
      </w:pPr>
      <w:r>
        <w:separator/>
      </w:r>
    </w:p>
  </w:footnote>
  <w:footnote w:type="continuationSeparator" w:id="0">
    <w:p w:rsidR="00B668AF" w:rsidP="003A42DE" w:rsidRDefault="00B668AF" w14:paraId="3C41CA0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96E6D5C" w:rsidTr="496E6D5C" w14:paraId="420F8C7D" w14:textId="77777777">
      <w:trPr>
        <w:trHeight w:val="300"/>
      </w:trPr>
      <w:tc>
        <w:tcPr>
          <w:tcW w:w="2830" w:type="dxa"/>
        </w:tcPr>
        <w:p w:rsidR="496E6D5C" w:rsidP="496E6D5C" w:rsidRDefault="496E6D5C" w14:paraId="1741CB4D" w14:textId="2D02B1F1">
          <w:pPr>
            <w:pStyle w:val="Cabealho"/>
            <w:ind w:left="-115"/>
          </w:pPr>
        </w:p>
      </w:tc>
      <w:tc>
        <w:tcPr>
          <w:tcW w:w="2830" w:type="dxa"/>
        </w:tcPr>
        <w:p w:rsidR="496E6D5C" w:rsidP="496E6D5C" w:rsidRDefault="496E6D5C" w14:paraId="61B673DA" w14:textId="389F9BF1">
          <w:pPr>
            <w:pStyle w:val="Cabealho"/>
            <w:jc w:val="center"/>
          </w:pPr>
        </w:p>
      </w:tc>
      <w:tc>
        <w:tcPr>
          <w:tcW w:w="2830" w:type="dxa"/>
        </w:tcPr>
        <w:p w:rsidR="496E6D5C" w:rsidP="496E6D5C" w:rsidRDefault="496E6D5C" w14:paraId="1FA79708" w14:textId="116CB955">
          <w:pPr>
            <w:pStyle w:val="Cabealho"/>
            <w:ind w:right="-115"/>
            <w:jc w:val="right"/>
          </w:pPr>
        </w:p>
      </w:tc>
    </w:tr>
  </w:tbl>
  <w:p w:rsidR="496E6D5C" w:rsidP="496E6D5C" w:rsidRDefault="496E6D5C" w14:paraId="0F073285" w14:textId="259B3A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86C48"/>
    <w:multiLevelType w:val="multilevel"/>
    <w:tmpl w:val="C39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B710F83"/>
    <w:multiLevelType w:val="hybridMultilevel"/>
    <w:tmpl w:val="EDA2142C"/>
    <w:lvl w:ilvl="0" w:tplc="5CBAE4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F4A55"/>
    <w:multiLevelType w:val="hybridMultilevel"/>
    <w:tmpl w:val="6D1096D4"/>
    <w:lvl w:ilvl="0" w:tplc="EBCEEE8E">
      <w:start w:val="1"/>
      <w:numFmt w:val="lowerLetter"/>
      <w:lvlText w:val="%1)"/>
      <w:lvlJc w:val="left"/>
      <w:pPr>
        <w:ind w:left="262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5" w15:restartNumberingAfterBreak="0">
    <w:nsid w:val="7C9F3BA9"/>
    <w:multiLevelType w:val="hybridMultilevel"/>
    <w:tmpl w:val="369A29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947812393">
    <w:abstractNumId w:val="5"/>
  </w:num>
  <w:num w:numId="4" w16cid:durableId="1064572583">
    <w:abstractNumId w:val="4"/>
  </w:num>
  <w:num w:numId="5" w16cid:durableId="925454595">
    <w:abstractNumId w:val="3"/>
  </w:num>
  <w:num w:numId="6" w16cid:durableId="945968935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rcos Dwayne Saraiva Costa - GDSXSR">
    <w15:presenceInfo w15:providerId="AD" w15:userId="S::t321760@tjdft.jus.br::71ef89ef-9eb5-4780-8a4d-3f3a792db9c6"/>
  </w15:person>
  <w15:person w15:author="Des. Sérgio Rocha">
    <w15:presenceInfo w15:providerId="AD" w15:userId="S::m311808@tjdft.jus.br::b71dd344-4755-44dc-9b6a-e9ab916e27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0000"/>
    <w:rsid w:val="000021C9"/>
    <w:rsid w:val="00003232"/>
    <w:rsid w:val="00004C11"/>
    <w:rsid w:val="0000547C"/>
    <w:rsid w:val="00006BE6"/>
    <w:rsid w:val="00012123"/>
    <w:rsid w:val="00021011"/>
    <w:rsid w:val="0002189B"/>
    <w:rsid w:val="0002738F"/>
    <w:rsid w:val="0003064B"/>
    <w:rsid w:val="00032613"/>
    <w:rsid w:val="00033AFD"/>
    <w:rsid w:val="00035FC6"/>
    <w:rsid w:val="00046428"/>
    <w:rsid w:val="00052AE3"/>
    <w:rsid w:val="0005400A"/>
    <w:rsid w:val="0006080C"/>
    <w:rsid w:val="000619E0"/>
    <w:rsid w:val="00061A9E"/>
    <w:rsid w:val="00064301"/>
    <w:rsid w:val="00073362"/>
    <w:rsid w:val="00076D7D"/>
    <w:rsid w:val="00081197"/>
    <w:rsid w:val="000828B2"/>
    <w:rsid w:val="000849D6"/>
    <w:rsid w:val="0009174A"/>
    <w:rsid w:val="00091ABC"/>
    <w:rsid w:val="0009513A"/>
    <w:rsid w:val="0009532D"/>
    <w:rsid w:val="000A26E6"/>
    <w:rsid w:val="000A63C5"/>
    <w:rsid w:val="000A7009"/>
    <w:rsid w:val="000A753D"/>
    <w:rsid w:val="000B0FC6"/>
    <w:rsid w:val="000B5CD9"/>
    <w:rsid w:val="000B7168"/>
    <w:rsid w:val="000C6C40"/>
    <w:rsid w:val="000D2E62"/>
    <w:rsid w:val="000D59B2"/>
    <w:rsid w:val="000F1358"/>
    <w:rsid w:val="000F1817"/>
    <w:rsid w:val="001009CC"/>
    <w:rsid w:val="00105137"/>
    <w:rsid w:val="00110B5A"/>
    <w:rsid w:val="00113EF9"/>
    <w:rsid w:val="0011527A"/>
    <w:rsid w:val="00115458"/>
    <w:rsid w:val="00115569"/>
    <w:rsid w:val="001213AA"/>
    <w:rsid w:val="00122133"/>
    <w:rsid w:val="00122E85"/>
    <w:rsid w:val="00125329"/>
    <w:rsid w:val="00131A63"/>
    <w:rsid w:val="001359BE"/>
    <w:rsid w:val="001363AD"/>
    <w:rsid w:val="00137A7E"/>
    <w:rsid w:val="001447A8"/>
    <w:rsid w:val="00147F9E"/>
    <w:rsid w:val="00151611"/>
    <w:rsid w:val="001534EA"/>
    <w:rsid w:val="00153C44"/>
    <w:rsid w:val="00161CD2"/>
    <w:rsid w:val="00164CDD"/>
    <w:rsid w:val="0017771F"/>
    <w:rsid w:val="001801E9"/>
    <w:rsid w:val="00183B77"/>
    <w:rsid w:val="00192A46"/>
    <w:rsid w:val="00196F83"/>
    <w:rsid w:val="001A09B8"/>
    <w:rsid w:val="001A4C30"/>
    <w:rsid w:val="001B077C"/>
    <w:rsid w:val="001B2553"/>
    <w:rsid w:val="001B7FF4"/>
    <w:rsid w:val="001C01CD"/>
    <w:rsid w:val="001C16FB"/>
    <w:rsid w:val="001C466B"/>
    <w:rsid w:val="001D2162"/>
    <w:rsid w:val="001D3371"/>
    <w:rsid w:val="001E461C"/>
    <w:rsid w:val="001E4974"/>
    <w:rsid w:val="001E7903"/>
    <w:rsid w:val="001F4D6E"/>
    <w:rsid w:val="001F74C4"/>
    <w:rsid w:val="00200A16"/>
    <w:rsid w:val="00200B1B"/>
    <w:rsid w:val="00203B1D"/>
    <w:rsid w:val="00206304"/>
    <w:rsid w:val="002126F1"/>
    <w:rsid w:val="0021526A"/>
    <w:rsid w:val="00232EEB"/>
    <w:rsid w:val="00254E51"/>
    <w:rsid w:val="00262E14"/>
    <w:rsid w:val="00264107"/>
    <w:rsid w:val="0026510D"/>
    <w:rsid w:val="00267399"/>
    <w:rsid w:val="00270342"/>
    <w:rsid w:val="00274644"/>
    <w:rsid w:val="0027638F"/>
    <w:rsid w:val="00280522"/>
    <w:rsid w:val="0028319F"/>
    <w:rsid w:val="00283F7F"/>
    <w:rsid w:val="0028570A"/>
    <w:rsid w:val="00290611"/>
    <w:rsid w:val="00292E82"/>
    <w:rsid w:val="00296DAE"/>
    <w:rsid w:val="002A2038"/>
    <w:rsid w:val="002A3D11"/>
    <w:rsid w:val="002A5205"/>
    <w:rsid w:val="002B1184"/>
    <w:rsid w:val="002B1EAC"/>
    <w:rsid w:val="002B210E"/>
    <w:rsid w:val="002B577C"/>
    <w:rsid w:val="002B5F5B"/>
    <w:rsid w:val="002B729F"/>
    <w:rsid w:val="002B7D3A"/>
    <w:rsid w:val="002C2464"/>
    <w:rsid w:val="002C391C"/>
    <w:rsid w:val="002C42D2"/>
    <w:rsid w:val="002D127E"/>
    <w:rsid w:val="002D2D56"/>
    <w:rsid w:val="002D347D"/>
    <w:rsid w:val="002D3FF3"/>
    <w:rsid w:val="002D5DA7"/>
    <w:rsid w:val="002F1407"/>
    <w:rsid w:val="002F1B1A"/>
    <w:rsid w:val="002F6482"/>
    <w:rsid w:val="002F6A36"/>
    <w:rsid w:val="0030257B"/>
    <w:rsid w:val="00303FAE"/>
    <w:rsid w:val="00307AA2"/>
    <w:rsid w:val="0031063D"/>
    <w:rsid w:val="00310FB4"/>
    <w:rsid w:val="00312291"/>
    <w:rsid w:val="00316B1F"/>
    <w:rsid w:val="00320828"/>
    <w:rsid w:val="00321068"/>
    <w:rsid w:val="00323779"/>
    <w:rsid w:val="00323D27"/>
    <w:rsid w:val="00330180"/>
    <w:rsid w:val="0034156E"/>
    <w:rsid w:val="0034511C"/>
    <w:rsid w:val="00347818"/>
    <w:rsid w:val="00351653"/>
    <w:rsid w:val="003524E5"/>
    <w:rsid w:val="00352816"/>
    <w:rsid w:val="00352D66"/>
    <w:rsid w:val="00354AA2"/>
    <w:rsid w:val="00355C73"/>
    <w:rsid w:val="003624B4"/>
    <w:rsid w:val="003717FC"/>
    <w:rsid w:val="003749AB"/>
    <w:rsid w:val="00376C72"/>
    <w:rsid w:val="00382346"/>
    <w:rsid w:val="0038467B"/>
    <w:rsid w:val="00390B1E"/>
    <w:rsid w:val="003A3A19"/>
    <w:rsid w:val="003A42DE"/>
    <w:rsid w:val="003A4E55"/>
    <w:rsid w:val="003A5B74"/>
    <w:rsid w:val="003B3398"/>
    <w:rsid w:val="003C0599"/>
    <w:rsid w:val="003C6AD4"/>
    <w:rsid w:val="003D11BE"/>
    <w:rsid w:val="003D3FEE"/>
    <w:rsid w:val="003D6425"/>
    <w:rsid w:val="003D706A"/>
    <w:rsid w:val="003D7F89"/>
    <w:rsid w:val="003E436D"/>
    <w:rsid w:val="003F6959"/>
    <w:rsid w:val="00413928"/>
    <w:rsid w:val="0041488A"/>
    <w:rsid w:val="00423538"/>
    <w:rsid w:val="00427CE2"/>
    <w:rsid w:val="00434AA8"/>
    <w:rsid w:val="00437CFC"/>
    <w:rsid w:val="00442806"/>
    <w:rsid w:val="00445ED9"/>
    <w:rsid w:val="00450188"/>
    <w:rsid w:val="00451A6D"/>
    <w:rsid w:val="00465A25"/>
    <w:rsid w:val="0046642D"/>
    <w:rsid w:val="0047216B"/>
    <w:rsid w:val="004732DB"/>
    <w:rsid w:val="004762F1"/>
    <w:rsid w:val="00480A33"/>
    <w:rsid w:val="00483B71"/>
    <w:rsid w:val="00485185"/>
    <w:rsid w:val="00487E45"/>
    <w:rsid w:val="00492EFA"/>
    <w:rsid w:val="00495EB5"/>
    <w:rsid w:val="00496EB5"/>
    <w:rsid w:val="004B2A9C"/>
    <w:rsid w:val="004B53A9"/>
    <w:rsid w:val="004C0465"/>
    <w:rsid w:val="004C3145"/>
    <w:rsid w:val="004C6C51"/>
    <w:rsid w:val="004C6EFA"/>
    <w:rsid w:val="004C7418"/>
    <w:rsid w:val="00506A7D"/>
    <w:rsid w:val="00506D76"/>
    <w:rsid w:val="005111CC"/>
    <w:rsid w:val="005172C7"/>
    <w:rsid w:val="00517F10"/>
    <w:rsid w:val="00520FDA"/>
    <w:rsid w:val="00525FCB"/>
    <w:rsid w:val="00530C7C"/>
    <w:rsid w:val="00531A93"/>
    <w:rsid w:val="00533CB0"/>
    <w:rsid w:val="00543441"/>
    <w:rsid w:val="00550CE5"/>
    <w:rsid w:val="00555B54"/>
    <w:rsid w:val="00557342"/>
    <w:rsid w:val="00560427"/>
    <w:rsid w:val="00573C5D"/>
    <w:rsid w:val="00573D40"/>
    <w:rsid w:val="00576A45"/>
    <w:rsid w:val="00576E4F"/>
    <w:rsid w:val="0057726B"/>
    <w:rsid w:val="00586EB6"/>
    <w:rsid w:val="005876B2"/>
    <w:rsid w:val="005921B3"/>
    <w:rsid w:val="005925FC"/>
    <w:rsid w:val="00594470"/>
    <w:rsid w:val="0059689A"/>
    <w:rsid w:val="00597864"/>
    <w:rsid w:val="005A1AD9"/>
    <w:rsid w:val="005A29C5"/>
    <w:rsid w:val="005A43F2"/>
    <w:rsid w:val="005A45C2"/>
    <w:rsid w:val="005A5759"/>
    <w:rsid w:val="005B1449"/>
    <w:rsid w:val="005B16D3"/>
    <w:rsid w:val="005B36C8"/>
    <w:rsid w:val="005B7851"/>
    <w:rsid w:val="005C31C4"/>
    <w:rsid w:val="005C69F8"/>
    <w:rsid w:val="005C7BEC"/>
    <w:rsid w:val="005D5D18"/>
    <w:rsid w:val="005E3F4E"/>
    <w:rsid w:val="005E66E0"/>
    <w:rsid w:val="005F1B88"/>
    <w:rsid w:val="005F2954"/>
    <w:rsid w:val="00601B09"/>
    <w:rsid w:val="00601B5D"/>
    <w:rsid w:val="0060333D"/>
    <w:rsid w:val="00605463"/>
    <w:rsid w:val="00611216"/>
    <w:rsid w:val="0061262D"/>
    <w:rsid w:val="00615051"/>
    <w:rsid w:val="006226C6"/>
    <w:rsid w:val="0063102C"/>
    <w:rsid w:val="00632EAA"/>
    <w:rsid w:val="006335DA"/>
    <w:rsid w:val="00633703"/>
    <w:rsid w:val="00634C8C"/>
    <w:rsid w:val="00635527"/>
    <w:rsid w:val="00641926"/>
    <w:rsid w:val="00641BB6"/>
    <w:rsid w:val="00644708"/>
    <w:rsid w:val="00651C61"/>
    <w:rsid w:val="0065260A"/>
    <w:rsid w:val="00653BAB"/>
    <w:rsid w:val="00657F06"/>
    <w:rsid w:val="006604E5"/>
    <w:rsid w:val="00661CF3"/>
    <w:rsid w:val="006658A2"/>
    <w:rsid w:val="00671D2C"/>
    <w:rsid w:val="00685D0A"/>
    <w:rsid w:val="00685D83"/>
    <w:rsid w:val="006921E1"/>
    <w:rsid w:val="00693B0D"/>
    <w:rsid w:val="006A15C6"/>
    <w:rsid w:val="006A2CF2"/>
    <w:rsid w:val="006A6A7C"/>
    <w:rsid w:val="006B150D"/>
    <w:rsid w:val="006B2A89"/>
    <w:rsid w:val="006B3814"/>
    <w:rsid w:val="006B555B"/>
    <w:rsid w:val="006B6CC3"/>
    <w:rsid w:val="006C5C58"/>
    <w:rsid w:val="006C6E29"/>
    <w:rsid w:val="006D07B9"/>
    <w:rsid w:val="006D0993"/>
    <w:rsid w:val="006D10C7"/>
    <w:rsid w:val="006D3824"/>
    <w:rsid w:val="006F725D"/>
    <w:rsid w:val="00700FA4"/>
    <w:rsid w:val="007037D1"/>
    <w:rsid w:val="00711FE9"/>
    <w:rsid w:val="00712474"/>
    <w:rsid w:val="00714A9F"/>
    <w:rsid w:val="00715053"/>
    <w:rsid w:val="00715112"/>
    <w:rsid w:val="00715AE1"/>
    <w:rsid w:val="00720F89"/>
    <w:rsid w:val="00722F88"/>
    <w:rsid w:val="00726567"/>
    <w:rsid w:val="00730800"/>
    <w:rsid w:val="007445E7"/>
    <w:rsid w:val="00744BDF"/>
    <w:rsid w:val="00747176"/>
    <w:rsid w:val="00757D6C"/>
    <w:rsid w:val="00760CFB"/>
    <w:rsid w:val="0076457C"/>
    <w:rsid w:val="00765709"/>
    <w:rsid w:val="00770E7F"/>
    <w:rsid w:val="0077219F"/>
    <w:rsid w:val="00775B81"/>
    <w:rsid w:val="0077719E"/>
    <w:rsid w:val="007771E6"/>
    <w:rsid w:val="00782446"/>
    <w:rsid w:val="007844F9"/>
    <w:rsid w:val="00785B74"/>
    <w:rsid w:val="007864D4"/>
    <w:rsid w:val="00791D48"/>
    <w:rsid w:val="00792D84"/>
    <w:rsid w:val="0079792E"/>
    <w:rsid w:val="007A3F4D"/>
    <w:rsid w:val="007B265E"/>
    <w:rsid w:val="007C0FEF"/>
    <w:rsid w:val="007C196D"/>
    <w:rsid w:val="007C4990"/>
    <w:rsid w:val="007D00F1"/>
    <w:rsid w:val="007D24FE"/>
    <w:rsid w:val="007D27C7"/>
    <w:rsid w:val="007D3BA7"/>
    <w:rsid w:val="007D4432"/>
    <w:rsid w:val="007D546B"/>
    <w:rsid w:val="007E1C8C"/>
    <w:rsid w:val="007E3BF9"/>
    <w:rsid w:val="007F0BBF"/>
    <w:rsid w:val="007F0F43"/>
    <w:rsid w:val="007F2AF4"/>
    <w:rsid w:val="007F4412"/>
    <w:rsid w:val="007F693C"/>
    <w:rsid w:val="007F7839"/>
    <w:rsid w:val="007F7A6C"/>
    <w:rsid w:val="00800051"/>
    <w:rsid w:val="00800F64"/>
    <w:rsid w:val="00804386"/>
    <w:rsid w:val="008134CE"/>
    <w:rsid w:val="008140C2"/>
    <w:rsid w:val="008151BB"/>
    <w:rsid w:val="00820DF3"/>
    <w:rsid w:val="008215E4"/>
    <w:rsid w:val="008235A6"/>
    <w:rsid w:val="00825BFF"/>
    <w:rsid w:val="008342D5"/>
    <w:rsid w:val="00841FD0"/>
    <w:rsid w:val="00843673"/>
    <w:rsid w:val="008532BF"/>
    <w:rsid w:val="00854204"/>
    <w:rsid w:val="0085425F"/>
    <w:rsid w:val="0086390F"/>
    <w:rsid w:val="00864FC8"/>
    <w:rsid w:val="00871844"/>
    <w:rsid w:val="00873B42"/>
    <w:rsid w:val="00877CCC"/>
    <w:rsid w:val="00877F2B"/>
    <w:rsid w:val="00882188"/>
    <w:rsid w:val="00892F5B"/>
    <w:rsid w:val="008966E3"/>
    <w:rsid w:val="008A01E9"/>
    <w:rsid w:val="008A3417"/>
    <w:rsid w:val="008A4445"/>
    <w:rsid w:val="008A49BC"/>
    <w:rsid w:val="008A56A3"/>
    <w:rsid w:val="008A6260"/>
    <w:rsid w:val="008B45C4"/>
    <w:rsid w:val="008B610E"/>
    <w:rsid w:val="008C306F"/>
    <w:rsid w:val="008C34E5"/>
    <w:rsid w:val="008C3782"/>
    <w:rsid w:val="008C4183"/>
    <w:rsid w:val="008C641E"/>
    <w:rsid w:val="008D0C9F"/>
    <w:rsid w:val="008D4E7A"/>
    <w:rsid w:val="008D721A"/>
    <w:rsid w:val="008E1EAF"/>
    <w:rsid w:val="008E3705"/>
    <w:rsid w:val="008E4002"/>
    <w:rsid w:val="008E4977"/>
    <w:rsid w:val="008E5FD6"/>
    <w:rsid w:val="008F09F5"/>
    <w:rsid w:val="008F299E"/>
    <w:rsid w:val="008F4440"/>
    <w:rsid w:val="008F51B9"/>
    <w:rsid w:val="008F5D2E"/>
    <w:rsid w:val="009113AB"/>
    <w:rsid w:val="00911601"/>
    <w:rsid w:val="00912406"/>
    <w:rsid w:val="00916F9E"/>
    <w:rsid w:val="0092538F"/>
    <w:rsid w:val="0092593B"/>
    <w:rsid w:val="00927F4C"/>
    <w:rsid w:val="009300C5"/>
    <w:rsid w:val="009313CA"/>
    <w:rsid w:val="00933600"/>
    <w:rsid w:val="00936F32"/>
    <w:rsid w:val="009431B2"/>
    <w:rsid w:val="00944D7E"/>
    <w:rsid w:val="00945DCA"/>
    <w:rsid w:val="00946FF7"/>
    <w:rsid w:val="009506E0"/>
    <w:rsid w:val="00951CAD"/>
    <w:rsid w:val="00951FB4"/>
    <w:rsid w:val="00952B25"/>
    <w:rsid w:val="009648CC"/>
    <w:rsid w:val="009653FA"/>
    <w:rsid w:val="009659D2"/>
    <w:rsid w:val="00966A46"/>
    <w:rsid w:val="00972EF3"/>
    <w:rsid w:val="0097780C"/>
    <w:rsid w:val="009927F9"/>
    <w:rsid w:val="0099680F"/>
    <w:rsid w:val="009A136D"/>
    <w:rsid w:val="009B712D"/>
    <w:rsid w:val="009C1026"/>
    <w:rsid w:val="009C24B6"/>
    <w:rsid w:val="009C4045"/>
    <w:rsid w:val="009C5C63"/>
    <w:rsid w:val="009C6418"/>
    <w:rsid w:val="009D0BA0"/>
    <w:rsid w:val="009D1137"/>
    <w:rsid w:val="009D3818"/>
    <w:rsid w:val="009D5427"/>
    <w:rsid w:val="009E1D8D"/>
    <w:rsid w:val="009E2732"/>
    <w:rsid w:val="009E3373"/>
    <w:rsid w:val="009E3BE9"/>
    <w:rsid w:val="009E5F8A"/>
    <w:rsid w:val="009F1434"/>
    <w:rsid w:val="009F1864"/>
    <w:rsid w:val="009F1D8D"/>
    <w:rsid w:val="009F2BB1"/>
    <w:rsid w:val="009F36E1"/>
    <w:rsid w:val="009F684C"/>
    <w:rsid w:val="009F759D"/>
    <w:rsid w:val="00A00A9A"/>
    <w:rsid w:val="00A03057"/>
    <w:rsid w:val="00A13A46"/>
    <w:rsid w:val="00A16F7A"/>
    <w:rsid w:val="00A2661C"/>
    <w:rsid w:val="00A31C13"/>
    <w:rsid w:val="00A330C4"/>
    <w:rsid w:val="00A3595E"/>
    <w:rsid w:val="00A36BED"/>
    <w:rsid w:val="00A4407C"/>
    <w:rsid w:val="00A465C0"/>
    <w:rsid w:val="00A51E72"/>
    <w:rsid w:val="00A57859"/>
    <w:rsid w:val="00A61281"/>
    <w:rsid w:val="00A6481B"/>
    <w:rsid w:val="00A70194"/>
    <w:rsid w:val="00A72414"/>
    <w:rsid w:val="00A73DF2"/>
    <w:rsid w:val="00A773CE"/>
    <w:rsid w:val="00A80091"/>
    <w:rsid w:val="00A87227"/>
    <w:rsid w:val="00A908C1"/>
    <w:rsid w:val="00A958AF"/>
    <w:rsid w:val="00A96CB3"/>
    <w:rsid w:val="00A97525"/>
    <w:rsid w:val="00AA7DB0"/>
    <w:rsid w:val="00AA7E81"/>
    <w:rsid w:val="00AB1DE4"/>
    <w:rsid w:val="00AB6307"/>
    <w:rsid w:val="00AB7E65"/>
    <w:rsid w:val="00AC20E1"/>
    <w:rsid w:val="00AC39BD"/>
    <w:rsid w:val="00AD39C4"/>
    <w:rsid w:val="00AD73FF"/>
    <w:rsid w:val="00AE28DA"/>
    <w:rsid w:val="00AE73C5"/>
    <w:rsid w:val="00B04942"/>
    <w:rsid w:val="00B17310"/>
    <w:rsid w:val="00B20C5A"/>
    <w:rsid w:val="00B23A93"/>
    <w:rsid w:val="00B30DAE"/>
    <w:rsid w:val="00B41866"/>
    <w:rsid w:val="00B44DA2"/>
    <w:rsid w:val="00B4750C"/>
    <w:rsid w:val="00B5186D"/>
    <w:rsid w:val="00B5663B"/>
    <w:rsid w:val="00B6025D"/>
    <w:rsid w:val="00B6056E"/>
    <w:rsid w:val="00B606B1"/>
    <w:rsid w:val="00B60851"/>
    <w:rsid w:val="00B668AF"/>
    <w:rsid w:val="00B66EC2"/>
    <w:rsid w:val="00B737B2"/>
    <w:rsid w:val="00B73FAD"/>
    <w:rsid w:val="00B75D6D"/>
    <w:rsid w:val="00B868BF"/>
    <w:rsid w:val="00B96FA0"/>
    <w:rsid w:val="00BA3360"/>
    <w:rsid w:val="00BA41EB"/>
    <w:rsid w:val="00BA65D0"/>
    <w:rsid w:val="00BA700C"/>
    <w:rsid w:val="00BB2608"/>
    <w:rsid w:val="00BB5799"/>
    <w:rsid w:val="00BB6139"/>
    <w:rsid w:val="00BB6749"/>
    <w:rsid w:val="00BC07C7"/>
    <w:rsid w:val="00BC27EB"/>
    <w:rsid w:val="00BC7F2A"/>
    <w:rsid w:val="00BD0B73"/>
    <w:rsid w:val="00BD0CD2"/>
    <w:rsid w:val="00BD4990"/>
    <w:rsid w:val="00BD7058"/>
    <w:rsid w:val="00BE334F"/>
    <w:rsid w:val="00BE4036"/>
    <w:rsid w:val="00BE75D7"/>
    <w:rsid w:val="00BF1494"/>
    <w:rsid w:val="00BF173F"/>
    <w:rsid w:val="00BF2E6B"/>
    <w:rsid w:val="00BF4903"/>
    <w:rsid w:val="00C01659"/>
    <w:rsid w:val="00C10FA6"/>
    <w:rsid w:val="00C12218"/>
    <w:rsid w:val="00C14576"/>
    <w:rsid w:val="00C21B40"/>
    <w:rsid w:val="00C22469"/>
    <w:rsid w:val="00C22A4C"/>
    <w:rsid w:val="00C249B8"/>
    <w:rsid w:val="00C27C12"/>
    <w:rsid w:val="00C33B77"/>
    <w:rsid w:val="00C341CF"/>
    <w:rsid w:val="00C37985"/>
    <w:rsid w:val="00C37DBB"/>
    <w:rsid w:val="00C40A19"/>
    <w:rsid w:val="00C4378B"/>
    <w:rsid w:val="00C4687C"/>
    <w:rsid w:val="00C53366"/>
    <w:rsid w:val="00C57E17"/>
    <w:rsid w:val="00C66083"/>
    <w:rsid w:val="00C6664A"/>
    <w:rsid w:val="00C9282E"/>
    <w:rsid w:val="00C94119"/>
    <w:rsid w:val="00CA281B"/>
    <w:rsid w:val="00CA324E"/>
    <w:rsid w:val="00CA5212"/>
    <w:rsid w:val="00CB0848"/>
    <w:rsid w:val="00CB0F95"/>
    <w:rsid w:val="00CB2BE3"/>
    <w:rsid w:val="00CB4E4C"/>
    <w:rsid w:val="00CB7FF8"/>
    <w:rsid w:val="00CC7150"/>
    <w:rsid w:val="00CF0581"/>
    <w:rsid w:val="00CF247F"/>
    <w:rsid w:val="00D03FB1"/>
    <w:rsid w:val="00D0404D"/>
    <w:rsid w:val="00D04BD8"/>
    <w:rsid w:val="00D07310"/>
    <w:rsid w:val="00D101EF"/>
    <w:rsid w:val="00D1067B"/>
    <w:rsid w:val="00D1206B"/>
    <w:rsid w:val="00D12BB3"/>
    <w:rsid w:val="00D12D71"/>
    <w:rsid w:val="00D130B8"/>
    <w:rsid w:val="00D135AB"/>
    <w:rsid w:val="00D14D52"/>
    <w:rsid w:val="00D15DFE"/>
    <w:rsid w:val="00D171B9"/>
    <w:rsid w:val="00D17E79"/>
    <w:rsid w:val="00D21983"/>
    <w:rsid w:val="00D31E53"/>
    <w:rsid w:val="00D34492"/>
    <w:rsid w:val="00D34CC6"/>
    <w:rsid w:val="00D37E6E"/>
    <w:rsid w:val="00D407F3"/>
    <w:rsid w:val="00D4104B"/>
    <w:rsid w:val="00D42B4A"/>
    <w:rsid w:val="00D439AF"/>
    <w:rsid w:val="00D454AA"/>
    <w:rsid w:val="00D47BF8"/>
    <w:rsid w:val="00D516B2"/>
    <w:rsid w:val="00D52AEF"/>
    <w:rsid w:val="00D52E56"/>
    <w:rsid w:val="00D53CB9"/>
    <w:rsid w:val="00D633BD"/>
    <w:rsid w:val="00D64621"/>
    <w:rsid w:val="00D76D1B"/>
    <w:rsid w:val="00D80EBC"/>
    <w:rsid w:val="00D81F71"/>
    <w:rsid w:val="00D82B62"/>
    <w:rsid w:val="00D84490"/>
    <w:rsid w:val="00D85E07"/>
    <w:rsid w:val="00D93C00"/>
    <w:rsid w:val="00D94A48"/>
    <w:rsid w:val="00DA2244"/>
    <w:rsid w:val="00DA7171"/>
    <w:rsid w:val="00DB0BD1"/>
    <w:rsid w:val="00DB1301"/>
    <w:rsid w:val="00DB342D"/>
    <w:rsid w:val="00DC021F"/>
    <w:rsid w:val="00DC255B"/>
    <w:rsid w:val="00DC5B82"/>
    <w:rsid w:val="00DC60D6"/>
    <w:rsid w:val="00DC71DB"/>
    <w:rsid w:val="00DD1D16"/>
    <w:rsid w:val="00DD5316"/>
    <w:rsid w:val="00DD7C71"/>
    <w:rsid w:val="00DE5878"/>
    <w:rsid w:val="00DF0654"/>
    <w:rsid w:val="00DF2670"/>
    <w:rsid w:val="00DF2730"/>
    <w:rsid w:val="00DF5632"/>
    <w:rsid w:val="00DF623D"/>
    <w:rsid w:val="00E02A97"/>
    <w:rsid w:val="00E06669"/>
    <w:rsid w:val="00E146AD"/>
    <w:rsid w:val="00E211F5"/>
    <w:rsid w:val="00E26735"/>
    <w:rsid w:val="00E4007E"/>
    <w:rsid w:val="00E40D8A"/>
    <w:rsid w:val="00E437CF"/>
    <w:rsid w:val="00E47AE8"/>
    <w:rsid w:val="00E52648"/>
    <w:rsid w:val="00E53472"/>
    <w:rsid w:val="00E53CAF"/>
    <w:rsid w:val="00E647A0"/>
    <w:rsid w:val="00E65593"/>
    <w:rsid w:val="00E66402"/>
    <w:rsid w:val="00E75E64"/>
    <w:rsid w:val="00E76CF5"/>
    <w:rsid w:val="00E806F5"/>
    <w:rsid w:val="00E83BF6"/>
    <w:rsid w:val="00E85EED"/>
    <w:rsid w:val="00E86190"/>
    <w:rsid w:val="00E91CD1"/>
    <w:rsid w:val="00E93A8D"/>
    <w:rsid w:val="00E963CE"/>
    <w:rsid w:val="00E96D12"/>
    <w:rsid w:val="00E97CB9"/>
    <w:rsid w:val="00EA3338"/>
    <w:rsid w:val="00EA3C0B"/>
    <w:rsid w:val="00EA6C7A"/>
    <w:rsid w:val="00EB3378"/>
    <w:rsid w:val="00EB3F6A"/>
    <w:rsid w:val="00EB54B5"/>
    <w:rsid w:val="00EC5732"/>
    <w:rsid w:val="00EC5D6E"/>
    <w:rsid w:val="00ED0A9E"/>
    <w:rsid w:val="00ED44BA"/>
    <w:rsid w:val="00ED5E8E"/>
    <w:rsid w:val="00ED6580"/>
    <w:rsid w:val="00EE027D"/>
    <w:rsid w:val="00EE15D3"/>
    <w:rsid w:val="00EE760E"/>
    <w:rsid w:val="00EF211D"/>
    <w:rsid w:val="00EF2715"/>
    <w:rsid w:val="00EF7D68"/>
    <w:rsid w:val="00F01486"/>
    <w:rsid w:val="00F041BA"/>
    <w:rsid w:val="00F10D23"/>
    <w:rsid w:val="00F12768"/>
    <w:rsid w:val="00F143F5"/>
    <w:rsid w:val="00F14D00"/>
    <w:rsid w:val="00F152A4"/>
    <w:rsid w:val="00F1627D"/>
    <w:rsid w:val="00F1682B"/>
    <w:rsid w:val="00F20A80"/>
    <w:rsid w:val="00F3251E"/>
    <w:rsid w:val="00F32608"/>
    <w:rsid w:val="00F51F47"/>
    <w:rsid w:val="00F5230E"/>
    <w:rsid w:val="00F547F1"/>
    <w:rsid w:val="00F63CDB"/>
    <w:rsid w:val="00F66640"/>
    <w:rsid w:val="00F706FF"/>
    <w:rsid w:val="00F76946"/>
    <w:rsid w:val="00F77EDB"/>
    <w:rsid w:val="00F84974"/>
    <w:rsid w:val="00F87022"/>
    <w:rsid w:val="00F90DC1"/>
    <w:rsid w:val="00F9286A"/>
    <w:rsid w:val="00F9293F"/>
    <w:rsid w:val="00F9351B"/>
    <w:rsid w:val="00F9593F"/>
    <w:rsid w:val="00FA0012"/>
    <w:rsid w:val="00FA5872"/>
    <w:rsid w:val="00FB113F"/>
    <w:rsid w:val="00FC0273"/>
    <w:rsid w:val="00FC0C0F"/>
    <w:rsid w:val="00FC22EE"/>
    <w:rsid w:val="00FC613E"/>
    <w:rsid w:val="00FD4D16"/>
    <w:rsid w:val="00FD5831"/>
    <w:rsid w:val="00FD7C45"/>
    <w:rsid w:val="00FF5783"/>
    <w:rsid w:val="0100D07F"/>
    <w:rsid w:val="012B7E23"/>
    <w:rsid w:val="01427B94"/>
    <w:rsid w:val="026E497E"/>
    <w:rsid w:val="0406F2B1"/>
    <w:rsid w:val="04EB9BAA"/>
    <w:rsid w:val="05C072E5"/>
    <w:rsid w:val="06094645"/>
    <w:rsid w:val="061EE5CE"/>
    <w:rsid w:val="062179D1"/>
    <w:rsid w:val="06571051"/>
    <w:rsid w:val="066636ED"/>
    <w:rsid w:val="06C73BD3"/>
    <w:rsid w:val="0741BAA1"/>
    <w:rsid w:val="075EDD43"/>
    <w:rsid w:val="07BAB62F"/>
    <w:rsid w:val="08624999"/>
    <w:rsid w:val="08BDBA2B"/>
    <w:rsid w:val="097970EA"/>
    <w:rsid w:val="0A795B63"/>
    <w:rsid w:val="0D003B5C"/>
    <w:rsid w:val="0E0CDE5D"/>
    <w:rsid w:val="0F16BAD4"/>
    <w:rsid w:val="0F49A558"/>
    <w:rsid w:val="0F4CCC86"/>
    <w:rsid w:val="10E575B9"/>
    <w:rsid w:val="10E89CE7"/>
    <w:rsid w:val="119E69CE"/>
    <w:rsid w:val="12069166"/>
    <w:rsid w:val="1281461A"/>
    <w:rsid w:val="147DF046"/>
    <w:rsid w:val="15075F5D"/>
    <w:rsid w:val="1522DC33"/>
    <w:rsid w:val="159010E4"/>
    <w:rsid w:val="15DF086A"/>
    <w:rsid w:val="161D075D"/>
    <w:rsid w:val="16AFD0FD"/>
    <w:rsid w:val="171CD738"/>
    <w:rsid w:val="1754F7B4"/>
    <w:rsid w:val="17FDF32E"/>
    <w:rsid w:val="18BBA766"/>
    <w:rsid w:val="194071AB"/>
    <w:rsid w:val="1B897297"/>
    <w:rsid w:val="1BE30692"/>
    <w:rsid w:val="1D110CB5"/>
    <w:rsid w:val="1DE275A0"/>
    <w:rsid w:val="1EBA3FA2"/>
    <w:rsid w:val="1FAFCC66"/>
    <w:rsid w:val="20266924"/>
    <w:rsid w:val="22242253"/>
    <w:rsid w:val="2259356D"/>
    <w:rsid w:val="232923D0"/>
    <w:rsid w:val="248F4127"/>
    <w:rsid w:val="249E222A"/>
    <w:rsid w:val="26069DE8"/>
    <w:rsid w:val="26A9A53C"/>
    <w:rsid w:val="27623DE6"/>
    <w:rsid w:val="286DB1CB"/>
    <w:rsid w:val="28731A7B"/>
    <w:rsid w:val="29FC1AE8"/>
    <w:rsid w:val="2A6DECCE"/>
    <w:rsid w:val="2AE1B6B7"/>
    <w:rsid w:val="2AE79E71"/>
    <w:rsid w:val="2AF5D78B"/>
    <w:rsid w:val="2BDF0338"/>
    <w:rsid w:val="2C649320"/>
    <w:rsid w:val="2DD61D48"/>
    <w:rsid w:val="2DDB7338"/>
    <w:rsid w:val="2F1C19A9"/>
    <w:rsid w:val="30250527"/>
    <w:rsid w:val="30508782"/>
    <w:rsid w:val="30587508"/>
    <w:rsid w:val="30EFC0EE"/>
    <w:rsid w:val="318CB296"/>
    <w:rsid w:val="31EC57E3"/>
    <w:rsid w:val="33BEC1C4"/>
    <w:rsid w:val="348DB4EB"/>
    <w:rsid w:val="3601BA69"/>
    <w:rsid w:val="367267F9"/>
    <w:rsid w:val="36CA94C4"/>
    <w:rsid w:val="36D84FC2"/>
    <w:rsid w:val="36F78B14"/>
    <w:rsid w:val="370C73D9"/>
    <w:rsid w:val="37408DCC"/>
    <w:rsid w:val="3776109F"/>
    <w:rsid w:val="38EEAB87"/>
    <w:rsid w:val="39286FAB"/>
    <w:rsid w:val="39AE4A8D"/>
    <w:rsid w:val="39E9F93F"/>
    <w:rsid w:val="39FF574E"/>
    <w:rsid w:val="3AD2045E"/>
    <w:rsid w:val="3BB47562"/>
    <w:rsid w:val="3C2166DE"/>
    <w:rsid w:val="3C5D9607"/>
    <w:rsid w:val="3D1A2DB7"/>
    <w:rsid w:val="3F1AE9CA"/>
    <w:rsid w:val="3FBD6A61"/>
    <w:rsid w:val="3FD06354"/>
    <w:rsid w:val="3FFE3DCC"/>
    <w:rsid w:val="41E1021E"/>
    <w:rsid w:val="420D9061"/>
    <w:rsid w:val="4228454C"/>
    <w:rsid w:val="42366C3D"/>
    <w:rsid w:val="42F63EA0"/>
    <w:rsid w:val="43781926"/>
    <w:rsid w:val="4380C41B"/>
    <w:rsid w:val="43A63994"/>
    <w:rsid w:val="43A67A0B"/>
    <w:rsid w:val="44688134"/>
    <w:rsid w:val="45D7D81A"/>
    <w:rsid w:val="45EE95F0"/>
    <w:rsid w:val="4614B705"/>
    <w:rsid w:val="463AD933"/>
    <w:rsid w:val="46C7D927"/>
    <w:rsid w:val="46DE1ACD"/>
    <w:rsid w:val="4962903A"/>
    <w:rsid w:val="496E6D5C"/>
    <w:rsid w:val="49AAD572"/>
    <w:rsid w:val="4AF457DF"/>
    <w:rsid w:val="4B409B22"/>
    <w:rsid w:val="4C278758"/>
    <w:rsid w:val="4C67646F"/>
    <w:rsid w:val="4D3433F4"/>
    <w:rsid w:val="4D45AE2A"/>
    <w:rsid w:val="4E2F4434"/>
    <w:rsid w:val="4EB5970F"/>
    <w:rsid w:val="4F5C8603"/>
    <w:rsid w:val="515F5732"/>
    <w:rsid w:val="5212BFAD"/>
    <w:rsid w:val="52E52664"/>
    <w:rsid w:val="5339A57B"/>
    <w:rsid w:val="53A37578"/>
    <w:rsid w:val="54AAEF1D"/>
    <w:rsid w:val="55658D0C"/>
    <w:rsid w:val="561A4571"/>
    <w:rsid w:val="57608C97"/>
    <w:rsid w:val="5774762B"/>
    <w:rsid w:val="583466CF"/>
    <w:rsid w:val="585040E2"/>
    <w:rsid w:val="58BC1B45"/>
    <w:rsid w:val="595140BA"/>
    <w:rsid w:val="5B188E3D"/>
    <w:rsid w:val="5D37D7FE"/>
    <w:rsid w:val="5DB57FEB"/>
    <w:rsid w:val="5DC7BB1E"/>
    <w:rsid w:val="5E27D90B"/>
    <w:rsid w:val="5E6879DC"/>
    <w:rsid w:val="5F1409FE"/>
    <w:rsid w:val="606F78C0"/>
    <w:rsid w:val="60A8C985"/>
    <w:rsid w:val="60D920B7"/>
    <w:rsid w:val="614A9C69"/>
    <w:rsid w:val="61757AFC"/>
    <w:rsid w:val="620B4921"/>
    <w:rsid w:val="62AAAE4B"/>
    <w:rsid w:val="63342658"/>
    <w:rsid w:val="63C11CD1"/>
    <w:rsid w:val="63C2EF9E"/>
    <w:rsid w:val="643043B2"/>
    <w:rsid w:val="6465318A"/>
    <w:rsid w:val="64971A8F"/>
    <w:rsid w:val="64BEBE7C"/>
    <w:rsid w:val="6542E9E3"/>
    <w:rsid w:val="65C26DF6"/>
    <w:rsid w:val="666768FE"/>
    <w:rsid w:val="66F3AF78"/>
    <w:rsid w:val="675A84C2"/>
    <w:rsid w:val="67CD610C"/>
    <w:rsid w:val="680A0497"/>
    <w:rsid w:val="6A182829"/>
    <w:rsid w:val="6A1CED46"/>
    <w:rsid w:val="6A4C9995"/>
    <w:rsid w:val="6AD12A00"/>
    <w:rsid w:val="6BB8BDA7"/>
    <w:rsid w:val="6BC51F58"/>
    <w:rsid w:val="6CAA19FA"/>
    <w:rsid w:val="6D09AFC2"/>
    <w:rsid w:val="6D53E1DA"/>
    <w:rsid w:val="6E776DB3"/>
    <w:rsid w:val="6EE9C512"/>
    <w:rsid w:val="6FB44F01"/>
    <w:rsid w:val="70610557"/>
    <w:rsid w:val="712DA350"/>
    <w:rsid w:val="7306BEE6"/>
    <w:rsid w:val="7429AD1A"/>
    <w:rsid w:val="74B9330C"/>
    <w:rsid w:val="7557E461"/>
    <w:rsid w:val="756F79F5"/>
    <w:rsid w:val="772D2BEE"/>
    <w:rsid w:val="773BBDE1"/>
    <w:rsid w:val="79304B6F"/>
    <w:rsid w:val="7A14F776"/>
    <w:rsid w:val="7B065F0D"/>
    <w:rsid w:val="7BA22EF5"/>
    <w:rsid w:val="7C0D5C19"/>
    <w:rsid w:val="7C869C7D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B33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3398"/>
    <w:rPr>
      <w:b/>
      <w:bCs/>
    </w:rPr>
  </w:style>
  <w:style w:type="character" w:styleId="nfase">
    <w:name w:val="Emphasis"/>
    <w:basedOn w:val="Fontepargpadro"/>
    <w:uiPriority w:val="20"/>
    <w:qFormat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hAnsi="Verdana" w:eastAsia="Times New Roman" w:cs="Times New Roman"/>
      <w:sz w:val="20"/>
      <w:szCs w:val="20"/>
      <w:lang w:val="x-none" w:eastAsia="x-none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2D3FF3"/>
    <w:rPr>
      <w:rFonts w:ascii="Verdana" w:hAnsi="Verdana" w:eastAsia="Times New Roman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hAnsiTheme="minorHAnsi" w:eastAsiaTheme="minorHAnsi" w:cstheme="minorBidi"/>
      <w:b/>
      <w:bCs/>
      <w:lang w:val="pt-BR" w:eastAsia="en-US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04BD8"/>
    <w:rPr>
      <w:rFonts w:ascii="Verdana" w:hAnsi="Verdana" w:eastAsia="Times New Roman" w:cs="Times New Roman"/>
      <w:b/>
      <w:bCs/>
      <w:sz w:val="20"/>
      <w:szCs w:val="20"/>
      <w:lang w:val="x-none" w:eastAsia="x-none"/>
    </w:rPr>
  </w:style>
  <w:style w:type="character" w:styleId="cf01" w:customStyle="1">
    <w:name w:val="cf01"/>
    <w:basedOn w:val="Fontepargpadro"/>
    <w:rsid w:val="00354AA2"/>
    <w:rPr>
      <w:rFonts w:hint="default" w:ascii="Segoe UI" w:hAnsi="Segoe UI" w:cs="Segoe UI"/>
      <w:sz w:val="18"/>
      <w:szCs w:val="18"/>
    </w:rPr>
  </w:style>
  <w:style w:type="character" w:styleId="normaltextrun" w:customStyle="1">
    <w:name w:val="normaltextrun"/>
    <w:basedOn w:val="Fontepargpadro"/>
    <w:rsid w:val="00661CF3"/>
  </w:style>
  <w:style w:type="character" w:styleId="eop" w:customStyle="1">
    <w:name w:val="eop"/>
    <w:basedOn w:val="Fontepargpadro"/>
    <w:rsid w:val="00661CF3"/>
  </w:style>
  <w:style w:type="paragraph" w:styleId="paragraph" w:customStyle="1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rsid w:val="00012123"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styleId="cf11" w:customStyle="1">
    <w:name w:val="cf11"/>
    <w:basedOn w:val="Fontepargpadro"/>
    <w:rsid w:val="005B7851"/>
    <w:rPr>
      <w:rFonts w:hint="default" w:ascii="Segoe UI" w:hAnsi="Segoe UI" w:cs="Segoe UI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CitaoChar" w:customStyle="1">
    <w:name w:val="Citação Char"/>
    <w:basedOn w:val="Fontepargpadro"/>
    <w:link w:val="Citao"/>
    <w:uiPriority w:val="29"/>
    <w:rsid w:val="00770E7F"/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styleId="Ttulos" w:customStyle="1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styleId="TtulosChar" w:customStyle="1">
    <w:name w:val="Títulos Char"/>
    <w:basedOn w:val="CitaoChar"/>
    <w:link w:val="Ttulos"/>
    <w:rsid w:val="002D127E"/>
    <w:rPr>
      <w:rFonts w:ascii="Arial" w:hAnsi="Arial" w:eastAsia="Times New Roman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3624B4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85420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CorpodetextoChar" w:customStyle="1">
    <w:name w:val="Corpo de texto Char"/>
    <w:basedOn w:val="Fontepargpadro"/>
    <w:link w:val="Corpodetexto"/>
    <w:uiPriority w:val="99"/>
    <w:semiHidden/>
    <w:rsid w:val="00854204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dispositivo-publicacao" w:customStyle="1">
    <w:name w:val="dispositivo-publicacao"/>
    <w:basedOn w:val="Fontepargpadro"/>
    <w:rsid w:val="00EE15D3"/>
  </w:style>
  <w:style w:type="paragraph" w:styleId="pf0" w:customStyle="1">
    <w:name w:val="pf0"/>
    <w:basedOn w:val="Normal"/>
    <w:rsid w:val="005A45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92EFA"/>
    <w:pPr>
      <w:spacing w:after="120"/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492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516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046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555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433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058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3410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378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682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3028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854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5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1177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4520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595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7283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413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9012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P="00730800" w:rsidRDefault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P="00465A25" w:rsidRDefault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P="00465A25" w:rsidRDefault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P="00465A25" w:rsidRDefault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5FC6"/>
    <w:rsid w:val="0005400A"/>
    <w:rsid w:val="001E000B"/>
    <w:rsid w:val="001E2AC0"/>
    <w:rsid w:val="001F4D6E"/>
    <w:rsid w:val="00320509"/>
    <w:rsid w:val="003770ED"/>
    <w:rsid w:val="00465A25"/>
    <w:rsid w:val="004702F4"/>
    <w:rsid w:val="00543441"/>
    <w:rsid w:val="005A5759"/>
    <w:rsid w:val="006335DA"/>
    <w:rsid w:val="006712ED"/>
    <w:rsid w:val="00685D0A"/>
    <w:rsid w:val="006D4909"/>
    <w:rsid w:val="00730800"/>
    <w:rsid w:val="007445E7"/>
    <w:rsid w:val="0078729F"/>
    <w:rsid w:val="00841FD0"/>
    <w:rsid w:val="00846F33"/>
    <w:rsid w:val="0088673C"/>
    <w:rsid w:val="008C4978"/>
    <w:rsid w:val="008E1EAF"/>
    <w:rsid w:val="00987CDD"/>
    <w:rsid w:val="009C3899"/>
    <w:rsid w:val="009C4A49"/>
    <w:rsid w:val="009C6418"/>
    <w:rsid w:val="00A61281"/>
    <w:rsid w:val="00A8549A"/>
    <w:rsid w:val="00AC65BB"/>
    <w:rsid w:val="00AD39C4"/>
    <w:rsid w:val="00AE4069"/>
    <w:rsid w:val="00BB1667"/>
    <w:rsid w:val="00BC4404"/>
    <w:rsid w:val="00C27C12"/>
    <w:rsid w:val="00C3760B"/>
    <w:rsid w:val="00C41471"/>
    <w:rsid w:val="00C5221D"/>
    <w:rsid w:val="00C86617"/>
    <w:rsid w:val="00C91009"/>
    <w:rsid w:val="00CE570B"/>
    <w:rsid w:val="00D15DFE"/>
    <w:rsid w:val="00DB0BD1"/>
    <w:rsid w:val="00DE5331"/>
    <w:rsid w:val="00E146AD"/>
    <w:rsid w:val="00E424BA"/>
    <w:rsid w:val="00E70F9E"/>
    <w:rsid w:val="00E93A8D"/>
    <w:rsid w:val="00ED129B"/>
    <w:rsid w:val="00F01B71"/>
    <w:rsid w:val="00F43756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CE7C68BF-DC65-494B-A7E8-CA2BC56A7B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832FCD-D7DA-47AE-BD37-24EAE669C8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GDSXSR</dc:creator>
  <keywords/>
  <dc:description/>
  <lastModifiedBy>Des. Sérgio Rocha</lastModifiedBy>
  <revision>15</revision>
  <dcterms:created xsi:type="dcterms:W3CDTF">2025-02-13T17:24:00.0000000Z</dcterms:created>
  <dcterms:modified xsi:type="dcterms:W3CDTF">2025-02-18T01:02:54.9783908Z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