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:rsidTr="650595E1" w14:paraId="4680266B" w14:textId="77777777">
        <w:trPr>
          <w:gridAfter w:val="1"/>
          <w:wAfter w:w="219" w:type="dxa"/>
        </w:trPr>
        <w:tc>
          <w:tcPr>
            <w:tcW w:w="2822" w:type="dxa"/>
            <w:tcMar/>
            <w:hideMark/>
          </w:tcPr>
          <w:p w:rsidR="00264107" w:rsidRDefault="00264107" w14:paraId="6DE29C9C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tcMar/>
            <w:hideMark/>
          </w:tcPr>
          <w:p w:rsidR="00264107" w:rsidRDefault="00264107" w14:paraId="299F0D40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2DA0D32B" w:rsidRDefault="00264107" w14:paraId="55CC1E66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:rsidR="00264107" w:rsidRDefault="00264107" w14:paraId="12B71A35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RDefault="00264107" w14:paraId="15750CFE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  <w:tr w:rsidRPr="009F36E1" w:rsidR="004236F7" w:rsidTr="650595E1" w14:paraId="506E1C45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1B672758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5F5D25D2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RDefault="00000000" w14:paraId="1380D4BD" w14:textId="77777777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Pr="009F36E1" w:rsidR="004236F7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Pr="009F36E1" w:rsidR="004236F7" w:rsidTr="650595E1" w14:paraId="722A4191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2B3F531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376372E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sdt>
            <w:sdt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  <w:rPr>
                <w:rFonts w:cs="Arial"/>
                <w:i w:val="0"/>
                <w:iCs w:val="0"/>
                <w:sz w:val="28"/>
                <w:szCs w:val="28"/>
              </w:rPr>
            </w:sdtPr>
            <w:sdtContent>
              <w:p w:rsidRPr="009F36E1" w:rsidR="004236F7" w:rsidRDefault="004236F7" w14:paraId="7D3B975A" w14:textId="7777777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  <w:sdtEndPr>
              <w:rPr>
                <w:rFonts w:cs="Arial"/>
                <w:i w:val="0"/>
                <w:iCs w:val="0"/>
                <w:sz w:val="28"/>
                <w:szCs w:val="28"/>
              </w:rPr>
            </w:sdtEndPr>
          </w:sdt>
        </w:tc>
      </w:tr>
      <w:tr w:rsidRPr="009F36E1" w:rsidR="004236F7" w:rsidTr="650595E1" w14:paraId="185BA19B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5A224AD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709DFAF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RDefault="004236F7" w14:paraId="77B2906D" w14:textId="42DDACFD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650595E1" w:rsidR="303A7B14">
              <w:rPr>
                <w:rFonts w:ascii="Arial" w:hAnsi="Arial" w:cs="Arial"/>
                <w:sz w:val="28"/>
                <w:szCs w:val="28"/>
              </w:rPr>
              <w:t>0742426-09.2026.8.07.0000</w:t>
            </w:r>
          </w:p>
        </w:tc>
      </w:tr>
      <w:tr w:rsidRPr="009F36E1" w:rsidR="004236F7" w:rsidTr="650595E1" w14:paraId="4B19599A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F63CDB" w:rsidR="004236F7" w:rsidRDefault="00000000" w14:paraId="0E538277" w14:textId="77777777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4236F7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Pr="00F63CDB" w:rsidR="004236F7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34C0C9D3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P="650595E1" w:rsidRDefault="004236F7" w14:paraId="630B7F23" w14:textId="1C17313B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650595E1" w:rsidR="1D0C8FA4">
              <w:rPr>
                <w:rFonts w:ascii="Arial" w:hAnsi="Arial" w:cs="Arial"/>
                <w:sz w:val="28"/>
                <w:szCs w:val="28"/>
              </w:rPr>
              <w:t>LAURA ALVES PAULINO</w:t>
            </w:r>
          </w:p>
        </w:tc>
      </w:tr>
      <w:tr w:rsidRPr="009F36E1" w:rsidR="004236F7" w:rsidTr="650595E1" w14:paraId="01956A99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000000" w14:paraId="268F3466" w14:textId="77777777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eastAsia="Times New Roman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4236F7">
                  <w:rPr>
                    <w:rFonts w:ascii="Arial" w:hAnsi="Arial" w:eastAsia="Times New Roman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Pr="009F36E1" w:rsidR="004236F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Pr="009F36E1" w:rsidR="004236F7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5EDA038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P="650595E1" w:rsidRDefault="004236F7" w14:paraId="6CC5F6AE" w14:textId="75961828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650595E1" w:rsidR="64B2D6F6">
              <w:rPr>
                <w:rFonts w:ascii="Arial" w:hAnsi="Arial" w:cs="Arial"/>
                <w:sz w:val="28"/>
                <w:szCs w:val="28"/>
              </w:rPr>
              <w:t>LS&amp;M ASSESSORIA LTDA</w:t>
            </w:r>
          </w:p>
        </w:tc>
      </w:tr>
      <w:tr w:rsidRPr="009F36E1" w:rsidR="004236F7" w:rsidTr="650595E1" w14:paraId="04C2C9E0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tcMar/>
            <w:vAlign w:val="center"/>
          </w:tcPr>
          <w:p w:rsidRPr="009F36E1" w:rsidR="004236F7" w:rsidRDefault="004236F7" w14:paraId="5C272CF2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tcMar/>
            <w:vAlign w:val="center"/>
          </w:tcPr>
          <w:p w:rsidRPr="009F36E1" w:rsidR="004236F7" w:rsidRDefault="004236F7" w14:paraId="65F4370D" w14:textId="7777777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tcMar/>
            <w:vAlign w:val="center"/>
          </w:tcPr>
          <w:p w:rsidRPr="009F36E1" w:rsidR="004236F7" w:rsidRDefault="004236F7" w14:paraId="64F0CBAE" w14:textId="7777777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>
      <w:pPr>
        <w:spacing w:line="360" w:lineRule="auto" w:after="0" w:before="0"/>
        <w:jc w:val="left"/>
      </w:pPr>
      <w:commentRangeStart w:id="6"/>
      <w:r>
        <w:rPr>
          <w:rFonts w:ascii="Arial" w:hAnsi="Arial" w:cs="Arial"/>
          <w:b/>
          <w:i w:val="0"/>
          <w:sz w:val="28"/>
        </w:rPr>
        <w:t xml:space="preserve">EMENTA</w:t>
      </w:r>
      <w:commentRangeEnd w:id="6"/>
      <w:r>
        <w:rPr>
          <w:rStyle w:val="CommentReference"/>
        </w:rPr>
        <w:commentReference w:id="6"/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 xml:space="preserve">AGRAVO DE INSTRUMENTO. DIREITO PROCESSUAL CIVIL. CUMPRIMENTO DE SENTENÇA. PRESCRIÇÃO INTERCORRENTE. REDAÇÃO ORIGINAL DO CPC 921 § 4º. INÉRCIA DO EXEQUENTE NÃO CONFIGURADA. CONSTRIÇÃO PATRIMONIAL DE VALOR REDUZIDO. CAUSA INTERRUPTIVA. FUNDAMENTAÇÃO SUFICIENTE. RECURSO NÃO PROVIDO.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 xml:space="preserve">I. Caso em exame</w:t>
      </w:r>
    </w:p>
    <w:p>
      <w:pPr>
        <w:spacing w:line="360" w:lineRule="auto" w:after="0" w:before="0"/>
        <w:jc w:val="both"/>
      </w:pPr>
      <w:commentRangeStart w:id="7"/>
      <w:r>
        <w:rPr>
          <w:rFonts w:ascii="Arial" w:hAnsi="Arial" w:cs="Arial"/>
          <w:b w:val="0"/>
          <w:i w:val="0"/>
          <w:sz w:val="28"/>
        </w:rPr>
        <w:t xml:space="preserve">1. Cumprimento de sentença proposto por LS&amp;M Assessoria Ltda. contra pessoa natural, advogada que atua em causa própria, oriundo de ação monitória fundada em cheque prescrito (R$ 28.011,03).</w:t>
      </w:r>
      <w:commentRangeEnd w:id="7"/>
      <w:r>
        <w:rPr>
          <w:rStyle w:val="CommentReference"/>
        </w:rPr>
        <w:commentReference w:id="7"/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 xml:space="preserve">2. A decisão agravada indeferiu o pedido de reconhecimento da prescrição intercorrente, por haver constrição patrimonial efetiva e penhoras no rosto de outros autos.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 xml:space="preserve">3. A executada agrava sustentando que as constrições anteriores ao termo final da prescrição foram irrisórias e sem aptidão interruptiva, que o alvará e as penhoras no rosto dos autos são posteriores a esse termo e que a decisão é nula por falta de fundamentação, e requer a extinção do cumprimento de sentença ou, subsidiariamente, a anulação da decisão.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 xml:space="preserve">II. Questão em discussão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 xml:space="preserve">4. Há duas questões em discussão: (i) saber se a constrição patrimonial de valor reduzido interrompeu a prescrição intercorrente; e (ii) saber se a decisão agravada é nula por falta de fundamentação.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 xml:space="preserve">III. Razões de decidir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 xml:space="preserve">5. Suspensa a execução em 18/12/2018, antes da Lei 14.195/2021, incide a redação original do CPC 921 § 4º, que condiciona a prescrição intercorrente à inércia do exequente, inexistente quando as diligências são contínuas (CPC 921 § 4º; AREsp nº 3.164.378/PR).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 xml:space="preserve">6. A constrição patrimonial, ainda que de valor reduzido, interrompe a prescrição intercorrente, e o valor reduzido da quantia bloqueada não descaracteriza o ato constritivo exigido pelo Tema 568/STJ (Acórdão nº 2057800).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 xml:space="preserve">7. O bloqueio realizado em junho de 2020 foi convertido em penhora em 04/06/2020 (ID 64736819, do processo de origem) e nova penhora foi deferida em 18/03/2025 (ID 229047968, do processo de origem), em intervalo inferior a cinco anos, sem inércia da exequente (CC 202 parágrafo único; CC 206 § 5º I e 206-A), o que afasta a prescrição intercorrente independentemente do acréscimo de 141 dias da Lei 14.010/2020 (art. 3º).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 xml:space="preserve">8. A decisão agravada enfrentou a tese da irrisoriedade das constrições, e a matéria devolvida foi examinada no julgamento do agravo, o que afasta a nulidade por falta de fundamentação (CPC 489 § 1º IV e VI; CPC 282 § 1º).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 xml:space="preserve">IV. Dispositivo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</w:rPr>
        <w:t xml:space="preserve">9. Negou-se provimento ao agravo de instrumento da executada.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sz w:val="28"/>
          <w:u w:val="single"/>
        </w:rPr>
        <w:t xml:space="preserve"/>
      </w:r>
    </w:p>
    <w:p>
      <w:pPr>
        <w:spacing w:line="360" w:lineRule="auto" w:after="0" w:before="0"/>
        <w:jc w:val="both"/>
      </w:pPr>
      <w:commentRangeStart w:id="8"/>
      <w:r>
        <w:rPr>
          <w:rFonts w:ascii="Arial" w:hAnsi="Arial" w:cs="Arial"/>
          <w:b w:val="0"/>
          <w:i/>
          <w:sz w:val="28"/>
        </w:rPr>
        <w:t xml:space="preserve">Dispositivos relevantes citados:</w:t>
      </w:r>
      <w:r>
        <w:rPr>
          <w:rFonts w:ascii="Arial" w:hAnsi="Arial" w:cs="Arial"/>
          <w:b w:val="0"/>
          <w:i w:val="0"/>
          <w:sz w:val="28"/>
        </w:rPr>
        <w:t xml:space="preserve"> CPC, arts. 282, § 1º, 489, § 1º, IV e VI, e 921, § 4º; CC, arts. 202, parágrafo único, 206, § 5º, I, e 206-A; Lei nº 14.010/2020, art. 3º.</w:t>
      </w:r>
      <w:commentRangeEnd w:id="8"/>
      <w:r>
        <w:rPr>
          <w:rStyle w:val="CommentReference"/>
        </w:rPr>
        <w:commentReference w:id="8"/>
      </w:r>
    </w:p>
    <w:p>
      <w:pPr>
        <w:spacing w:line="360" w:lineRule="auto" w:after="0" w:before="0"/>
        <w:jc w:val="both"/>
      </w:pPr>
      <w:commentRangeStart w:id="9"/>
      <w:r>
        <w:rPr>
          <w:rFonts w:ascii="Arial" w:hAnsi="Arial" w:cs="Arial"/>
          <w:b w:val="0"/>
          <w:i/>
          <w:sz w:val="28"/>
        </w:rPr>
        <w:t xml:space="preserve">Jurisprudência relevante citada:</w:t>
      </w:r>
      <w:r>
        <w:rPr>
          <w:rFonts w:ascii="Arial" w:hAnsi="Arial" w:cs="Arial"/>
          <w:b w:val="0"/>
          <w:i w:val="0"/>
          <w:sz w:val="28"/>
        </w:rPr>
        <w:t xml:space="preserve"> STJ, AREsp nº 3.164.378/PR, Rel. Min. João Otávio de Noronha, Quarta Turma, j. 30/06/2026, DJEN 06/07/2026; STJ, REsp nº 1.340.553/RS, Rel. Min. Mauro Campbell Marques, Primeira Seção, j. 12/09/2018, DJe 16/10/2018, Tema 568; TJDFT, Acórdão nº 2057800, Processo nº 0703988-43.2019.8.07.0004, Rel. Des. Carlos Pires Soares Neto, 1ª Turma Cível, j. 15/10/2025, DJe 03/11/2025.</w:t>
      </w:r>
      <w:commentRangeEnd w:id="9"/>
      <w:r>
        <w:rPr>
          <w:rStyle w:val="CommentReference"/>
        </w:rPr>
        <w:commentReference w:id="9"/>
      </w:r>
    </w:p>
    <w:p>
      <w:pPr>
        <w:spacing w:line="360" w:lineRule="auto" w:after="0"/>
        <w:ind w:firstLine="2268"/>
      </w:pP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  <w:highlight w:val="yellow"/>
        </w:rPr>
        <w:t xml:space="preserve">RESUMO DO AGRAVO DE INSTRUMENTO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 xml:space="preserve">I. RAZÕES RECURSAIS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 xml:space="preserve">Termo final da prescrição e Lei 14.010/2020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 xml:space="preserve">1. Sustenta que a suspensão da execução em 18/12/2018 e os 141 dias de suspensão do art. 3º da Lei 14.010/2020 deslocam o termo final da prescrição para 08/05/2025 (CPC 921 § 1º).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 xml:space="preserve">Irrisoriedade das constrições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 xml:space="preserve">2. Alega que as constrições anteriores a esse termo foram irrisórias (bloqueios de R$ 278,62 e R$ 54,06 e alvará de R$ 685,84, cerca de 2,25% do débito de R$ 30.528,98) e não têm aptidão interruptiva, pois o Tema 568/STJ exige efetiva constrição, com utilidade executiva concreta.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 xml:space="preserve">Atos posteriores ao termo final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 xml:space="preserve">3. Sustenta que o alvará de levantamento (20 e 21/05/2025) e as penhoras no rosto dos autos (25/08/2025 e 28/05/2026) são posteriores ao termo final e não revivem pretensão já prescrita.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 xml:space="preserve">Restituição do imposto de renda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 xml:space="preserve">4. Alega que a tentativa de penhora da restituição do imposto de renda foi infrutífera, pois a Receita Federal informou que o crédito já havia sido pago, e que atividade processual não equivale a resultado interruptivo.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 xml:space="preserve">Nulidade da decisão agravada</w:t>
      </w:r>
    </w:p>
    <w:p>
      <w:pPr>
        <w:spacing w:line="360" w:lineRule="auto" w:after="0" w:before="0"/>
        <w:ind w:hanging="357" w:left="720"/>
        <w:jc w:val="both"/>
      </w:pPr>
      <w:r>
        <w:rPr>
          <w:rFonts w:ascii="Arial" w:hAnsi="Arial" w:cs="Arial"/>
          <w:b w:val="0"/>
          <w:i w:val="0"/>
          <w:color w:val="EE0000"/>
          <w:sz w:val="28"/>
        </w:rPr>
        <w:t xml:space="preserve">5. Subsidiariamente, sustenta que a decisão é nula por não enfrentar os valores exatos das constrições, a tese da irrisoriedade, os Acórdãos 2129421 e 2050585 do TJDFT, as penhoras posteriores ao prazo e a suspensão de 141 dias (CPC 489 § 1º IV e VI).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color w:val="EE0000"/>
          <w:sz w:val="28"/>
        </w:rPr>
        <w:t xml:space="preserve">II. PEDIDO</w:t>
      </w:r>
    </w:p>
    <w:p>
      <w:pPr>
        <w:spacing w:line="360" w:lineRule="auto" w:after="0" w:before="0"/>
        <w:ind w:hanging="357" w:left="720"/>
        <w:jc w:val="both"/>
      </w:pPr>
      <w:commentRangeStart w:id="10"/>
      <w:r>
        <w:rPr>
          <w:rFonts w:ascii="Arial" w:hAnsi="Arial" w:cs="Arial"/>
          <w:b w:val="0"/>
          <w:i w:val="0"/>
          <w:color w:val="EE0000"/>
          <w:sz w:val="28"/>
        </w:rPr>
        <w:t xml:space="preserve">6. Requer a tutela recursal para suspender o cumprimento de sentença e, no mérito, a reforma da decisão para reconhecer a prescrição intercorrente consumada em 08/05/2025, extinguir o cumprimento de sentença e tornar sem efeito os atos posteriores, inclusive as penhoras no rosto dos autos; subsidiariamente, a anulação da decisão (ID 89412420).</w:t>
      </w:r>
      <w:commentRangeEnd w:id="10"/>
      <w:r>
        <w:rPr>
          <w:rStyle w:val="CommentReference"/>
        </w:rPr>
        <w:commentReference w:id="10"/>
      </w: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 xml:space="preserve">RELATÓRIO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Adoto o relatório da liminar (ID 89607864):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1134" w:left="2268"/>
        <w:jc w:val="both"/>
      </w:pPr>
      <w:commentRangeStart w:id="11"/>
      <w:r>
        <w:rPr>
          <w:rFonts w:ascii="Arial" w:hAnsi="Arial" w:cs="Arial"/>
          <w:b w:val="0"/>
          <w:i/>
          <w:sz w:val="26"/>
        </w:rPr>
        <w:t xml:space="preserve">“Trata-se de cumprimento de sentença promovido por LS&amp;M ASSESSORIA LTDA contra LAURA ALVES PAULINO, oriundo de ação monitória fundada em cheque prescrito (valor da causa — R$ 28.011,03) (ID 22801192, processo de origem).</w:t>
      </w:r>
      <w:commentRangeEnd w:id="11"/>
      <w:r>
        <w:rPr>
          <w:rStyle w:val="CommentReference"/>
        </w:rPr>
        <w:commentReference w:id="11"/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O d. Juízo de origem indeferiu o pedido de reconhecimento da prescrição intercorrente, por haver constrição patrimonial efetiva e penhoras no rosto de outros autos.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Inconformada, a executada interpõe o presente agravo de instrumento, sustentando que: 1) a suspensão da execução em 18/12/2018 e os 141 dias do art. 3º da Lei 14.010/2020 deslocaram o termo final da prescrição para 08/05/2025; 2) as constrições anteriores a essa data foram irrisórias, pois somam R$ 685,84 diante de débito de R$ 30.528,98, e não têm aptidão interruptiva; 3) o alvará de levantamento e as penhoras no rosto dos autos são posteriores ao termo final e não revivem pretensão extinta; e 4) a decisão não examinou os valores nem os precedentes invocados, o que atrai a nulidade do CPC 489 § 1º IV e VI.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Pede a sustação do cumprimento de sentença e das penhoras no rosto dos autos e, no mérito, a extinção da execução (ID 89412420).”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Indeferi a antecipação da tutela recursal (ID 89607864).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commentRangeStart w:id="12"/>
      <w:r>
        <w:rPr>
          <w:rFonts w:ascii="Arial" w:hAnsi="Arial" w:cs="Arial"/>
          <w:b w:val="0"/>
          <w:i w:val="0"/>
          <w:sz w:val="28"/>
        </w:rPr>
        <w:t xml:space="preserve">Em contrarrazões (ID 90785857), a agravada, LS&amp;M ASSESSORIA LTDA., sustenta que: </w:t>
      </w:r>
      <w:r>
        <w:rPr>
          <w:rFonts w:ascii="Arial" w:hAnsi="Arial" w:cs="Arial"/>
          <w:b/>
          <w:i w:val="0"/>
          <w:sz w:val="28"/>
        </w:rPr>
        <w:t xml:space="preserve">1)</w:t>
      </w:r>
      <w:r>
        <w:rPr>
          <w:rFonts w:ascii="Arial" w:hAnsi="Arial" w:cs="Arial"/>
          <w:b w:val="0"/>
          <w:i w:val="0"/>
          <w:sz w:val="28"/>
        </w:rPr>
        <w:t xml:space="preserve"> sob a redação original do CPC 921 § 4º, a prescrição intercorrente exige inércia do exequente, inexistente porque a credora impulsionou a execução desde 14/01/2019; </w:t>
      </w:r>
      <w:r>
        <w:rPr>
          <w:rFonts w:ascii="Arial" w:hAnsi="Arial" w:cs="Arial"/>
          <w:b/>
          <w:i w:val="0"/>
          <w:sz w:val="28"/>
        </w:rPr>
        <w:t xml:space="preserve">2)</w:t>
      </w:r>
      <w:r>
        <w:rPr>
          <w:rFonts w:ascii="Arial" w:hAnsi="Arial" w:cs="Arial"/>
          <w:b w:val="0"/>
          <w:i w:val="0"/>
          <w:sz w:val="28"/>
        </w:rPr>
        <w:t xml:space="preserve"> os bloqueios e a conversão em penhora, admitidos pela agravante, interromperam a prescrição, e a lei não distingue constrição de valor reduzido; </w:t>
      </w:r>
      <w:r>
        <w:rPr>
          <w:rFonts w:ascii="Arial" w:hAnsi="Arial" w:cs="Arial"/>
          <w:b/>
          <w:i w:val="0"/>
          <w:sz w:val="28"/>
        </w:rPr>
        <w:t xml:space="preserve">3)</w:t>
      </w:r>
      <w:r>
        <w:rPr>
          <w:rFonts w:ascii="Arial" w:hAnsi="Arial" w:cs="Arial"/>
          <w:b w:val="0"/>
          <w:i w:val="0"/>
          <w:sz w:val="28"/>
        </w:rPr>
        <w:t xml:space="preserve"> o alvará não é o marco interruptivo e as penhoras no rosto dos autos são eficazes, pois a pretensão nunca esteve prescrita; e </w:t>
      </w:r>
      <w:r>
        <w:rPr>
          <w:rFonts w:ascii="Arial" w:hAnsi="Arial" w:cs="Arial"/>
          <w:b/>
          <w:i w:val="0"/>
          <w:sz w:val="28"/>
        </w:rPr>
        <w:t xml:space="preserve">4)</w:t>
      </w:r>
      <w:r>
        <w:rPr>
          <w:rFonts w:ascii="Arial" w:hAnsi="Arial" w:cs="Arial"/>
          <w:b w:val="0"/>
          <w:i w:val="0"/>
          <w:sz w:val="28"/>
        </w:rPr>
        <w:t xml:space="preserve"> a decisão agravada está suficientemente fundamentada, não havendo nulidade sem prejuízo.</w:t>
      </w:r>
      <w:commentRangeEnd w:id="12"/>
      <w:r>
        <w:rPr>
          <w:rStyle w:val="CommentReference"/>
        </w:rPr>
        <w:commentReference w:id="12"/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É o relatório.</w:t>
      </w: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 xml:space="preserve">VOTO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both"/>
      </w:pPr>
      <w:r>
        <w:rPr>
          <w:rFonts w:ascii="Arial" w:hAnsi="Arial" w:cs="Arial"/>
          <w:b/>
          <w:i w:val="0"/>
          <w:sz w:val="28"/>
        </w:rPr>
        <w:t xml:space="preserve">O Senhor Desembargador SÉRGIO ROCHA – Relator.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 xml:space="preserve">AGRAVO DE INSTRUMENTO DA EXECUTADA, LAURA ALVES PAULINO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commentRangeStart w:id="13"/>
      <w:r>
        <w:rPr>
          <w:rFonts w:ascii="Arial" w:hAnsi="Arial" w:cs="Arial"/>
          <w:b w:val="0"/>
          <w:i w:val="0"/>
          <w:sz w:val="28"/>
        </w:rPr>
        <w:t xml:space="preserve">Presentes os pressupostos de admissibilidade, conheço do agravo de instrumento.</w:t>
      </w:r>
      <w:commentRangeEnd w:id="13"/>
      <w:r>
        <w:rPr>
          <w:rStyle w:val="CommentReference"/>
        </w:rPr>
        <w:commentReference w:id="13"/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center"/>
      </w:pPr>
      <w:r>
        <w:rPr>
          <w:rFonts w:ascii="Arial" w:hAnsi="Arial" w:cs="Arial"/>
          <w:b w:val="0"/>
          <w:i w:val="0"/>
          <w:sz w:val="28"/>
          <w:highlight w:val="yellow"/>
        </w:rPr>
        <w:t xml:space="preserve">DA INOCORRÊNCIA DA PRESCRIÇÃO INTERCORRENTE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A executada/agravante alega que: </w:t>
      </w:r>
      <w:r>
        <w:rPr>
          <w:rFonts w:ascii="Arial" w:hAnsi="Arial" w:cs="Arial"/>
          <w:b/>
          <w:i w:val="0"/>
          <w:sz w:val="28"/>
        </w:rPr>
        <w:t xml:space="preserve">1)</w:t>
      </w:r>
      <w:r>
        <w:rPr>
          <w:rFonts w:ascii="Arial" w:hAnsi="Arial" w:cs="Arial"/>
          <w:b w:val="0"/>
          <w:i w:val="0"/>
          <w:sz w:val="28"/>
        </w:rPr>
        <w:t xml:space="preserve"> a suspensão da execução em 18/12/2018 e os 141 dias do art. 3º da Lei 14.010/2020 deslocaram o termo final da prescrição para 08/05/2025; </w:t>
      </w:r>
      <w:r>
        <w:rPr>
          <w:rFonts w:ascii="Arial" w:hAnsi="Arial" w:cs="Arial"/>
          <w:b/>
          <w:i w:val="0"/>
          <w:sz w:val="28"/>
        </w:rPr>
        <w:t xml:space="preserve">2)</w:t>
      </w:r>
      <w:r>
        <w:rPr>
          <w:rFonts w:ascii="Arial" w:hAnsi="Arial" w:cs="Arial"/>
          <w:b w:val="0"/>
          <w:i w:val="0"/>
          <w:sz w:val="28"/>
        </w:rPr>
        <w:t xml:space="preserve"> as constrições anteriores a essa data foram irrisórias, pois somam R$ 685,84 diante de débito de R$ 30.528,98, e não têm aptidão interruptiva; e </w:t>
      </w:r>
      <w:r>
        <w:rPr>
          <w:rFonts w:ascii="Arial" w:hAnsi="Arial" w:cs="Arial"/>
          <w:b/>
          <w:i w:val="0"/>
          <w:sz w:val="28"/>
        </w:rPr>
        <w:t xml:space="preserve">3)</w:t>
      </w:r>
      <w:r>
        <w:rPr>
          <w:rFonts w:ascii="Arial" w:hAnsi="Arial" w:cs="Arial"/>
          <w:b w:val="0"/>
          <w:i w:val="0"/>
          <w:sz w:val="28"/>
        </w:rPr>
        <w:t xml:space="preserve"> o alvará de levantamento e as penhoras no rosto dos autos são posteriores ao termo final e não revivem pretensão extinta (ID 89412420).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Requer a reforma da r. decisão para reconhecer a prescrição intercorrente consumada em 08/05/2025, extinguir o cumprimento de sentença e tornar sem efeito os atos executivos posteriores, inclusive as penhoras no rosto dos autos (ID 89412420).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</w:rPr>
        <w:t xml:space="preserve">Sem razão.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commentRangeStart w:id="14"/>
      <w:r>
        <w:rPr>
          <w:rFonts w:ascii="Arial" w:hAnsi="Arial" w:cs="Arial"/>
          <w:b w:val="0"/>
          <w:i w:val="0"/>
          <w:sz w:val="28"/>
        </w:rPr>
        <w:t xml:space="preserve">Mantenho as razões expostas na decisão liminar que indeferiu a antecipação da tutela recursal (ID 89607864):</w:t>
      </w:r>
      <w:commentRangeEnd w:id="14"/>
      <w:r>
        <w:rPr>
          <w:rStyle w:val="CommentReference"/>
        </w:rPr>
        <w:commentReference w:id="14"/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“Sem razão, inicialmente, a agravante.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A decisão agravada indeferiu o pedido da executada e tem conteúdo negativo. Pela fungibilidade das tutelas de urgência, recebo o pedido de efeito suspensivo como antecipação de tutela recursal.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Não vislumbro a probabilidade do direito alegado, ao menos nesta sede de cognição sumária.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A execução foi suspensa em 18/12/2018, antes da Lei 14.195/2021 (ID 26767311, processo de origem).</w:t>
      </w:r>
    </w:p>
    <w:p>
      <w:pPr>
        <w:spacing w:line="360" w:lineRule="auto" w:after="0" w:before="0"/>
        <w:ind w:firstLine="1134" w:left="2268"/>
        <w:jc w:val="both"/>
      </w:pPr>
      <w:commentRangeStart w:id="15"/>
      <w:r>
        <w:rPr>
          <w:rFonts w:ascii="Arial" w:hAnsi="Arial" w:cs="Arial"/>
          <w:b w:val="0"/>
          <w:i/>
          <w:sz w:val="26"/>
        </w:rPr>
        <w:t xml:space="preserve">Incide a redação original do CPC 921 § 4º, que condiciona a prescrição intercorrente à inércia do exequente.</w:t>
      </w:r>
      <w:commentRangeEnd w:id="15"/>
      <w:r>
        <w:rPr>
          <w:rStyle w:val="CommentReference"/>
        </w:rPr>
        <w:commentReference w:id="15"/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Nesse sentido: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 xml:space="preserve">‘1. Aplica-se o entendimento de que a Lei n. 14.195/2021 não retroage para alterar o termo inicial e a dinâmica da prescrição intercorrente prevista no art. 921, § 4º, do CPC na sua redação original. 2. A configuração da prescrição intercorrente sob o CPC/2015, redação original, </w:t>
      </w:r>
      <w:r>
        <w:rPr>
          <w:rFonts w:ascii="Arial" w:hAnsi="Arial" w:cs="Arial"/>
          <w:b w:val="0"/>
          <w:i/>
          <w:sz w:val="26"/>
          <w:u w:val="single"/>
        </w:rPr>
        <w:t xml:space="preserve">exige inércia do exequente após a suspensão ânua; diligências contínuas afastam sua incidência.</w:t>
      </w:r>
      <w:r>
        <w:rPr>
          <w:rFonts w:ascii="Arial" w:hAnsi="Arial" w:cs="Arial"/>
          <w:b w:val="0"/>
          <w:i/>
          <w:sz w:val="26"/>
        </w:rPr>
        <w:t xml:space="preserve">’ (AREsp n. 3.164.378/PR, relator Ministro João Otávio de Noronha, Quarta Turma, julgado em 30/6/2026, DJEN de 6/7/2026.) – Grifei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Os autos não mostram inércia. A exequente obteve pesquisas sucessivas, bloqueios e a conversão em penhora, deferida em 18/03/2025 (ID 229047968, processo de origem).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Conforme constou da r. decisão agravada: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 xml:space="preserve">‘(...) o curso da execução não permaneceu inerte durante o período alegado pela executada. Ao contrário, os autos revelam a prática de sucessivos atos executivos voltados à satisfação do crédito, inclusive com </w:t>
      </w:r>
      <w:r>
        <w:rPr>
          <w:rFonts w:ascii="Arial" w:hAnsi="Arial" w:cs="Arial"/>
          <w:b w:val="0"/>
          <w:i/>
          <w:sz w:val="26"/>
          <w:u w:val="single"/>
        </w:rPr>
        <w:t xml:space="preserve">efetiva constrição patrimonial</w:t>
      </w:r>
      <w:r>
        <w:rPr>
          <w:rFonts w:ascii="Arial" w:hAnsi="Arial" w:cs="Arial"/>
          <w:b w:val="0"/>
          <w:i/>
          <w:sz w:val="26"/>
        </w:rPr>
        <w:t xml:space="preserve">. (...) Ressalte-se, ainda, que a insuficiência dos valores constritos para a quitação integral da dívida não retira a natureza executiva e satisfativa dos atos praticados (...)’ (ID 288091647, processo de origem) – Grifei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No mais, registro que o valor reduzido da quantia bloqueada não descaracteriza o ato constritivo exigido pelo Tema 568/STJ.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Nesse sentido:</w:t>
      </w:r>
    </w:p>
    <w:p>
      <w:pPr>
        <w:spacing w:line="360" w:lineRule="auto" w:after="0" w:before="0"/>
        <w:ind w:firstLine="0" w:left="3402"/>
        <w:jc w:val="both"/>
      </w:pPr>
      <w:r>
        <w:rPr>
          <w:rFonts w:ascii="Arial" w:hAnsi="Arial" w:cs="Arial"/>
          <w:b w:val="0"/>
          <w:i/>
          <w:sz w:val="26"/>
        </w:rPr>
        <w:t xml:space="preserve">‘2. </w:t>
      </w:r>
      <w:r>
        <w:rPr>
          <w:rFonts w:ascii="Arial" w:hAnsi="Arial" w:cs="Arial"/>
          <w:b w:val="0"/>
          <w:i/>
          <w:sz w:val="26"/>
          <w:u w:val="single"/>
        </w:rPr>
        <w:t xml:space="preserve">A constrição patrimonial, ainda que parcial, constitui marco interruptivo da prescrição intercorrente</w:t>
      </w:r>
      <w:r>
        <w:rPr>
          <w:rFonts w:ascii="Arial" w:hAnsi="Arial" w:cs="Arial"/>
          <w:b w:val="0"/>
          <w:i/>
          <w:sz w:val="26"/>
        </w:rPr>
        <w:t xml:space="preserve">, afastando a extinção do processo.’ (Acórdão 2057800, 0703988-43.2019.8.07.0004, Relator(a): CARLOS PIRES SOARES NETO, 1ª TURMA CÍVEL, data de julgamento: 15/10/2025, publicado no DJe: 03/11/2025.) – Grifei</w:t>
      </w:r>
    </w:p>
    <w:p>
      <w:pPr>
        <w:spacing w:line="360" w:lineRule="auto" w:after="0" w:before="0"/>
        <w:ind w:firstLine="1134"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Ante o exposto, indefiro a antecipação da tutela recursal.” (ID 89607864)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commentRangeStart w:id="16"/>
      <w:r>
        <w:rPr>
          <w:rFonts w:ascii="Arial" w:hAnsi="Arial" w:cs="Arial"/>
          <w:b w:val="0"/>
          <w:i w:val="0"/>
          <w:sz w:val="28"/>
        </w:rPr>
        <w:t xml:space="preserve">No caso, o bloqueio de R$ 278,62 e de R$ 54,06, que a agravante situa em 2023, foi realizado em junho de 2020 e convertido em penhora em 04/06/2020 (ID 64736819 e 64736822, do processo de origem).</w:t>
      </w:r>
      <w:commentRangeEnd w:id="16"/>
      <w:r>
        <w:rPr>
          <w:rStyle w:val="CommentReference"/>
        </w:rPr>
        <w:commentReference w:id="16"/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A nova penhora foi deferida em 18/03/2025, menos de cinco anos depois da anterior (ID 229047968, do processo de origem; CC 202 parágrafo único; CC 206 § 5º I e 206-A).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commentRangeStart w:id="17"/>
      <w:r>
        <w:rPr>
          <w:rFonts w:ascii="Arial" w:hAnsi="Arial" w:cs="Arial"/>
          <w:b w:val="0"/>
          <w:i w:val="0"/>
          <w:sz w:val="28"/>
        </w:rPr>
        <w:t xml:space="preserve">Nesse intervalo não houve inércia da exequente, que obteve pesquisas patrimoniais renovadas (ID 102727335, 105877958, 155962538 e 183651992, do processo de origem).</w:t>
      </w:r>
      <w:commentRangeEnd w:id="17"/>
      <w:r>
        <w:rPr>
          <w:rStyle w:val="CommentReference"/>
        </w:rPr>
        <w:commentReference w:id="17"/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Essa conclusão independe do acréscimo de 141 dias pela Lei 14.010/2020 (art. 3º), que só amplia o prazo, e os atos posteriores, como o alvará e as penhoras no rosto dos autos, não precisam ser examinados sob essa perspectiva.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Esse o quadro, não há prescrição intercorrente a reconhecer e deve ser mantida a r. decisão agravada que a rejeitou.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  <w:u w:val="single"/>
        </w:rPr>
        <w:t xml:space="preserve">Assim, nego provimento ao agravo de instrumento, nesse ponto.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center"/>
      </w:pPr>
      <w:r>
        <w:rPr>
          <w:rFonts w:ascii="Arial" w:hAnsi="Arial" w:cs="Arial"/>
          <w:b w:val="0"/>
          <w:i w:val="0"/>
          <w:sz w:val="28"/>
          <w:highlight w:val="yellow"/>
        </w:rPr>
        <w:t xml:space="preserve">DA SUFICIÊNCIA DA FUNDAMENTAÇÃO DA DECISÃO AGRAVADA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A executada/agravante alega que a decisão agravada é nula, pois não enfrentou: </w:t>
      </w:r>
      <w:r>
        <w:rPr>
          <w:rFonts w:ascii="Arial" w:hAnsi="Arial" w:cs="Arial"/>
          <w:b/>
          <w:i w:val="0"/>
          <w:sz w:val="28"/>
        </w:rPr>
        <w:t xml:space="preserve">1)</w:t>
      </w:r>
      <w:r>
        <w:rPr>
          <w:rFonts w:ascii="Arial" w:hAnsi="Arial" w:cs="Arial"/>
          <w:b w:val="0"/>
          <w:i w:val="0"/>
          <w:sz w:val="28"/>
        </w:rPr>
        <w:t xml:space="preserve"> os valores exatos das constrições anteriores ao termo final; </w:t>
      </w:r>
      <w:r>
        <w:rPr>
          <w:rFonts w:ascii="Arial" w:hAnsi="Arial" w:cs="Arial"/>
          <w:b/>
          <w:i w:val="0"/>
          <w:sz w:val="28"/>
        </w:rPr>
        <w:t xml:space="preserve">2)</w:t>
      </w:r>
      <w:r>
        <w:rPr>
          <w:rFonts w:ascii="Arial" w:hAnsi="Arial" w:cs="Arial"/>
          <w:b w:val="0"/>
          <w:i w:val="0"/>
          <w:sz w:val="28"/>
        </w:rPr>
        <w:t xml:space="preserve"> a tese de que eram irrisórios; </w:t>
      </w:r>
      <w:r>
        <w:rPr>
          <w:rFonts w:ascii="Arial" w:hAnsi="Arial" w:cs="Arial"/>
          <w:b/>
          <w:i w:val="0"/>
          <w:sz w:val="28"/>
        </w:rPr>
        <w:t xml:space="preserve">3)</w:t>
      </w:r>
      <w:r>
        <w:rPr>
          <w:rFonts w:ascii="Arial" w:hAnsi="Arial" w:cs="Arial"/>
          <w:b w:val="0"/>
          <w:i w:val="0"/>
          <w:sz w:val="28"/>
        </w:rPr>
        <w:t xml:space="preserve"> os julgados do TJDFT que invocou; </w:t>
      </w:r>
      <w:r>
        <w:rPr>
          <w:rFonts w:ascii="Arial" w:hAnsi="Arial" w:cs="Arial"/>
          <w:b/>
          <w:i w:val="0"/>
          <w:sz w:val="28"/>
        </w:rPr>
        <w:t xml:space="preserve">4)</w:t>
      </w:r>
      <w:r>
        <w:rPr>
          <w:rFonts w:ascii="Arial" w:hAnsi="Arial" w:cs="Arial"/>
          <w:b w:val="0"/>
          <w:i w:val="0"/>
          <w:sz w:val="28"/>
        </w:rPr>
        <w:t xml:space="preserve"> a circunstância de as penhoras no rosto dos autos serem posteriores ao prazo; e </w:t>
      </w:r>
      <w:r>
        <w:rPr>
          <w:rFonts w:ascii="Arial" w:hAnsi="Arial" w:cs="Arial"/>
          <w:b/>
          <w:i w:val="0"/>
          <w:sz w:val="28"/>
        </w:rPr>
        <w:t xml:space="preserve">5)</w:t>
      </w:r>
      <w:r>
        <w:rPr>
          <w:rFonts w:ascii="Arial" w:hAnsi="Arial" w:cs="Arial"/>
          <w:b w:val="0"/>
          <w:i w:val="0"/>
          <w:sz w:val="28"/>
        </w:rPr>
        <w:t xml:space="preserve"> a suspensão de 141 dias da Lei 14.010/2020 (ID 89412420).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Requer, subsidiariamente, a anulação da decisão, com novo pronunciamento sobre os valores, a utilidade concreta das constrições, a cronologia e os precedentes invocados (ID 89412420).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  <w:highlight w:val="yellow"/>
        </w:rPr>
        <w:t xml:space="preserve">Sem razão.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Dispõe o art. 489, § 1º, IV e VI, do CPC: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“Art. 489. (...)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§ 1º Não se considera fundamentada qualquer decisão judicial, seja ela interlocutória, sentença ou acórdão, que: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(...)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IV - não enfrentar todos os argumentos deduzidos no processo capazes de, em tese, infirmar a conclusão adotada pelo julgador;</w:t>
      </w:r>
    </w:p>
    <w:p>
      <w:pPr>
        <w:spacing w:line="360" w:lineRule="auto" w:after="0" w:before="0"/>
        <w:ind w:left="2268"/>
        <w:jc w:val="both"/>
      </w:pPr>
      <w:r>
        <w:rPr>
          <w:rFonts w:ascii="Arial" w:hAnsi="Arial" w:cs="Arial"/>
          <w:b w:val="0"/>
          <w:i/>
          <w:sz w:val="26"/>
        </w:rPr>
        <w:t xml:space="preserve">(...)</w:t>
      </w:r>
    </w:p>
    <w:p>
      <w:pPr>
        <w:spacing w:line="360" w:lineRule="auto" w:after="0" w:before="0"/>
        <w:ind w:left="2268"/>
        <w:jc w:val="both"/>
      </w:pPr>
      <w:commentRangeStart w:id="18"/>
      <w:r>
        <w:rPr>
          <w:rFonts w:ascii="Arial" w:hAnsi="Arial" w:cs="Arial"/>
          <w:b w:val="0"/>
          <w:i/>
          <w:sz w:val="26"/>
        </w:rPr>
        <w:t xml:space="preserve">VI - deixar de seguir enunciado de súmula, jurisprudência ou precedente invocado pela parte, sem demonstrar a existência de distinção no caso em julgamento ou a superação do entendimento.” – Grifei</w:t>
      </w:r>
      <w:commentRangeEnd w:id="18"/>
      <w:r>
        <w:rPr>
          <w:rStyle w:val="CommentReference"/>
        </w:rPr>
        <w:commentReference w:id="18"/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A decisão agravada enfrentou o argumento central da executada, ao assentar que “a insuficiência dos valores constritos para a quitação integral da dívida não retira a natureza executiva e satisfativa dos atos praticados” (ID 288091647, do processo de origem).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Os demais pontos apontados não infirmam essa conclusão, pois as constrições de 2020 e de 2025 interromperam a prescrição, independentemente dos valores exatos, dos atos posteriores e do acréscimo da Lei 14.010/2020.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commentRangeStart w:id="19"/>
      <w:r>
        <w:rPr>
          <w:rFonts w:ascii="Arial" w:hAnsi="Arial" w:cs="Arial"/>
          <w:b w:val="0"/>
          <w:i w:val="0"/>
          <w:sz w:val="28"/>
        </w:rPr>
        <w:t xml:space="preserve">Quanto aos julgados invocados, a decisão agravada aplicou a orientação do Tema 568/STJ, e a matéria devolvida foi examinada neste julgamento, o que afasta qualquer prejuízo (CPC 282 § 1º).</w:t>
      </w:r>
      <w:commentRangeEnd w:id="19"/>
      <w:r>
        <w:rPr>
          <w:rStyle w:val="CommentReference"/>
        </w:rPr>
        <w:commentReference w:id="19"/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Esse o quadro, deve ser mantida a r. decisão agravada que indeferiu o pedido de reconhecimento da prescrição intercorrente.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jc w:val="center"/>
      </w:pPr>
      <w:r>
        <w:rPr>
          <w:rFonts w:ascii="Arial" w:hAnsi="Arial" w:cs="Arial"/>
          <w:b/>
          <w:i w:val="0"/>
          <w:sz w:val="28"/>
        </w:rPr>
        <w:t xml:space="preserve">DISPOSITIVO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Ante o exposto, </w:t>
      </w:r>
      <w:r>
        <w:rPr>
          <w:rFonts w:ascii="Arial" w:hAnsi="Arial" w:cs="Arial"/>
          <w:b/>
          <w:i w:val="0"/>
          <w:sz w:val="28"/>
        </w:rPr>
        <w:t xml:space="preserve">nego provimento</w:t>
      </w:r>
      <w:r>
        <w:rPr>
          <w:rFonts w:ascii="Arial" w:hAnsi="Arial" w:cs="Arial"/>
          <w:b w:val="0"/>
          <w:i w:val="0"/>
          <w:sz w:val="28"/>
        </w:rPr>
        <w:t xml:space="preserve"> ao agravo de instrumento da executada, LAURA ALVES PAULINO.</w:t>
      </w:r>
    </w:p>
    <w:p>
      <w:pPr>
        <w:spacing w:line="360" w:lineRule="auto" w:after="0"/>
        <w:ind w:firstLine="2268"/>
      </w:pPr>
    </w:p>
    <w:p>
      <w:pPr>
        <w:spacing w:line="360" w:lineRule="auto" w:after="0" w:before="0"/>
        <w:ind w:firstLine="2268"/>
        <w:jc w:val="both"/>
      </w:pPr>
      <w:r>
        <w:rPr>
          <w:rFonts w:ascii="Arial" w:hAnsi="Arial" w:cs="Arial"/>
          <w:b w:val="0"/>
          <w:i w:val="0"/>
          <w:sz w:val="28"/>
        </w:rPr>
        <w:t xml:space="preserve">É como voto.</w:t>
      </w:r>
    </w:p>
    <w:p>
      <w:pPr>
        <w:pageBreakBefore/>
        <w:spacing w:line="360" w:lineRule="auto" w:after="0" w:before="0"/>
        <w:jc w:val="center"/>
      </w:pPr>
      <w:r>
        <w:rPr>
          <w:rFonts w:ascii="Arial" w:hAnsi="Arial" w:cs="Arial"/>
          <w:b/>
          <w:i w:val="0"/>
          <w:color w:val="00B050"/>
          <w:sz w:val="27"/>
        </w:rPr>
        <w:t xml:space="preserve">DECISÃO AGRAVADA (ID 288091647, DO PROCESSO DE ORIGEM)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Classe judicial: CUMPRIMENTO DE SENTENÇA (156)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EXEQUENTE: LS&amp;M ASSESSORIA LTDA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REPRESENTANTE LEGAL: MIDLEJ SOCIEDADE DE ADVOGADOS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EXECUTADO: LAURA ALVES PAULINO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DECISÃO INTERLOCUTÓRIA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A prescrição intercorrente exige a paralisação do processo por período correspondente ao prazo de prescrição do direito material, após a prévia suspensão do feito e a inércia da parte exequente, nos termos do art. 921, §§ 1º, 4º e 5º, do CPC.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Com efeito, embora o feito tenha sido suspenso por ausência de bens penhoráveis nos termos da decisão de id. 26767311, o curso da execução não permaneceu inerte durante o período alegado pela executada. Ao contrário, os autos revelam a prática de sucessivos atos executivos voltados à satisfação do crédito, inclusive com efetiva constrição patrimonial.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Conforme se extrai dos autos, houve bloqueio de ativos financeiros via BACENJUD/SISBAJUD, com transferência dos valores para conta judicial, conversão em penhora e posterior levantamento em favor da exequente, circunstância incompatível com a alegação de absoluta ausência de resultado útil da execução.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Além disso, foram deferidas e efetivadas penhoras no rosto dos autos dos processos nº 1019968-42.2025.4.01.3400 e nº 0703409-15.2026.8.07.0016. Tais medidas evidenciam a existência de atividade executiva concreta e atual para localização e vinculação de patrimônio da executada à satisfação do crédito exequendo.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Nesse contexto, não procede a alegação de que o feito permaneceu em estado de absoluta inefetividade durante todo o lapso temporal indicado pela executada. A efetiva constrição patrimonial e as medidas constritivas posteriormente deferidas afastam a caracterização da prescrição intercorrente, nos termos da orientação firmada pelo Superior Tribunal de Justiça no Tema 568.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Ressalte-se, ainda, que a insuficiência dos valores constritos para a quitação integral da dívida não retira a natureza executiva e satisfativa dos atos praticados, tampouco autoriza concluir pela paralisação da execução ou pela perda do interesse processual da credora. Ao longo da tramitação, a exequente promoveu reiteradamente o andamento do feito mediante requerimentos de pesquisas patrimoniais, constrições de ativos e penhoras sobre direitos creditórios da executada.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Diante do exposto, INDEFIRO o pedido de reconhecimento da prescrição intercorrente formulado pela executada.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Sem prejuízo, promova a parte exequente o andamento do feito, indicando bens da parte adversa passíveis de penhora ou requerendo o que entender de direito para o regular prosseguimento da execução, sob pena de retorno dos autos ao arquivo provisório.</w:t>
      </w:r>
    </w:p>
    <w:p>
      <w:pPr>
        <w:spacing w:line="360" w:lineRule="auto" w:after="0" w:before="0"/>
        <w:jc w:val="both"/>
      </w:pPr>
      <w:r>
        <w:rPr>
          <w:rFonts w:ascii="Arial" w:hAnsi="Arial" w:cs="Arial"/>
          <w:b w:val="0"/>
          <w:i w:val="0"/>
          <w:color w:val="00B050"/>
          <w:sz w:val="27"/>
        </w:rPr>
        <w:t xml:space="preserve">Decisão registrada e assinada eletronicamente pelo Juiz de Direito substituto abaixo identificado, na data da certificação digital.</w:t>
      </w:r>
    </w:p>
    <w:sectPr w:rsidR="007E1C8C">
      <w:footerReference w:type="default" r:id="rId15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ssessor GDSXSR" w:initials="MG" w:date="2026-10-26T23:15:18Z">
    <w:p>
      <w:pPr>
        <w:pStyle w:val="CommentText"/>
      </w:pPr>
      <w:r>
        <w:rPr>
          <w:rStyle w:val="CommentReference"/>
        </w:rPr>
        <w:annotationRef/>
      </w:r>
      <w:r>
        <w:t>ASSESSOR GDSXSR — Minuta feita do zero, sem consulta a versão anterior do mesmo processo. Modelos de estilo: AGI 0721271-47 e 0708343-64 (NP, astreintes, aderentes à liminar), 0726375-20 (OURO) e 0710859-57. Resultado NP, em linha com a liminar do Relator que indeferiu o efeito suspensivo (ID 86943859) e com C-3Y: multa vencida não se reduz. Divergência interna (C-53): acórdãos recentes da 4ª TCiv admitem revisão a qualquer tempo (AGI 0739865-46 e 0743081-15), indicados na calibração e não lidos nesta minuta. Tema 1.442/STJ (CPC 537 § 1º, multas vencidas e vincendas) consta no iajus como afetado e pendente, sem tese firmada, e por isso não é citado; conferir no site do STJ se há suspensão nacional dos processos. Nenhum documento do processo de origem ficou sem leitura: o anexo ID 86888412 traz os autos de origem.</w:t>
      </w:r>
    </w:p>
  </w:comment>
  <w:comment w:id="1" w:author="Assessor GDSXSR" w:initials="MG" w:date="2026-10-26T23:15:1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o CPC, art. 537, caput e § 1º, I, está transcrito no corpo do voto (fonte: Planalto, conferido no iajus).</w:t>
      </w:r>
    </w:p>
  </w:comment>
  <w:comment w:id="2" w:author="Assessor GDSXSR" w:initials="MG" w:date="2026-10-26T23:15:18Z">
    <w:p>
      <w:pPr>
        <w:pStyle w:val="CommentText"/>
      </w:pPr>
      <w:r>
        <w:rPr>
          <w:rStyle w:val="CommentReference"/>
        </w:rPr>
        <w:annotationRef/>
      </w:r>
      <w:r>
        <w:t>ASSESSOR GDSXSR — Conferido no iajus (ementa e dados de julgamento; o DJe de 6/6/2024 e o relator para acórdão constam da citação feita pela própria Corte Especial no AgInt nos EDcl nos EAREsp, j. 18/8/2026). Os precedentes do TRF3, TRF4 e TRF5 invocados só no agravo não foram lidos e não são enfrentados (C-17).</w:t>
      </w:r>
    </w:p>
  </w:comment>
  <w:comment w:id="3" w:author="Assessor GDSXSR" w:initials="MG" w:date="2026-10-26T23:15:18Z">
    <w:p>
      <w:pPr>
        <w:pStyle w:val="CommentText"/>
      </w:pPr>
      <w:r>
        <w:rPr>
          <w:rStyle w:val="CommentReference"/>
        </w:rPr>
        <w:annotationRef/>
      </w:r>
      <w:r>
        <w:t>ASSESSOR GDSXSR — O texto da liminar traz “R$ 20.22130” (erro de reconhecimento do PDF); transcrito como R$ 20.221,30, valor da multa homologada (ID 257748037, do processo de origem).</w:t>
      </w:r>
    </w:p>
  </w:comment>
  <w:comment w:id="4" w:author="Assessor GDSXSR" w:initials="MG" w:date="2026-10-26T23:15:18Z">
    <w:p>
      <w:pPr>
        <w:pStyle w:val="CommentText"/>
      </w:pPr>
      <w:r>
        <w:rPr>
          <w:rStyle w:val="CommentReference"/>
        </w:rPr>
        <w:annotationRef/>
      </w:r>
      <w:r>
        <w:t>ASSESSOR GDSXSR — Ementa do EAREsp 1.766.665/RS conferida no iajus (itens 1 e 2, texto literal; cabeçalho suprimido, C-62). C-3Y: determinação de Marcos de 25/10/2026; a Quarta Turma do STJ seguiu a orientação no AREsp 2.994.491/SP, que não foi citado porque a Corte Especial basta (C-65).</w:t>
      </w:r>
    </w:p>
  </w:comment>
  <w:comment w:id="5" w:author="Assessor GDSXSR" w:initials="MG" w:date="2026-10-26T23:15:18Z">
    <w:p>
      <w:pPr>
        <w:pStyle w:val="CommentText"/>
      </w:pPr>
      <w:r>
        <w:rPr>
          <w:rStyle w:val="CommentReference"/>
        </w:rPr>
        <w:annotationRef/>
      </w:r>
      <w:r>
        <w:t>ASSESSOR GDSXSR — Valores e dias conferidos no demonstrativo da Contadoria (ID 257748037, valor homologado no ID 266980288): decisões de origem IDs 145003178, 194879229 e 208429962; 09/03/2023 a 23/05/2023, 49 dias úteis, R$ 4.900,00; 14/06/2024 a 25/08/2024, 51 dias úteis, R$ 5.100,00; 26/08/2024 a 13/10/2024, 35 dias úteis, R$ 7.000,00; principal R$ 17.000,00 e correção/juros R$ 3.221,30. Os IDs são do processo de origem, anexado ao agravo (ID 86888412).</w:t>
      </w:r>
    </w:p>
  </w:comment>
  <w:comment w:id="6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Minuta do zero, sem versão anterior. Modelos de forma consultados: AGI 0744014-51 (NP, prescrição intercorrente, penhora efetiva), AGI 0731644-40 e AGI 0742802-92 (NP com liminar indeferida). Relatório adota o da liminar (C-3S) e o capítulo mantém as razões da liminar (C-17). Tarefa de conferência jurídica e pendências estão nos comentários abaixo.</w:t>
      </w:r>
    </w:p>
  </w:comment>
  <w:comment w:id="7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Usei o valor da causa do relatório da liminar (R$ 28.011,03, C-3H). O crédito atualizado que a agravante informa no agravo é R$ 30.528,98 (valor da causa do AGI), diferente do valor da origem. Mantive o da liminar para coerência com o relatório; a advogada em causa própria consta do agravo (ID 89412420) e da capa dos autos de origem.</w:t>
      </w:r>
    </w:p>
  </w:comment>
  <w:comment w:id="8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(C-63), fontes: iajus (Planalto). CPC, art. 282, § 1º: “O ato não será repetido nem sua falta será suprida quando não prejudicar a parte.” CC, art. 202, parágrafo único: “A prescrição interrompida recomeça a correr da data do ato que a interrompeu, ou do último ato do processo para a interromper.” CC, art. 206, § 5º, I: “Prescreve: (...) § 5º Em cinco anos: I - a pretensão de cobrança de dívidas líquidas constantes de instrumento público ou particular;” CC, art. 206-A: “A prescrição intercorrente observará o mesmo prazo de prescrição da pretensão, observadas as causas de impedimento, de suspensão e de interrupção da prescrição previstas neste Código e observado o disposto no art. 921 da Lei nº 13.105, de 16 de março de 2015 (Código de Processo Civil).” (Redação dada pela Lei nº 14.382, de 2022). Lei nº 14.010/2020, art. 3º: “Os prazos prescricionais consideram-se impedidos ou suspensos, conforme o caso, a partir da entrada em vigor desta Lei até 30 de outubro de 2020.” (o iajus devolveu a publicação original, sem verificar vigência; conferir no Planalto). CPC, art. 921, § 4º, vigente: “O termo inicial da prescrição no curso do processo será a ciência da primeira tentativa infrutífera de localização do devedor ou de bens penhoráveis, e será suspensa, por uma única vez, pelo prazo máximo previsto no § 1º deste artigo.” (Redação dada pela Lei nº 14.195, de 2021). O CPC 489 § 1º IV e VI está transcrito no corpo do voto.</w:t>
      </w:r>
    </w:p>
  </w:comment>
  <w:comment w:id="9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Conferência (C-72). (1) AREsp 3.164.378/PR: o iajus devolve a ementa e a tese (item 1 e 2 transcritos na liminar), relator, Quarta Turma e julgamento em 30/06/2026; a publicação (DJEN 06/07/2026) vem da liminar e o iajus não a traz. Conferir no SCON/STJ. (2) Acórdão 2057800: o iajus localiza o processo 0703988-43.2019.8.07.0004, 1ª Turma Cível, Des. Carlos Pires Soares Neto, julgamento em 15/10/2025 e a tese literal “2. A constrição patrimonial, ainda que parcial, constitui marco interruptivo da prescrição intercorrente, afastando a extinção do processo.”; não devolve o número do acórdão nem o DJe (03/11/2025), que vêm da liminar. Conferir no JurisDF. (3) Tema 568/STJ: o iajus confirma o tema (vigente, julgamento em 12/09/2018, Primeira Seção) e a tese; o REsp 1.340.553/RS, o relator e o DJe 16/10/2018 vêm das contrarrazões (ID 90785857) e não foram confirmados em fonte oficial. Conferir no SCON/STJ. Tese literal do Tema 568 (iajus): “A efetiva constrição patrimonial e a efetiva citação (ainda que por edital) são aptas a interromper o curso da prescrição intercorrente, não bastando para tal o mero peticionamento em juízo, requerendo, v.g., a feitura da penhora sobre ativos financeiros ou sobre outros bens.” Ela não entra no corpo porque a liminar transcrita já cita o tema e a regra do C-17 manda cortar o que a liminar já cobre (C-63).</w:t>
      </w:r>
    </w:p>
  </w:comment>
  <w:comment w:id="10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Resumo em vermelho (C-39), feito das razões do agravo (ID 89412420). Os Acórdãos 2129421 e 2050585 do TJDFT, invocados só no agravo, não foram localizados no iajus (busca pelo número, sem resultado) nem estão nos autos recebidos; o voto não os enfrenta (C-17). Conferir no JurisDF se o Desembargador quiser distingui-los.</w:t>
      </w:r>
    </w:p>
  </w:comment>
  <w:comment w:id="11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Transcrição literal do relatório da decisão liminar (ID 89607864, C-3S), que é do próprio Relator. Alterei só a pontuação das aspas.</w:t>
      </w:r>
    </w:p>
  </w:comment>
  <w:comment w:id="12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Contrarrazões do ID 90785857 (peça de 08/10/2026). Não consta agravo interno: a certidão de 09/10/2026 registra que decorreu o prazo da parte contra a liminar (ID 89607864) sem recurso.</w:t>
      </w:r>
    </w:p>
  </w:comment>
  <w:comment w:id="13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Admissibilidade direta (C-3T). Tempestividade: a decisão agravada de 25/08/2026 foi intimada em 28/08/2026 segundo o agravo, que foi protocolado em 10/09/2026 (ID 89412420), dentro dos 15 dias úteis (CPC 1.003 § 5º). Custas comprovadas (ID 89413853); a agravante não pede gratuidade. A decisão está no rol do CPC 1.015, parágrafo único (execução). Intimação em 28/08/2026 vem do agravo e não do mandado de intimação, que não está nos autos recebidos; conferir só se o Desembargador quiser a data exata.</w:t>
      </w:r>
    </w:p>
  </w:comment>
  <w:comment w:id="14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Fórmula do perfil AGI e C-17: a liminar é transcrita inteira, com os trechos que ela cita da decisão agravada e dos precedentes, cada um em bloco próprio e com “– Grifei” (C-17 v42); cortei só o comando final (“Comunique-se…”, “P. I.”). Os grifos (sublinhados) nos três blocos foram colocados por mim nos trechos que sustentam a conclusão; o texto da liminar no PJe não traz o formato, conferir com o original.</w:t>
      </w:r>
    </w:p>
  </w:comment>
  <w:comment w:id="15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Pendência (C-72, C-52): o texto literal da redação ORIGINAL do CPC 921 § 4º (anterior à Lei 14.195/2021) não pôde ser conferido em fonte oficial. O iajus devolve só a redação vigente; o Planalto recusou o acesso à página do texto original e a busca na web trouxe apenas sites não oficiais. Por isso a norma original não foi transcrita no corpo (C-66) e fica como citação compacta, igual à liminar. Quando o texto original estiver conferido, transcrevê-lo em bloco depois deste parágrafo. A redação vigente do § 4º e do § 4º-A está literal no comentário de “Dispositivos relevantes citados”.</w:t>
      </w:r>
    </w:p>
  </w:comment>
  <w:comment w:id="16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Único enfrentamento além da liminar (C-17: respondem ao que a agravante alegou). Conferi os autos de origem: (a) o bloqueio de R$ 278,62 (Caixa) e R$ 54,06 (Nu Pagamentos), total R$ 332,68, foi protocolado em 02/06/2020 e a decisão de 04/06/2020 (ID 64736819) determinou a transferência e a conversão em penhora; o recibo está no ID 64736822 e o extrato da conta judicial no ID 66752157. A agravante data esses bloqueios em 2023 (ID 89412420, p. 4); os documentos mostram 2020. O alvará daquele valor (ID 66752158) não foi levantado e perdeu a validade (decisão de 15/05/2025, ID 235090455), e os depósitos de R$ 385,31 que a agravante soma ao alvará de R$ 685,84 incluem esse valor atualizado. (b) A conversão de 18/03/2025 está na decisão ID 229047968, sem impugnação (certidão ID 233448686). Conferir se o Desembargador quer manter este parágrafo, que corrige a premissa de data do agravo; ele não altera o resultado.</w:t>
      </w:r>
    </w:p>
  </w:comment>
  <w:comment w:id="17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Contagem: de 04/06/2020 a 18/03/2025 são 4 anos, 9 meses e 14 dias, menos de cinco anos mesmo sem o acréscimo da Lei 14.010/2020 (a suspensão de 12/06/2020 a 30/10/2020 só amplia o prazo). O prazo é de cinco anos, fixado na decisão de 18/12/2018 (ID 26767311, “prazo de 5 (cinco) anos fixado nos termos do artigo 206, § 5º, inciso I, do Código Civil”). Pesquisas no período: SISBAJUD deferido em 10/09/2021 (ID 102727335), RENAJUD em 14/10/2021 (ID 105877958), INFOJUD (despacho de 20/04/2023, ID 155962538) e SISBAJUD em 16/01/2024 (ID 183651992). Não calculei a data exata do início do prazo quinquenal porque a decisão de 21/02/2019 (ID 29153267) manda contar o ano de suspensão da publicação de 18/12/2018, cuja data de publicação não está nos autos recebidos; não é necessária para a conclusão.</w:t>
      </w:r>
    </w:p>
  </w:comment>
  <w:comment w:id="18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Norma central do capítulo transcrita no corpo (C-66 a), na redação vigente (conferida no iajus/Planalto). Sublinhei no inciso IV o trecho decisivo.</w:t>
      </w:r>
    </w:p>
  </w:comment>
  <w:comment w:id="19" w:author="Assessor GDSXSR" w:initials="AG" w:date="2026-10-28T18:06:10Z">
    <w:p>
      <w:pPr>
        <w:pStyle w:val="CommentText"/>
      </w:pPr>
      <w:r>
        <w:rPr>
          <w:rStyle w:val="CommentReference"/>
        </w:rPr>
        <w:annotationRef/>
      </w:r>
      <w:r>
        <w:t>ASSESSOR GDSXSR — Os Acórdãos 2129421 e 2050585 do TJDFT (invocados só no agravo) não foram localizados nem estão nos autos; por isso o voto não os distingue (C-17, C-53) e trata o ponto pela aplicação do Tema 568 e pela ausência de prejuízo. Se o Desembargador preferir distingui-los, é preciso obter os acórdãos no JurisDF.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F95CFE2"/>
  <w15:commentEx w15:done="0" w15:paraId="5CC965CB"/>
  <w15:commentEx w15:done="0" w15:paraId="0BC4B43E"/>
  <w15:commentEx w15:done="0" w15:paraId="21EA8384"/>
  <w15:commentEx w15:done="0" w15:paraId="2FCAFFA8"/>
  <w15:commentEx w15:done="0" w15:paraId="1D1C5373"/>
  <w15:commentEx w15:done="0" w15:paraId="045ED818"/>
  <w15:commentEx w15:done="0" w15:paraId="02138E1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DE8B56F" w16cex:dateUtc="2025-11-18T20:58:00Z"/>
  <w16cex:commentExtensible w16cex:durableId="4B2D4C4B" w16cex:dateUtc="2026-04-13T14:55:00Z"/>
  <w16cex:commentExtensible w16cex:durableId="1B102127" w16cex:dateUtc="2026-04-13T14:56:00Z"/>
  <w16cex:commentExtensible w16cex:durableId="37638969" w16cex:dateUtc="2026-04-13T14:56:00Z"/>
  <w16cex:commentExtensible w16cex:durableId="61B1BDF7" w16cex:dateUtc="2026-06-02T18:56:19.758Z"/>
  <w16cex:commentExtensible w16cex:durableId="1312A787" w16cex:dateUtc="2026-06-02T18:57:16.156Z"/>
  <w16cex:commentExtensible w16cex:durableId="3E789F0F" w16cex:dateUtc="2026-06-16T15:20:05.33Z"/>
  <w16cex:commentExtensible w16cex:durableId="30B3DAA2" w16cex:dateUtc="2026-06-16T15:20:28.68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F95CFE2" w16cid:durableId="0DE8B56F"/>
  <w16cid:commentId w16cid:paraId="5CC965CB" w16cid:durableId="4B2D4C4B"/>
  <w16cid:commentId w16cid:paraId="0BC4B43E" w16cid:durableId="1B102127"/>
  <w16cid:commentId w16cid:paraId="21EA8384" w16cid:durableId="37638969"/>
  <w16cid:commentId w16cid:paraId="2FCAFFA8" w16cid:durableId="61B1BDF7"/>
  <w16cid:commentId w16cid:paraId="1D1C5373" w16cid:durableId="1312A787"/>
  <w16cid:commentId w16cid:paraId="045ED818" w16cid:durableId="3E789F0F"/>
  <w16cid:commentId w16cid:paraId="02138E19" w16cid:durableId="30B3DA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2CF6" w:rsidP="003A42DE" w:rsidRDefault="006B2CF6" w14:paraId="5651EAEE" w14:textId="77777777">
      <w:pPr>
        <w:spacing w:after="0" w:line="240" w:lineRule="auto"/>
      </w:pPr>
      <w:r>
        <w:separator/>
      </w:r>
    </w:p>
  </w:endnote>
  <w:endnote w:type="continuationSeparator" w:id="0">
    <w:p w:rsidR="006B2CF6" w:rsidP="003A42DE" w:rsidRDefault="006B2CF6" w14:paraId="0911DF3B" w14:textId="77777777">
      <w:pPr>
        <w:spacing w:after="0" w:line="240" w:lineRule="auto"/>
      </w:pPr>
      <w:r>
        <w:continuationSeparator/>
      </w:r>
    </w:p>
  </w:endnote>
  <w:endnote w:type="continuationNotice" w:id="1">
    <w:p w:rsidR="006B2CF6" w:rsidRDefault="006B2CF6" w14:paraId="54BFC59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:rsidR="003A42DE" w:rsidRDefault="003A42DE" w14:paraId="4A86AAF9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A42DE" w:rsidRDefault="003A42DE" w14:paraId="2B59F42A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2CF6" w:rsidP="003A42DE" w:rsidRDefault="006B2CF6" w14:paraId="243CDD41" w14:textId="77777777">
      <w:pPr>
        <w:spacing w:after="0" w:line="240" w:lineRule="auto"/>
      </w:pPr>
      <w:r>
        <w:separator/>
      </w:r>
    </w:p>
  </w:footnote>
  <w:footnote w:type="continuationSeparator" w:id="0">
    <w:p w:rsidR="006B2CF6" w:rsidP="003A42DE" w:rsidRDefault="006B2CF6" w14:paraId="112E6525" w14:textId="77777777">
      <w:pPr>
        <w:spacing w:after="0" w:line="240" w:lineRule="auto"/>
      </w:pPr>
      <w:r>
        <w:continuationSeparator/>
      </w:r>
    </w:p>
  </w:footnote>
  <w:footnote w:type="continuationNotice" w:id="1">
    <w:p w:rsidR="006B2CF6" w:rsidRDefault="006B2CF6" w14:paraId="413642B2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872036300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rcos Dwayne Saraiva Costa - GDSXSR">
    <w15:presenceInfo w15:providerId="AD" w15:userId="S::t321760@tjdft.jus.br::71ef89ef-9eb5-4780-8a4d-3f3a792db9c6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6B"/>
    <w:rsid w:val="001D2162"/>
    <w:rsid w:val="001D300D"/>
    <w:rsid w:val="001D385D"/>
    <w:rsid w:val="001E4974"/>
    <w:rsid w:val="001E790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D0BA1"/>
    <w:rsid w:val="002D127E"/>
    <w:rsid w:val="002D2D56"/>
    <w:rsid w:val="002D3FF3"/>
    <w:rsid w:val="002F13AB"/>
    <w:rsid w:val="00303FAE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25FC"/>
    <w:rsid w:val="005953DB"/>
    <w:rsid w:val="0059689A"/>
    <w:rsid w:val="00597864"/>
    <w:rsid w:val="005A1AD9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11FE9"/>
    <w:rsid w:val="007135BF"/>
    <w:rsid w:val="00726567"/>
    <w:rsid w:val="00730800"/>
    <w:rsid w:val="007378F8"/>
    <w:rsid w:val="00744BDF"/>
    <w:rsid w:val="00745507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E00326"/>
    <w:rsid w:val="00E211F5"/>
    <w:rsid w:val="00E235EE"/>
    <w:rsid w:val="00E24DAF"/>
    <w:rsid w:val="00E26735"/>
    <w:rsid w:val="00E42C50"/>
    <w:rsid w:val="00E437CF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3E55252"/>
    <w:rsid w:val="0406F2B1"/>
    <w:rsid w:val="0469E717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C436811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DFE56C"/>
    <w:rsid w:val="10E575B9"/>
    <w:rsid w:val="10E89CE7"/>
    <w:rsid w:val="1281461A"/>
    <w:rsid w:val="1322B3CC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0C8FA4"/>
    <w:rsid w:val="1DE275A0"/>
    <w:rsid w:val="1E7FFE4D"/>
    <w:rsid w:val="1FAFCC66"/>
    <w:rsid w:val="21529E37"/>
    <w:rsid w:val="22242253"/>
    <w:rsid w:val="2259356D"/>
    <w:rsid w:val="229F26FD"/>
    <w:rsid w:val="232923D0"/>
    <w:rsid w:val="248F4127"/>
    <w:rsid w:val="249E222A"/>
    <w:rsid w:val="255B7F74"/>
    <w:rsid w:val="25627E6B"/>
    <w:rsid w:val="25DAE2F1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3A7B14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95E4C2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09ECC93"/>
    <w:rsid w:val="515F5732"/>
    <w:rsid w:val="5212BFAD"/>
    <w:rsid w:val="52E52664"/>
    <w:rsid w:val="539FE824"/>
    <w:rsid w:val="53A37578"/>
    <w:rsid w:val="54AAEF1D"/>
    <w:rsid w:val="56696897"/>
    <w:rsid w:val="57608C97"/>
    <w:rsid w:val="5774762B"/>
    <w:rsid w:val="581B792C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ADD95D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2D6F6"/>
    <w:rsid w:val="64BEBE7C"/>
    <w:rsid w:val="650595E1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0D67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C7DE001"/>
    <w:rsid w:val="7E272F86"/>
    <w:rsid w:val="7E47B7BC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hAnsi="Verdana" w:eastAsia="Times New Roman" w:cs="Times New Roman"/>
      <w:sz w:val="20"/>
      <w:szCs w:val="20"/>
      <w:lang w:val="x-none" w:eastAsia="x-none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2D3FF3"/>
    <w:rPr>
      <w:rFonts w:ascii="Verdana" w:hAnsi="Verdana" w:eastAsia="Times New Roman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hAnsiTheme="minorHAnsi" w:eastAsiaTheme="minorHAnsi" w:cstheme="minorBidi"/>
      <w:b/>
      <w:bCs/>
      <w:lang w:val="pt-BR" w:eastAsia="en-US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04BD8"/>
    <w:rPr>
      <w:rFonts w:ascii="Verdana" w:hAnsi="Verdana" w:eastAsia="Times New Roman" w:cs="Times New Roman"/>
      <w:b/>
      <w:bCs/>
      <w:sz w:val="20"/>
      <w:szCs w:val="20"/>
      <w:lang w:val="x-none" w:eastAsia="x-none"/>
    </w:rPr>
  </w:style>
  <w:style w:type="character" w:styleId="cf01" w:customStyle="1">
    <w:name w:val="cf01"/>
    <w:basedOn w:val="Fontepargpadro"/>
    <w:rsid w:val="00354AA2"/>
    <w:rPr>
      <w:rFonts w:hint="default" w:ascii="Segoe UI" w:hAnsi="Segoe UI" w:cs="Segoe UI"/>
      <w:sz w:val="18"/>
      <w:szCs w:val="18"/>
    </w:rPr>
  </w:style>
  <w:style w:type="character" w:styleId="normaltextrun" w:customStyle="1">
    <w:name w:val="normaltextrun"/>
    <w:basedOn w:val="Fontepargpadro"/>
    <w:rsid w:val="00661CF3"/>
  </w:style>
  <w:style w:type="character" w:styleId="eop" w:customStyle="1">
    <w:name w:val="eop"/>
    <w:basedOn w:val="Fontepargpadro"/>
    <w:rsid w:val="00661CF3"/>
  </w:style>
  <w:style w:type="paragraph" w:styleId="paragraph" w:customStyle="1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1Char" w:customStyle="1">
    <w:name w:val="Título 1 Char"/>
    <w:basedOn w:val="Fontepargpadro"/>
    <w:link w:val="Ttulo1"/>
    <w:rsid w:val="00012123"/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styleId="cf11" w:customStyle="1">
    <w:name w:val="cf11"/>
    <w:basedOn w:val="Fontepargpadro"/>
    <w:rsid w:val="005B7851"/>
    <w:rPr>
      <w:rFonts w:hint="default" w:ascii="Segoe UI" w:hAnsi="Segoe UI" w:cs="Segoe UI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CitaoChar" w:customStyle="1">
    <w:name w:val="Citação Char"/>
    <w:basedOn w:val="Fontepargpadro"/>
    <w:link w:val="Citao"/>
    <w:uiPriority w:val="29"/>
    <w:rsid w:val="00770E7F"/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styleId="Ttulos" w:customStyle="1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styleId="TtulosChar" w:customStyle="1">
    <w:name w:val="Títulos Char"/>
    <w:basedOn w:val="CitaoChar"/>
    <w:link w:val="Ttulos"/>
    <w:rsid w:val="002D127E"/>
    <w:rPr>
      <w:rFonts w:ascii="Arial" w:hAnsi="Arial" w:eastAsia="Times New Roman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xmlns:wp14="http://schemas.microsoft.com/office/word/2010/wordml" w:rsidR="00773803" w:rsidP="00773803" w:rsidRDefault="00773803" w14:paraId="21A1D5B3" wp14:textId="77777777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xmlns:wp14="http://schemas.microsoft.com/office/word/2010/wordml" w:rsidR="00773803" w:rsidP="00773803" w:rsidRDefault="00773803" w14:paraId="214B1BDF" wp14:textId="77777777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xmlns:wp14="http://schemas.microsoft.com/office/word/2010/wordml" w:rsidR="00773803" w:rsidP="00773803" w:rsidRDefault="00773803" w14:paraId="675683F6" wp14:textId="77777777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xmlns:wp14="http://schemas.microsoft.com/office/word/2010/wordml" w:rsidR="00773803" w:rsidP="00773803" w:rsidRDefault="00773803" w14:paraId="79D92E25" wp14:textId="77777777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77029"/>
    <w:rsid w:val="002F13AB"/>
    <w:rsid w:val="003060EF"/>
    <w:rsid w:val="003D50C8"/>
    <w:rsid w:val="00465A25"/>
    <w:rsid w:val="004756EB"/>
    <w:rsid w:val="004C591E"/>
    <w:rsid w:val="00515AB3"/>
    <w:rsid w:val="00534782"/>
    <w:rsid w:val="005953DB"/>
    <w:rsid w:val="00730800"/>
    <w:rsid w:val="00773803"/>
    <w:rsid w:val="0077693D"/>
    <w:rsid w:val="00816916"/>
    <w:rsid w:val="00855F86"/>
    <w:rsid w:val="008C4978"/>
    <w:rsid w:val="009C5448"/>
    <w:rsid w:val="00AB26AC"/>
    <w:rsid w:val="00AD59B1"/>
    <w:rsid w:val="00B9403F"/>
    <w:rsid w:val="00C34425"/>
    <w:rsid w:val="00C7198A"/>
    <w:rsid w:val="00CB636A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391E4554-19F6-49FE-9C93-B4ADD0286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RENAN BARÃO</dc:creator>
  <keywords/>
  <dc:description/>
  <lastModifiedBy>Marcos Dwayne Saraiva Costa - GDSXSR</lastModifiedBy>
  <revision>350</revision>
  <dcterms:created xsi:type="dcterms:W3CDTF">2026-03-09T19:42:00.0000000Z</dcterms:created>
  <dcterms:modified xsi:type="dcterms:W3CDTF">2026-06-16T15:28:58.4558359Z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