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723" w:type="dxa"/>
        <w:tblCellMar>
          <w:left w:w="0" w:type="dxa"/>
          <w:right w:w="0" w:type="dxa"/>
        </w:tblCellMar>
        <w:tblLook w:val="04A0" w:firstRow="1" w:lastRow="0" w:firstColumn="1" w:lastColumn="0" w:noHBand="0" w:noVBand="1"/>
      </w:tblPr>
      <w:tblGrid>
        <w:gridCol w:w="2822"/>
        <w:gridCol w:w="864"/>
        <w:gridCol w:w="447"/>
        <w:gridCol w:w="4371"/>
        <w:gridCol w:w="219"/>
      </w:tblGrid>
      <w:tr w:rsidR="00264107" w14:paraId="4680266B" w14:textId="77777777" w:rsidTr="00173733">
        <w:trPr>
          <w:gridAfter w:val="1"/>
          <w:wAfter w:w="219" w:type="dxa"/>
        </w:trPr>
        <w:tc>
          <w:tcPr>
            <w:tcW w:w="2822" w:type="dxa"/>
            <w:hideMark/>
          </w:tcPr>
          <w:p w14:paraId="6DE29C9C" w14:textId="77777777" w:rsidR="00264107" w:rsidRDefault="00264107">
            <w:pPr>
              <w:pStyle w:val="paragraph"/>
              <w:spacing w:before="0" w:beforeAutospacing="0" w:after="0" w:afterAutospacing="0"/>
              <w:jc w:val="both"/>
              <w:textAlignment w:val="baseline"/>
              <w:rPr>
                <w:rFonts w:ascii="Segoe UI" w:hAnsi="Segoe UI" w:cs="Segoe UI"/>
                <w:sz w:val="18"/>
                <w:szCs w:val="18"/>
              </w:rPr>
            </w:pPr>
            <w:r>
              <w:rPr>
                <w:rFonts w:ascii="Arial" w:hAnsi="Arial" w:cs="Verdana"/>
                <w:noProof/>
                <w:sz w:val="28"/>
                <w:lang w:eastAsia="zh-CN"/>
              </w:rPr>
              <w:drawing>
                <wp:inline distT="0" distB="0" distL="0" distR="0" wp14:anchorId="15C07C5B" wp14:editId="146F6157">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Pr>
                <w:rStyle w:val="eop"/>
                <w:rFonts w:ascii="Arial" w:hAnsi="Arial" w:cs="Arial"/>
                <w:sz w:val="28"/>
                <w:szCs w:val="28"/>
              </w:rPr>
              <w:t> </w:t>
            </w:r>
          </w:p>
        </w:tc>
        <w:tc>
          <w:tcPr>
            <w:tcW w:w="5682" w:type="dxa"/>
            <w:gridSpan w:val="3"/>
            <w:hideMark/>
          </w:tcPr>
          <w:p w14:paraId="299F0D40"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2DA0D32B">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themeColor="text1" w:themeTint="A6"/>
                <w:sz w:val="20"/>
                <w:szCs w:val="20"/>
              </w:rPr>
              <w:t>Tribunal de Justiça do Distrito Federal e dos Territórios</w:t>
            </w:r>
            <w:r>
              <w:rPr>
                <w:rStyle w:val="eop"/>
                <w:rFonts w:ascii="Calibri" w:hAnsi="Calibri" w:cs="Calibri"/>
                <w:color w:val="595959" w:themeColor="text1" w:themeTint="A6"/>
                <w:sz w:val="20"/>
                <w:szCs w:val="20"/>
              </w:rPr>
              <w:t> </w:t>
            </w:r>
          </w:p>
          <w:p w14:paraId="12B71A35"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r w:rsidR="004236F7" w:rsidRPr="009F36E1" w14:paraId="506E1C45"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1B672758" w14:textId="77777777" w:rsidR="004236F7" w:rsidRPr="009F36E1" w:rsidRDefault="004236F7">
            <w:pPr>
              <w:rPr>
                <w:rFonts w:ascii="Arial" w:hAnsi="Arial" w:cs="Arial"/>
                <w:sz w:val="28"/>
                <w:szCs w:val="28"/>
              </w:rPr>
            </w:pPr>
            <w:r>
              <w:rPr>
                <w:rFonts w:ascii="Arial" w:hAnsi="Arial" w:cs="Arial"/>
                <w:sz w:val="28"/>
                <w:szCs w:val="28"/>
              </w:rPr>
              <w:t>Órgão</w:t>
            </w:r>
          </w:p>
        </w:tc>
        <w:tc>
          <w:tcPr>
            <w:tcW w:w="447" w:type="dxa"/>
            <w:vAlign w:val="center"/>
          </w:tcPr>
          <w:p w14:paraId="5F5D25D2"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p w14:paraId="1380D4BD" w14:textId="77777777" w:rsidR="004236F7" w:rsidRPr="009F36E1" w:rsidRDefault="00000000">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7ACC47C5ADE849A18DA0C7907A361910"/>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590B43">
                  <w:rPr>
                    <w:rFonts w:ascii="Arial" w:hAnsi="Arial" w:cs="Arial"/>
                    <w:sz w:val="28"/>
                    <w:szCs w:val="28"/>
                  </w:rPr>
                  <w:t>4ª Turma Cível</w:t>
                </w:r>
              </w:sdtContent>
            </w:sdt>
          </w:p>
        </w:tc>
      </w:tr>
      <w:tr w:rsidR="004236F7" w:rsidRPr="009F36E1" w14:paraId="722A4191"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2B3F5317" w14:textId="77777777" w:rsidR="004236F7" w:rsidRPr="009F36E1" w:rsidRDefault="004236F7">
            <w:pPr>
              <w:rPr>
                <w:rFonts w:ascii="Arial" w:hAnsi="Arial" w:cs="Arial"/>
                <w:sz w:val="28"/>
                <w:szCs w:val="28"/>
              </w:rPr>
            </w:pPr>
            <w:r>
              <w:rPr>
                <w:rFonts w:ascii="Arial" w:hAnsi="Arial" w:cs="Arial"/>
                <w:sz w:val="28"/>
                <w:szCs w:val="28"/>
              </w:rPr>
              <w:t>Classe</w:t>
            </w:r>
          </w:p>
        </w:tc>
        <w:tc>
          <w:tcPr>
            <w:tcW w:w="447" w:type="dxa"/>
            <w:vAlign w:val="center"/>
          </w:tcPr>
          <w:p w14:paraId="376372E5"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sdt>
            <w:sdtPr>
              <w:rPr>
                <w:rFonts w:cs="Arial"/>
                <w:i w:val="0"/>
                <w:iCs w:val="0"/>
                <w:sz w:val="28"/>
                <w:szCs w:val="28"/>
              </w:rPr>
              <w:id w:val="1558446301"/>
              <w:placeholder>
                <w:docPart w:val="F878D1793E2346938EC18DAD866E9010"/>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7D3B975A" w14:textId="77777777" w:rsidR="004236F7" w:rsidRPr="009F36E1" w:rsidRDefault="004236F7">
                <w:pPr>
                  <w:pStyle w:val="Citao"/>
                  <w:ind w:left="0" w:firstLine="0"/>
                  <w:jc w:val="both"/>
                  <w:rPr>
                    <w:rFonts w:cs="Arial"/>
                    <w:i w:val="0"/>
                    <w:iCs w:val="0"/>
                    <w:sz w:val="28"/>
                    <w:szCs w:val="28"/>
                  </w:rPr>
                </w:pPr>
                <w:r>
                  <w:rPr>
                    <w:rFonts w:cs="Arial"/>
                    <w:i w:val="0"/>
                    <w:iCs w:val="0"/>
                    <w:sz w:val="28"/>
                    <w:szCs w:val="28"/>
                  </w:rPr>
                  <w:t>Agravo de Instrumento</w:t>
                </w:r>
              </w:p>
            </w:sdtContent>
          </w:sdt>
        </w:tc>
      </w:tr>
      <w:tr w:rsidR="004236F7" w:rsidRPr="009F36E1" w14:paraId="185BA19B"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5A224AD7" w14:textId="77777777" w:rsidR="004236F7" w:rsidRPr="009F36E1" w:rsidRDefault="004236F7">
            <w:pPr>
              <w:rPr>
                <w:rFonts w:ascii="Arial" w:hAnsi="Arial" w:cs="Arial"/>
                <w:sz w:val="28"/>
                <w:szCs w:val="28"/>
              </w:rPr>
            </w:pPr>
            <w:r>
              <w:rPr>
                <w:rFonts w:ascii="Arial" w:hAnsi="Arial" w:cs="Arial"/>
                <w:sz w:val="28"/>
                <w:szCs w:val="28"/>
              </w:rPr>
              <w:t>Processo nº</w:t>
            </w:r>
          </w:p>
        </w:tc>
        <w:tc>
          <w:tcPr>
            <w:tcW w:w="447" w:type="dxa"/>
            <w:vAlign w:val="center"/>
          </w:tcPr>
          <w:p w14:paraId="709DFAFC"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p w14:paraId="77B2906D" w14:textId="77777777" w:rsidR="004236F7" w:rsidRPr="009F36E1" w:rsidRDefault="004236F7">
            <w:pPr>
              <w:ind w:right="-675"/>
              <w:rPr>
                <w:rFonts w:ascii="Arial" w:hAnsi="Arial" w:cs="Arial"/>
                <w:sz w:val="28"/>
                <w:szCs w:val="28"/>
              </w:rPr>
            </w:pPr>
            <w:commentRangeStart w:id="0"/>
            <w:commentRangeStart w:id="1"/>
            <w:r>
              <w:rPr>
                <w:rFonts w:ascii="Arial" w:hAnsi="Arial" w:cs="Arial"/>
                <w:sz w:val="28"/>
                <w:szCs w:val="28"/>
              </w:rPr>
              <w:t>0730729-88.2026.8.07.0000</w:t>
            </w:r>
            <w:commentRangeEnd w:id="0"/>
            <w:r w:rsidRPr="009F36E1">
              <w:rPr>
                <w:rStyle w:val="Refdecomentrio"/>
                <w:rFonts w:ascii="Arial" w:hAnsi="Arial" w:cs="Arial"/>
                <w:sz w:val="28"/>
                <w:szCs w:val="28"/>
              </w:rPr>
            </w:r>
            <w:commentRangeEnd w:id="1"/>
            <w:r w:rsidR="004612A9" w:rsidRPr="009F36E1">
              <w:rPr>
                <w:rStyle w:val="Refdecomentrio"/>
                <w:rFonts w:ascii="Arial" w:hAnsi="Arial" w:cs="Arial"/>
                <w:sz w:val="28"/>
                <w:szCs w:val="28"/>
              </w:rPr>
            </w:r>
          </w:p>
        </w:tc>
      </w:tr>
      <w:tr w:rsidR="004236F7" w:rsidRPr="009F36E1" w14:paraId="4B19599A"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0E538277" w14:textId="77777777" w:rsidR="004236F7" w:rsidRPr="00F63CDB" w:rsidRDefault="00000000">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AA1EE3EF79994F978EAA8FE4FF7A26BD"/>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590B43">
                  <w:rPr>
                    <w:rFonts w:ascii="Arial" w:eastAsia="Times New Roman" w:hAnsi="Arial" w:cs="Arial"/>
                    <w:sz w:val="28"/>
                    <w:szCs w:val="28"/>
                    <w:lang w:eastAsia="zh-CN"/>
                  </w:rPr>
                  <w:t>Agravante</w:t>
                </w:r>
              </w:sdtContent>
            </w:sdt>
            <w:r w:rsidR="00590B43">
              <w:rPr>
                <w:rFonts w:ascii="Arial" w:hAnsi="Arial" w:cs="Arial"/>
                <w:sz w:val="28"/>
                <w:szCs w:val="28"/>
              </w:rPr>
              <w:t xml:space="preserve"> (s)</w:t>
            </w:r>
          </w:p>
        </w:tc>
        <w:tc>
          <w:tcPr>
            <w:tcW w:w="447" w:type="dxa"/>
            <w:vAlign w:val="center"/>
          </w:tcPr>
          <w:p w14:paraId="34C0C9D3"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p w14:paraId="630B7F23" w14:textId="280B1EB7" w:rsidR="004236F7" w:rsidRPr="009F36E1" w:rsidRDefault="00CB4353">
            <w:pPr>
              <w:rPr>
                <w:rFonts w:ascii="Arial" w:hAnsi="Arial" w:cs="Arial"/>
                <w:sz w:val="28"/>
                <w:szCs w:val="28"/>
              </w:rPr>
            </w:pPr>
            <w:r w:rsidRPr="00CB4353">
              <w:rPr>
                <w:rFonts w:ascii="Arial" w:hAnsi="Arial" w:cs="Arial"/>
                <w:sz w:val="28"/>
                <w:szCs w:val="28"/>
              </w:rPr>
              <w:t>BANCO DO BRASIL S/A</w:t>
            </w:r>
          </w:p>
        </w:tc>
      </w:tr>
      <w:tr w:rsidR="004236F7" w:rsidRPr="009F36E1" w14:paraId="01956A99"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268F3466" w14:textId="77777777" w:rsidR="004236F7" w:rsidRPr="009F36E1" w:rsidRDefault="00000000">
            <w:pPr>
              <w:jc w:val="both"/>
              <w:rPr>
                <w:rFonts w:ascii="Arial" w:hAnsi="Arial" w:cs="Arial"/>
                <w:sz w:val="28"/>
                <w:szCs w:val="28"/>
              </w:rPr>
            </w:pPr>
            <w:sdt>
              <w:sdtPr>
                <w:rPr>
                  <w:rFonts w:ascii="Arial" w:eastAsia="Times New Roman" w:hAnsi="Arial" w:cs="Arial"/>
                  <w:sz w:val="28"/>
                  <w:szCs w:val="28"/>
                  <w:lang w:eastAsia="zh-CN"/>
                </w:rPr>
                <w:id w:val="-1351640470"/>
                <w:placeholder>
                  <w:docPart w:val="BC7F39C12B0F442FBBF9AD5B583FBDE0"/>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590B43">
                  <w:rPr>
                    <w:rFonts w:ascii="Arial" w:eastAsia="Times New Roman" w:hAnsi="Arial" w:cs="Arial"/>
                    <w:sz w:val="28"/>
                    <w:szCs w:val="28"/>
                    <w:lang w:eastAsia="zh-CN"/>
                  </w:rPr>
                  <w:t>Agravado</w:t>
                </w:r>
              </w:sdtContent>
            </w:sdt>
            <w:r w:rsidR="00590B43">
              <w:rPr>
                <w:rFonts w:ascii="Arial" w:hAnsi="Arial" w:cs="Arial"/>
                <w:sz w:val="28"/>
                <w:szCs w:val="28"/>
              </w:rPr>
              <w:t xml:space="preserve"> (a)(s)</w:t>
            </w:r>
          </w:p>
        </w:tc>
        <w:tc>
          <w:tcPr>
            <w:tcW w:w="447" w:type="dxa"/>
            <w:vAlign w:val="center"/>
          </w:tcPr>
          <w:p w14:paraId="5EDA0385" w14:textId="77777777" w:rsidR="004236F7" w:rsidRPr="009F36E1" w:rsidRDefault="004236F7">
            <w:pPr>
              <w:rPr>
                <w:rFonts w:ascii="Arial" w:hAnsi="Arial" w:cs="Arial"/>
                <w:sz w:val="28"/>
                <w:szCs w:val="28"/>
              </w:rPr>
            </w:pPr>
            <w:r>
              <w:rPr>
                <w:rFonts w:ascii="Arial" w:hAnsi="Arial" w:cs="Arial"/>
                <w:sz w:val="28"/>
                <w:szCs w:val="28"/>
              </w:rPr>
              <w:t>:</w:t>
            </w:r>
          </w:p>
        </w:tc>
        <w:tc>
          <w:tcPr>
            <w:tcW w:w="4590" w:type="dxa"/>
            <w:gridSpan w:val="2"/>
            <w:vAlign w:val="center"/>
          </w:tcPr>
          <w:p w14:paraId="6CC5F6AE" w14:textId="0EEE0F78" w:rsidR="004236F7" w:rsidRPr="009F36E1" w:rsidRDefault="00CB4353">
            <w:pPr>
              <w:ind w:right="-74"/>
              <w:rPr>
                <w:rFonts w:ascii="Arial" w:hAnsi="Arial" w:cs="Arial"/>
                <w:sz w:val="28"/>
                <w:szCs w:val="28"/>
              </w:rPr>
            </w:pPr>
            <w:r w:rsidRPr="00CB4353">
              <w:rPr>
                <w:rFonts w:ascii="Arial" w:hAnsi="Arial" w:cs="Arial"/>
                <w:sz w:val="28"/>
                <w:szCs w:val="28"/>
              </w:rPr>
              <w:t>SOLAR COMERCIO DE MEDICAMENTOS LTDA e EMERSON CICARI DE MORAIS E SILVA</w:t>
            </w:r>
          </w:p>
        </w:tc>
      </w:tr>
      <w:tr w:rsidR="004236F7" w:rsidRPr="009F36E1" w14:paraId="04C2C9E0" w14:textId="77777777" w:rsidTr="00173733">
        <w:tblPrEx>
          <w:tblCellMar>
            <w:left w:w="108" w:type="dxa"/>
            <w:right w:w="108" w:type="dxa"/>
          </w:tblCellMar>
          <w:tblLook w:val="0000" w:firstRow="0" w:lastRow="0" w:firstColumn="0" w:lastColumn="0" w:noHBand="0" w:noVBand="0"/>
        </w:tblPrEx>
        <w:trPr>
          <w:cantSplit/>
          <w:trHeight w:val="397"/>
        </w:trPr>
        <w:tc>
          <w:tcPr>
            <w:tcW w:w="3686" w:type="dxa"/>
            <w:gridSpan w:val="2"/>
            <w:vAlign w:val="center"/>
          </w:tcPr>
          <w:p w14:paraId="5C272CF2" w14:textId="77777777" w:rsidR="004236F7" w:rsidRPr="009F36E1" w:rsidRDefault="004236F7">
            <w:pPr>
              <w:rPr>
                <w:rFonts w:ascii="Arial" w:hAnsi="Arial" w:cs="Arial"/>
                <w:sz w:val="28"/>
                <w:szCs w:val="28"/>
              </w:rPr>
            </w:pPr>
            <w:r>
              <w:rPr>
                <w:rFonts w:ascii="Arial" w:hAnsi="Arial" w:cs="Arial"/>
                <w:sz w:val="28"/>
                <w:szCs w:val="28"/>
              </w:rPr>
              <w:t>Relator(a)</w:t>
            </w:r>
          </w:p>
        </w:tc>
        <w:tc>
          <w:tcPr>
            <w:tcW w:w="447" w:type="dxa"/>
            <w:vAlign w:val="center"/>
          </w:tcPr>
          <w:p w14:paraId="65F4370D" w14:textId="77777777" w:rsidR="004236F7" w:rsidRPr="009F36E1" w:rsidRDefault="004236F7">
            <w:pPr>
              <w:ind w:right="-11"/>
              <w:rPr>
                <w:rFonts w:ascii="Arial" w:hAnsi="Arial" w:cs="Arial"/>
                <w:sz w:val="28"/>
                <w:szCs w:val="28"/>
              </w:rPr>
            </w:pPr>
            <w:r>
              <w:rPr>
                <w:rFonts w:ascii="Arial" w:hAnsi="Arial" w:cs="Arial"/>
                <w:sz w:val="28"/>
                <w:szCs w:val="28"/>
              </w:rPr>
              <w:t>:</w:t>
            </w:r>
          </w:p>
        </w:tc>
        <w:tc>
          <w:tcPr>
            <w:tcW w:w="4590" w:type="dxa"/>
            <w:gridSpan w:val="2"/>
            <w:vAlign w:val="center"/>
          </w:tcPr>
          <w:p w14:paraId="64F0CBAE" w14:textId="77777777" w:rsidR="004236F7" w:rsidRPr="009F36E1" w:rsidRDefault="004236F7">
            <w:pPr>
              <w:rPr>
                <w:rFonts w:ascii="Arial" w:hAnsi="Arial" w:cs="Arial"/>
                <w:b/>
                <w:sz w:val="28"/>
                <w:szCs w:val="28"/>
              </w:rPr>
            </w:pPr>
            <w:r>
              <w:rPr>
                <w:rFonts w:ascii="Arial" w:hAnsi="Arial" w:cs="Arial"/>
                <w:b/>
                <w:bCs/>
                <w:sz w:val="28"/>
                <w:szCs w:val="28"/>
              </w:rPr>
              <w:t>Des. Sérgio Rocha</w:t>
            </w:r>
          </w:p>
        </w:tc>
      </w:tr>
    </w:tbl>
    <w:p>
      <w:pPr>
        <w:spacing w:after="0" w:line="360" w:lineRule="auto"/>
        <w:jc w:val="left"/>
      </w:pPr>
      <w:r>
        <w:rPr>
          <w:rFonts w:ascii="Arial" w:hAnsi="Arial"/>
          <w:b/>
          <w:sz w:val="28"/>
        </w:rPr>
        <w:t>EMENTA</w:t>
      </w:r>
    </w:p>
    <w:p>
      <w:pPr>
        <w:spacing w:after="0" w:line="360" w:lineRule="auto"/>
        <w:jc w:val="both"/>
      </w:pPr>
      <w:r>
        <w:rPr>
          <w:rFonts w:ascii="Arial" w:hAnsi="Arial"/>
          <w:sz w:val="28"/>
        </w:rPr>
        <w:t>AGRAVO DE INSTRUMENTO. DIREITO PROCESSUAL CIVIL. EXECUÇÃO DE TÍTULO EXTRAJUDICIAL. CÉDULA DE CRÉDITO BANCÁRIO. SISBAJUD. NOVA PESQUISA DE ATIVOS FINANCEIROS. DECURSO DE MAIS DE UM ANO. RECURSO PROVIDO.</w:t>
      </w:r>
    </w:p>
    <w:p>
      <w:pPr>
        <w:spacing w:after="0" w:line="360" w:lineRule="auto"/>
        <w:jc w:val="both"/>
      </w:pPr>
      <w:r>
        <w:rPr>
          <w:rFonts w:ascii="Arial" w:hAnsi="Arial"/>
          <w:b/>
          <w:sz w:val="28"/>
        </w:rPr>
        <w:t>I. Caso em exame</w:t>
      </w:r>
    </w:p>
    <w:p>
      <w:pPr>
        <w:spacing w:after="0" w:line="360" w:lineRule="auto"/>
        <w:jc w:val="both"/>
      </w:pPr>
      <w:r>
        <w:rPr>
          <w:rFonts w:ascii="Arial" w:hAnsi="Arial"/>
          <w:sz w:val="28"/>
        </w:rPr>
        <w:t>1. Execução de título extrajudicial proposta por Banco do Brasil S.A. contra Solar Comércio de Medicamentos Ltda. e pessoa natural, fundada em cédula de crédito bancário (R$ 678.112,33).</w:t>
      </w:r>
    </w:p>
    <w:p>
      <w:pPr>
        <w:spacing w:after="0" w:line="360" w:lineRule="auto"/>
        <w:jc w:val="both"/>
      </w:pPr>
      <w:r>
        <w:rPr>
          <w:rFonts w:ascii="Arial" w:hAnsi="Arial"/>
          <w:sz w:val="28"/>
        </w:rPr>
        <w:t>2. A decisão agravada indeferiu pesquisas de bens (imóveis, SISBAJUD e INFOJUD) e ofício à SUSEP, por ausência de demonstração mínima de utilidade das medidas, e suspendeu o processo por um ano.</w:t>
      </w:r>
    </w:p>
    <w:p>
      <w:pPr>
        <w:spacing w:after="0" w:line="360" w:lineRule="auto"/>
        <w:jc w:val="both"/>
      </w:pPr>
      <w:r>
        <w:rPr>
          <w:rFonts w:ascii="Arial" w:hAnsi="Arial"/>
          <w:sz w:val="28"/>
        </w:rPr>
        <w:t>3. O exequente agrava requerendo nova pesquisa de ativos no SISBAJUD, pois a última ocorreu há mais de um ano.</w:t>
      </w:r>
    </w:p>
    <w:p>
      <w:pPr>
        <w:spacing w:after="0" w:line="360" w:lineRule="auto"/>
        <w:jc w:val="both"/>
      </w:pPr>
      <w:r>
        <w:rPr>
          <w:rFonts w:ascii="Arial" w:hAnsi="Arial"/>
          <w:b/>
          <w:sz w:val="28"/>
        </w:rPr>
        <w:t>II. Questão em discussão</w:t>
      </w:r>
    </w:p>
    <w:p>
      <w:pPr>
        <w:spacing w:after="0" w:line="360" w:lineRule="auto"/>
        <w:jc w:val="both"/>
      </w:pPr>
      <w:r>
        <w:rPr>
          <w:rFonts w:ascii="Arial" w:hAnsi="Arial"/>
          <w:sz w:val="28"/>
        </w:rPr>
        <w:t>4. A questão em discussão consiste em saber se o decurso de mais de um ano desde a última pesquisa autoriza nova consulta ao SISBAJUD, sem prova prévia de alteração patrimonial dos executados.</w:t>
      </w:r>
    </w:p>
    <w:p>
      <w:pPr>
        <w:spacing w:after="0" w:line="360" w:lineRule="auto"/>
        <w:jc w:val="both"/>
      </w:pPr>
      <w:r>
        <w:rPr>
          <w:rFonts w:ascii="Arial" w:hAnsi="Arial"/>
          <w:b/>
          <w:sz w:val="28"/>
        </w:rPr>
        <w:t>III. Razões de decidir</w:t>
      </w:r>
    </w:p>
    <w:p>
      <w:pPr>
        <w:spacing w:after="0" w:line="360" w:lineRule="auto"/>
        <w:jc w:val="both"/>
      </w:pPr>
      <w:r>
        <w:rPr>
          <w:rFonts w:ascii="Arial" w:hAnsi="Arial"/>
          <w:sz w:val="28"/>
        </w:rPr>
        <w:t>5. A execução se realiza no interesse do exequente, e o decurso de mais de um ano desde a última pesquisa justifica nova consulta ao SISBAJUD, pela possibilidade de alteração da situação econômica do devedor, sem exigir prova prévia de alteração patrimonial (CPC 797).</w:t>
      </w:r>
    </w:p>
    <w:p>
      <w:pPr>
        <w:spacing w:after="0" w:line="360" w:lineRule="auto"/>
        <w:jc w:val="both"/>
      </w:pPr>
      <w:r>
        <w:rPr>
          <w:rFonts w:ascii="Arial" w:hAnsi="Arial"/>
          <w:sz w:val="28"/>
        </w:rPr>
        <w:t>6. No caso, a última pesquisa no SISBAJUD ocorreu em 20/02/2025, e o prazo superior a um ano autoriza a renovação da diligência.</w:t>
      </w:r>
    </w:p>
    <w:p>
      <w:pPr>
        <w:spacing w:after="0" w:line="360" w:lineRule="auto"/>
        <w:jc w:val="both"/>
      </w:pPr>
      <w:r>
        <w:rPr>
          <w:rFonts w:ascii="Arial" w:hAnsi="Arial"/>
          <w:b/>
          <w:sz w:val="28"/>
        </w:rPr>
        <w:t>IV. Dispositivo</w:t>
      </w:r>
    </w:p>
    <w:p>
      <w:pPr>
        <w:spacing w:after="0" w:line="360" w:lineRule="auto"/>
        <w:jc w:val="both"/>
      </w:pPr>
      <w:r>
        <w:rPr>
          <w:rFonts w:ascii="Arial" w:hAnsi="Arial"/>
          <w:sz w:val="28"/>
        </w:rPr>
        <w:t>7. Deu-se provimento ao agravo de instrumento do exequente para, confirmando a liminar, determinar nova pesquisa de ativos no SISBAJUD.</w:t>
      </w:r>
    </w:p>
    <w:p>
      <w:pPr>
        <w:spacing w:after="0" w:line="360" w:lineRule="auto"/>
      </w:pPr>
      <w:r>
        <w:rPr>
          <w:rFonts w:ascii="Arial" w:hAnsi="Arial"/>
          <w:sz w:val="28"/>
        </w:rPr>
        <w:t>__________</w:t>
      </w:r>
    </w:p>
    <w:p>
      <w:pPr>
        <w:spacing w:after="0" w:line="360" w:lineRule="auto"/>
        <w:jc w:val="both"/>
      </w:pPr>
      <w:r>
        <w:rPr>
          <w:rFonts w:ascii="Arial" w:hAnsi="Arial"/>
          <w:i/>
          <w:sz w:val="26"/>
        </w:rPr>
        <w:t>Dispositivos relevantes citados:</w:t>
      </w:r>
      <w:r>
        <w:rPr>
          <w:rFonts w:ascii="Arial" w:hAnsi="Arial"/>
          <w:sz w:val="26"/>
        </w:rPr>
        <w:t xml:space="preserve"> CPC, art. 797.</w:t>
      </w:r>
    </w:p>
    <w:p>
      <w:pPr>
        <w:spacing w:after="0" w:line="360" w:lineRule="auto"/>
        <w:jc w:val="both"/>
      </w:pPr>
      <w:r>
        <w:rPr>
          <w:rFonts w:ascii="Arial" w:hAnsi="Arial"/>
          <w:i/>
          <w:sz w:val="26"/>
        </w:rPr>
        <w:t>Jurisprudência relevante citada:</w:t>
      </w:r>
      <w:r>
        <w:rPr>
          <w:rFonts w:ascii="Arial" w:hAnsi="Arial"/>
          <w:sz w:val="26"/>
        </w:rPr>
        <w:t xml:space="preserve"> TJDFT, Acórdão 1990502, 0700850-70.2025.8.07.0000, Rel. Des. Aiston Henrique de Sousa, 4ª Turma Cível, j. 10/04/2025, DJe 07/05/2025.</w:t>
      </w:r>
    </w:p>
    <w:p>
      <w:pPr>
        <w:spacing w:after="0" w:line="360" w:lineRule="auto"/>
        <w:jc w:val="both"/>
      </w:pPr>
    </w:p>
    <w:p>
      <w:pPr>
        <w:spacing w:after="0" w:line="360" w:lineRule="auto"/>
        <w:jc w:val="left"/>
      </w:pPr>
      <w:r>
        <w:rPr>
          <w:rFonts w:ascii="Arial" w:hAnsi="Arial"/>
          <w:b/>
          <w:color w:val="EE0000"/>
          <w:sz w:val="28"/>
          <w:highlight w:val="yellow"/>
        </w:rPr>
        <w:t>RESUMO DA DECISÃO EM SENTIDO CONTRÁRIO</w:t>
      </w:r>
    </w:p>
    <w:p>
      <w:pPr>
        <w:spacing w:after="0" w:line="360" w:lineRule="auto"/>
        <w:jc w:val="both"/>
      </w:pPr>
    </w:p>
    <w:p>
      <w:pPr>
        <w:spacing w:after="0" w:line="360" w:lineRule="auto"/>
        <w:jc w:val="both"/>
      </w:pPr>
      <w:r>
        <w:rPr>
          <w:rFonts w:ascii="Arial" w:hAnsi="Arial"/>
          <w:b/>
          <w:color w:val="EE0000"/>
          <w:sz w:val="28"/>
        </w:rPr>
        <w:t>I. RAZÕES DE DECIDIR</w:t>
      </w:r>
    </w:p>
    <w:p>
      <w:pPr>
        <w:spacing w:after="0" w:line="360" w:lineRule="auto"/>
        <w:jc w:val="both"/>
      </w:pPr>
    </w:p>
    <w:p>
      <w:pPr>
        <w:spacing w:after="0" w:line="360" w:lineRule="auto"/>
        <w:jc w:val="both"/>
      </w:pPr>
      <w:r>
        <w:rPr>
          <w:rFonts w:ascii="Arial" w:hAnsi="Arial"/>
          <w:b/>
          <w:color w:val="EE0000"/>
          <w:sz w:val="28"/>
        </w:rPr>
        <w:t>Pesquisas patrimoniais</w:t>
      </w:r>
    </w:p>
    <w:p>
      <w:pPr>
        <w:spacing w:after="0" w:line="360" w:lineRule="auto"/>
        <w:jc w:val="both"/>
      </w:pPr>
      <w:r>
        <w:rPr>
          <w:rFonts w:ascii="Arial" w:hAnsi="Arial"/>
          <w:color w:val="EE0000"/>
          <w:sz w:val="28"/>
        </w:rPr>
        <w:t>1. Indeferiu a pesquisa de bens imóveis, a nova pesquisa no SISBAJUD e no INFOJUD e a expedição de ofício à SUSEP, por considerar o requerimento genérico, sem planilha do débito e sem demonstração mínima de viabilidade, utilidade ou pertinência concreta das medidas.</w:t>
      </w:r>
    </w:p>
    <w:p>
      <w:pPr>
        <w:spacing w:after="0" w:line="360" w:lineRule="auto"/>
        <w:jc w:val="both"/>
      </w:pPr>
    </w:p>
    <w:p>
      <w:pPr>
        <w:spacing w:after="0" w:line="360" w:lineRule="auto"/>
        <w:jc w:val="both"/>
      </w:pPr>
      <w:r>
        <w:rPr>
          <w:rFonts w:ascii="Arial" w:hAnsi="Arial"/>
          <w:b/>
          <w:color w:val="EE0000"/>
          <w:sz w:val="28"/>
        </w:rPr>
        <w:t>Atuação do Juízo</w:t>
      </w:r>
    </w:p>
    <w:p>
      <w:pPr>
        <w:spacing w:after="0" w:line="360" w:lineRule="auto"/>
        <w:jc w:val="both"/>
      </w:pPr>
      <w:r>
        <w:rPr>
          <w:rFonts w:ascii="Arial" w:hAnsi="Arial"/>
          <w:color w:val="EE0000"/>
          <w:sz w:val="28"/>
        </w:rPr>
        <w:t>2. Registrou que as pesquisas no SISBAJUD e no INFOJUD já haviam sido realizadas, que o exequente não se manifestou concretamente sobre elas e que a atuação judicial na investigação patrimonial é subsidiária, quando ausentes elementos objetivos que justifiquem novas diligências.</w:t>
      </w:r>
    </w:p>
    <w:p>
      <w:pPr>
        <w:spacing w:after="0" w:line="360" w:lineRule="auto"/>
        <w:jc w:val="both"/>
      </w:pPr>
    </w:p>
    <w:p>
      <w:pPr>
        <w:spacing w:after="0" w:line="360" w:lineRule="auto"/>
        <w:jc w:val="both"/>
      </w:pPr>
      <w:r>
        <w:rPr>
          <w:rFonts w:ascii="Arial" w:hAnsi="Arial"/>
          <w:b/>
          <w:color w:val="EE0000"/>
          <w:sz w:val="28"/>
        </w:rPr>
        <w:t>II. DISPOSITIVO DA DECISÃO</w:t>
      </w:r>
    </w:p>
    <w:p>
      <w:pPr>
        <w:spacing w:after="0" w:line="360" w:lineRule="auto"/>
        <w:jc w:val="both"/>
      </w:pPr>
      <w:r>
        <w:rPr>
          <w:rFonts w:ascii="Arial" w:hAnsi="Arial"/>
          <w:color w:val="EE0000"/>
          <w:sz w:val="28"/>
        </w:rPr>
        <w:t>3. Indeferiu as diligências, suspendeu o processo e o curso do prazo prescricional por um ano e determinou a remessa dos autos ao arquivo provisório.</w:t>
      </w:r>
    </w:p>
    <w:p>
      <w:pPr>
        <w:spacing w:after="0" w:line="360" w:lineRule="auto"/>
        <w:jc w:val="both"/>
      </w:pPr>
    </w:p>
    <w:p>
      <w:pPr>
        <w:spacing w:after="0" w:line="360" w:lineRule="auto"/>
        <w:jc w:val="left"/>
      </w:pPr>
      <w:r>
        <w:rPr>
          <w:rFonts w:ascii="Arial" w:hAnsi="Arial"/>
          <w:b/>
          <w:color w:val="EE0000"/>
          <w:sz w:val="28"/>
          <w:highlight w:val="yellow"/>
        </w:rPr>
        <w:t>RESUMO DO AGRAVO DE INSTRUMENTO</w:t>
      </w:r>
    </w:p>
    <w:p>
      <w:pPr>
        <w:spacing w:after="0" w:line="360" w:lineRule="auto"/>
        <w:jc w:val="both"/>
      </w:pPr>
    </w:p>
    <w:p>
      <w:pPr>
        <w:spacing w:after="0" w:line="360" w:lineRule="auto"/>
        <w:jc w:val="both"/>
      </w:pPr>
      <w:r>
        <w:rPr>
          <w:rFonts w:ascii="Arial" w:hAnsi="Arial"/>
          <w:b/>
          <w:color w:val="EE0000"/>
          <w:sz w:val="28"/>
        </w:rPr>
        <w:t>I. RAZÕES RECURSAIS</w:t>
      </w:r>
    </w:p>
    <w:p>
      <w:pPr>
        <w:spacing w:after="0" w:line="360" w:lineRule="auto"/>
        <w:jc w:val="both"/>
      </w:pPr>
    </w:p>
    <w:p>
      <w:pPr>
        <w:spacing w:after="0" w:line="360" w:lineRule="auto"/>
        <w:jc w:val="both"/>
      </w:pPr>
      <w:r>
        <w:rPr>
          <w:rFonts w:ascii="Arial" w:hAnsi="Arial"/>
          <w:b/>
          <w:color w:val="EE0000"/>
          <w:sz w:val="28"/>
        </w:rPr>
        <w:t>Impossibilidade de localizar bens</w:t>
      </w:r>
    </w:p>
    <w:p>
      <w:pPr>
        <w:spacing w:after="0" w:line="360" w:lineRule="auto"/>
        <w:jc w:val="both"/>
      </w:pPr>
      <w:r>
        <w:rPr>
          <w:rFonts w:ascii="Arial" w:hAnsi="Arial"/>
          <w:color w:val="EE0000"/>
          <w:sz w:val="28"/>
        </w:rPr>
        <w:t>1. Sustenta que a negativa de nova pesquisa no SISBAJUD impede a identificação de bens penhoráveis e compromete o prosseguimento da execução.</w:t>
      </w:r>
    </w:p>
    <w:p>
      <w:pPr>
        <w:spacing w:after="0" w:line="360" w:lineRule="auto"/>
        <w:jc w:val="both"/>
      </w:pPr>
      <w:r>
        <w:rPr>
          <w:rFonts w:ascii="Arial" w:hAnsi="Arial"/>
          <w:b/>
          <w:color w:val="EE0000"/>
          <w:sz w:val="28"/>
        </w:rPr>
        <w:t>Decurso de mais de um ano</w:t>
      </w:r>
    </w:p>
    <w:p>
      <w:pPr>
        <w:spacing w:after="0" w:line="360" w:lineRule="auto"/>
        <w:jc w:val="both"/>
      </w:pPr>
      <w:r>
        <w:rPr>
          <w:rFonts w:ascii="Arial" w:hAnsi="Arial"/>
          <w:color w:val="EE0000"/>
          <w:sz w:val="28"/>
        </w:rPr>
        <w:t>2. Afirma que a última pesquisa patrimonial ocorreu em 20/02/2025, e o lapso temporal justifica a renovação da diligência.</w:t>
      </w:r>
    </w:p>
    <w:p>
      <w:pPr>
        <w:spacing w:after="0" w:line="360" w:lineRule="auto"/>
        <w:jc w:val="both"/>
      </w:pPr>
      <w:r>
        <w:rPr>
          <w:rFonts w:ascii="Arial" w:hAnsi="Arial"/>
          <w:b/>
          <w:color w:val="EE0000"/>
          <w:sz w:val="28"/>
        </w:rPr>
        <w:t>Sigilo bancário</w:t>
      </w:r>
    </w:p>
    <w:p>
      <w:pPr>
        <w:spacing w:after="0" w:line="360" w:lineRule="auto"/>
        <w:jc w:val="both"/>
      </w:pPr>
      <w:r>
        <w:rPr>
          <w:rFonts w:ascii="Arial" w:hAnsi="Arial"/>
          <w:color w:val="EE0000"/>
          <w:sz w:val="28"/>
        </w:rPr>
        <w:t>3. Alega que a obtenção extrajudicial de dados financeiros é inviável, por causa do sigilo bancário e das políticas de compliance das instituições privadas.</w:t>
      </w:r>
    </w:p>
    <w:p>
      <w:pPr>
        <w:spacing w:after="0" w:line="360" w:lineRule="auto"/>
        <w:jc w:val="both"/>
      </w:pPr>
      <w:r>
        <w:rPr>
          <w:rFonts w:ascii="Arial" w:hAnsi="Arial"/>
          <w:b/>
          <w:color w:val="EE0000"/>
          <w:sz w:val="28"/>
        </w:rPr>
        <w:t>Cooperação e efetividade da execução</w:t>
      </w:r>
    </w:p>
    <w:p>
      <w:pPr>
        <w:spacing w:after="0" w:line="360" w:lineRule="auto"/>
        <w:jc w:val="both"/>
      </w:pPr>
      <w:r>
        <w:rPr>
          <w:rFonts w:ascii="Arial" w:hAnsi="Arial"/>
          <w:color w:val="EE0000"/>
          <w:sz w:val="28"/>
        </w:rPr>
        <w:t>4. Argumenta que o indeferimento viola o dever de cooperação e a máxima efetividade da execução, pois cabe ao Juízo determinar as medidas necessárias à satisfação do crédito.</w:t>
      </w:r>
    </w:p>
    <w:p>
      <w:pPr>
        <w:spacing w:after="0" w:line="360" w:lineRule="auto"/>
        <w:jc w:val="both"/>
      </w:pPr>
      <w:r>
        <w:rPr>
          <w:rFonts w:ascii="Arial" w:hAnsi="Arial"/>
          <w:b/>
          <w:color w:val="EE0000"/>
          <w:sz w:val="28"/>
        </w:rPr>
        <w:t>II. PEDIDO</w:t>
      </w:r>
    </w:p>
    <w:p>
      <w:pPr>
        <w:spacing w:after="0" w:line="360" w:lineRule="auto"/>
        <w:jc w:val="both"/>
      </w:pPr>
      <w:r>
        <w:rPr>
          <w:rFonts w:ascii="Arial" w:hAnsi="Arial"/>
          <w:color w:val="EE0000"/>
          <w:sz w:val="28"/>
        </w:rPr>
        <w:t>5. Requer a reforma da decisão para que seja autorizada nova pesquisa via SISBAJUD.</w:t>
      </w:r>
    </w:p>
    <w:p>
      <w:pPr>
        <w:spacing w:after="0" w:line="360" w:lineRule="auto"/>
        <w:jc w:val="both"/>
      </w:pPr>
    </w:p>
    <w:p>
      <w:pPr>
        <w:pageBreakBefore/>
        <w:spacing w:after="0" w:line="360" w:lineRule="auto"/>
        <w:jc w:val="center"/>
      </w:pPr>
      <w:r>
        <w:rPr>
          <w:rFonts w:ascii="Arial" w:hAnsi="Arial"/>
          <w:b/>
          <w:sz w:val="28"/>
        </w:rPr>
        <w:t>RELATÓRIO</w:t>
      </w:r>
    </w:p>
    <w:p>
      <w:pPr>
        <w:spacing w:after="0" w:line="360" w:lineRule="auto"/>
        <w:jc w:val="both"/>
      </w:pPr>
    </w:p>
    <w:p>
      <w:pPr>
        <w:spacing w:after="0" w:line="360" w:lineRule="auto"/>
        <w:ind w:firstLine="2268"/>
        <w:jc w:val="both"/>
      </w:pPr>
      <w:commentRangeStart w:id="0"/>
      <w:r>
        <w:rPr>
          <w:rFonts w:ascii="Arial" w:hAnsi="Arial"/>
          <w:sz w:val="28"/>
        </w:rPr>
        <w:t>Adoto o relatório da liminar (ID 86810668):</w:t>
      </w:r>
      <w:commentRangeEnd w:id="0"/>
      <w:r>
        <w:rPr>
          <w:rStyle w:val="CommentReference"/>
        </w:rPr>
        <w:commentReference w:id="0"/>
      </w:r>
    </w:p>
    <w:p>
      <w:pPr>
        <w:spacing w:after="0" w:line="360" w:lineRule="auto"/>
        <w:jc w:val="both"/>
      </w:pPr>
    </w:p>
    <w:p>
      <w:pPr>
        <w:spacing w:after="0" w:line="360" w:lineRule="auto"/>
        <w:ind w:firstLine="1134" w:left="2268"/>
        <w:jc w:val="both"/>
      </w:pPr>
      <w:r>
        <w:rPr>
          <w:rFonts w:ascii="Arial" w:hAnsi="Arial"/>
          <w:i/>
          <w:sz w:val="26"/>
        </w:rPr>
        <w:t>“Trata-se, na origem, de execução de título extrajudicial ajuizada por Banco Do Brasil S/A contra Solar Comércio de Medicamentos Ltda e Emerson Cicari de Morais e Silva, fundada em cédula de crédito bancário (R$ 678.112,33).</w:t>
      </w:r>
    </w:p>
    <w:p>
      <w:pPr>
        <w:spacing w:after="0" w:line="360" w:lineRule="auto"/>
        <w:jc w:val="both"/>
      </w:pPr>
    </w:p>
    <w:p>
      <w:pPr>
        <w:spacing w:after="0" w:line="360" w:lineRule="auto"/>
        <w:ind w:firstLine="1134" w:left="2268"/>
        <w:jc w:val="both"/>
      </w:pPr>
      <w:r>
        <w:rPr>
          <w:rFonts w:ascii="Arial" w:hAnsi="Arial"/>
          <w:i/>
          <w:sz w:val="26"/>
        </w:rPr>
        <w:t>O Juízo de origem indeferiu o pedido de pesquisa de bens imóveis, nova pesquisa BACEN/SISBAJUD e INFOJUD e expedição de ofício à SUSEP, ao fundamento de que o requerimento era genérico, desacompanhado de planilha do débito e sem demonstração mínima de viabilidade, utilidade ou pertinência concreta das medidas postuladas. Registrou, ainda, que pesquisas SISBAJUD e INFOJUD já haviam sido realizadas, que a parte exequente não se manifestou concretamente a respeito delas e que a atuação judicial na investigação patrimonial deve ser subsidiária, especialmente quando ausentes elementos objetivos que justifiquem novas diligências. Ao final, suspendeu o processo e o curso do prazo prescricional pelo prazo de 1 ano, com fundamento no art. 921, III, do CPC, e determinou a remessa dos autos ao arquivo provisório (ID 280498576, origem).</w:t>
      </w:r>
    </w:p>
    <w:p>
      <w:pPr>
        <w:spacing w:after="0" w:line="360" w:lineRule="auto"/>
        <w:jc w:val="both"/>
      </w:pPr>
    </w:p>
    <w:p>
      <w:pPr>
        <w:spacing w:after="0" w:line="360" w:lineRule="auto"/>
        <w:ind w:firstLine="1134" w:left="2268"/>
        <w:jc w:val="both"/>
      </w:pPr>
      <w:r>
        <w:rPr>
          <w:rFonts w:ascii="Arial" w:hAnsi="Arial"/>
          <w:i/>
          <w:sz w:val="26"/>
        </w:rPr>
        <w:t>O exequente interpôs agravo de instrumento alegando, em síntese, que: 1) a negativa de nova pesquisa SISBAJUD impede a identificação de bens penhoráveis e compromete o prosseguimento da execução; 2) a última pesquisa patrimonial teria ocorrido em 20 de fevereiro de 2025, de modo que o lapso temporal justificaria a renovação da diligência; 3) a obtenção extrajudicial de dados financeiros seria dificultosa ou inviável em razão de regras de sigilo e políticas de compliance das instituições privadas; 4) o indeferimento violaria os princípios da cooperação processual e da máxima efetividade da execução, pois caberia ao Juízo determinar medidas necessárias à satisfação do crédito.</w:t>
      </w:r>
    </w:p>
    <w:p>
      <w:pPr>
        <w:spacing w:after="0" w:line="360" w:lineRule="auto"/>
        <w:jc w:val="both"/>
      </w:pPr>
    </w:p>
    <w:p>
      <w:pPr>
        <w:spacing w:after="0" w:line="360" w:lineRule="auto"/>
        <w:ind w:firstLine="1134" w:left="2268"/>
        <w:jc w:val="both"/>
      </w:pPr>
      <w:r>
        <w:rPr>
          <w:rFonts w:ascii="Arial" w:hAnsi="Arial"/>
          <w:i/>
          <w:sz w:val="26"/>
        </w:rPr>
        <w:t>Requer a concessão de efeito suspensivo ao recurso, a fim de obstar os efeitos da decisão agravada, bem como, no mérito, a reforma da decisão interlocutória para autorizar a diligência postulada (ID 86693238).” (ID 86810668)</w:t>
      </w:r>
    </w:p>
    <w:p>
      <w:pPr>
        <w:spacing w:after="0" w:line="360" w:lineRule="auto"/>
        <w:jc w:val="both"/>
      </w:pPr>
    </w:p>
    <w:p>
      <w:pPr>
        <w:spacing w:after="0" w:line="360" w:lineRule="auto"/>
        <w:ind w:firstLine="2268"/>
        <w:jc w:val="both"/>
      </w:pPr>
      <w:r>
        <w:rPr>
          <w:rFonts w:ascii="Arial" w:hAnsi="Arial"/>
          <w:sz w:val="28"/>
        </w:rPr>
        <w:t>Deferi a antecipação da tutela recursal para determinar a realização de pesquisa de ativos no sistema SISBAJUD (ID 86810668).</w:t>
      </w:r>
    </w:p>
    <w:p>
      <w:pPr>
        <w:spacing w:after="0" w:line="360" w:lineRule="auto"/>
        <w:jc w:val="both"/>
      </w:pPr>
    </w:p>
    <w:p>
      <w:pPr>
        <w:spacing w:after="0" w:line="360" w:lineRule="auto"/>
        <w:ind w:firstLine="2268"/>
        <w:jc w:val="both"/>
      </w:pPr>
      <w:r>
        <w:rPr>
          <w:rFonts w:ascii="Arial" w:hAnsi="Arial"/>
          <w:sz w:val="28"/>
        </w:rPr>
        <w:t>Sem contrarrazões (ID 90972426).</w:t>
      </w:r>
    </w:p>
    <w:p>
      <w:pPr>
        <w:spacing w:after="0" w:line="360" w:lineRule="auto"/>
        <w:jc w:val="both"/>
      </w:pPr>
    </w:p>
    <w:p>
      <w:pPr>
        <w:spacing w:after="0" w:line="360" w:lineRule="auto"/>
        <w:ind w:firstLine="2268"/>
        <w:jc w:val="both"/>
      </w:pPr>
      <w:r>
        <w:rPr>
          <w:rFonts w:ascii="Arial" w:hAnsi="Arial"/>
          <w:sz w:val="28"/>
        </w:rPr>
        <w:t>É o relatório.</w:t>
      </w:r>
    </w:p>
    <w:p>
      <w:pPr>
        <w:spacing w:after="0" w:line="360" w:lineRule="auto"/>
        <w:jc w:val="both"/>
      </w:pPr>
    </w:p>
    <w:p>
      <w:pPr>
        <w:spacing w:after="0" w:line="360" w:lineRule="auto"/>
        <w:jc w:val="center"/>
      </w:pPr>
      <w:r>
        <w:rPr>
          <w:rFonts w:ascii="Arial" w:hAnsi="Arial"/>
          <w:b/>
          <w:sz w:val="28"/>
        </w:rPr>
        <w:t>VOTO</w:t>
      </w:r>
    </w:p>
    <w:p>
      <w:pPr>
        <w:spacing w:after="0" w:line="360" w:lineRule="auto"/>
        <w:jc w:val="both"/>
      </w:pPr>
    </w:p>
    <w:p>
      <w:pPr>
        <w:spacing w:after="0" w:line="360" w:lineRule="auto"/>
        <w:jc w:val="both"/>
      </w:pPr>
      <w:r>
        <w:rPr>
          <w:rFonts w:ascii="Arial" w:hAnsi="Arial"/>
          <w:b/>
          <w:sz w:val="28"/>
        </w:rPr>
        <w:t>O Senhor Desembargador SÉRGIO ROCHA – Relator.</w:t>
      </w:r>
    </w:p>
    <w:p>
      <w:pPr>
        <w:spacing w:after="0" w:line="360" w:lineRule="auto"/>
        <w:jc w:val="both"/>
      </w:pPr>
    </w:p>
    <w:p>
      <w:pPr>
        <w:spacing w:after="0" w:line="360" w:lineRule="auto"/>
        <w:jc w:val="center"/>
      </w:pPr>
      <w:r>
        <w:rPr>
          <w:rFonts w:ascii="Arial" w:hAnsi="Arial"/>
          <w:b/>
          <w:sz w:val="28"/>
        </w:rPr>
        <w:t>AGRAVO DE INSTRUMENTO DO EXEQUENTE, BANCO DO BRASIL S/A</w:t>
      </w:r>
    </w:p>
    <w:p>
      <w:pPr>
        <w:spacing w:after="0" w:line="360" w:lineRule="auto"/>
        <w:jc w:val="both"/>
      </w:pPr>
    </w:p>
    <w:p>
      <w:pPr>
        <w:spacing w:after="0" w:line="360" w:lineRule="auto"/>
        <w:ind w:firstLine="2268"/>
        <w:jc w:val="both"/>
      </w:pPr>
      <w:commentRangeStart w:id="1"/>
      <w:r>
        <w:rPr>
          <w:rFonts w:ascii="Arial" w:hAnsi="Arial"/>
          <w:sz w:val="28"/>
        </w:rPr>
        <w:t>Presentes os pressupostos de admissibilidade, conheço do agravo de instrumento.</w:t>
      </w:r>
      <w:commentRangeEnd w:id="1"/>
      <w:r>
        <w:rPr>
          <w:rStyle w:val="CommentReference"/>
        </w:rPr>
        <w:commentReference w:id="1"/>
      </w:r>
    </w:p>
    <w:p>
      <w:pPr>
        <w:spacing w:after="0" w:line="360" w:lineRule="auto"/>
        <w:jc w:val="both"/>
      </w:pPr>
    </w:p>
    <w:p>
      <w:pPr>
        <w:spacing w:after="0" w:line="360" w:lineRule="auto"/>
        <w:jc w:val="center"/>
      </w:pPr>
      <w:r>
        <w:rPr>
          <w:rFonts w:ascii="Arial" w:hAnsi="Arial"/>
          <w:sz w:val="28"/>
          <w:highlight w:val="yellow"/>
        </w:rPr>
        <w:t>DO CABIMENTO DA NOVA PESQUISA NO SISBAJUD APÓS O DECURSO DE MAIS DE UM ANO DA ÚLTIMA DILIGÊNCIA</w:t>
      </w:r>
    </w:p>
    <w:p>
      <w:pPr>
        <w:spacing w:after="0" w:line="360" w:lineRule="auto"/>
        <w:jc w:val="both"/>
      </w:pPr>
    </w:p>
    <w:p>
      <w:pPr>
        <w:spacing w:after="0" w:line="360" w:lineRule="auto"/>
        <w:ind w:firstLine="2268"/>
        <w:jc w:val="both"/>
      </w:pPr>
      <w:commentRangeStart w:id="2"/>
      <w:r>
        <w:rPr>
          <w:rFonts w:ascii="Arial" w:hAnsi="Arial"/>
          <w:sz w:val="28"/>
        </w:rPr>
        <w:t xml:space="preserve">O exequente/agravante alega que: </w:t>
      </w:r>
      <w:r>
        <w:rPr>
          <w:rFonts w:ascii="Arial" w:hAnsi="Arial"/>
          <w:b/>
          <w:sz w:val="28"/>
        </w:rPr>
        <w:t>1)</w:t>
      </w:r>
      <w:r>
        <w:rPr>
          <w:rFonts w:ascii="Arial" w:hAnsi="Arial"/>
          <w:sz w:val="28"/>
        </w:rPr>
        <w:t xml:space="preserve"> a negativa de nova pesquisa no SISBAJUD impede a identificação de bens penhoráveis e compromete o prosseguimento da execução; </w:t>
      </w:r>
      <w:r>
        <w:rPr>
          <w:rFonts w:ascii="Arial" w:hAnsi="Arial"/>
          <w:b/>
          <w:sz w:val="28"/>
        </w:rPr>
        <w:t>2)</w:t>
      </w:r>
      <w:r>
        <w:rPr>
          <w:rFonts w:ascii="Arial" w:hAnsi="Arial"/>
          <w:sz w:val="28"/>
        </w:rPr>
        <w:t xml:space="preserve"> a última pesquisa patrimonial ocorreu em 20/02/2025, e o lapso temporal justifica a renovação da diligência; </w:t>
      </w:r>
      <w:r>
        <w:rPr>
          <w:rFonts w:ascii="Arial" w:hAnsi="Arial"/>
          <w:b/>
          <w:sz w:val="28"/>
        </w:rPr>
        <w:t>3)</w:t>
      </w:r>
      <w:r>
        <w:rPr>
          <w:rFonts w:ascii="Arial" w:hAnsi="Arial"/>
          <w:sz w:val="28"/>
        </w:rPr>
        <w:t xml:space="preserve"> a obtenção extrajudicial de dados financeiros é inviável, por causa do sigilo bancário e das políticas de compliance das instituições privadas; </w:t>
      </w:r>
      <w:r>
        <w:rPr>
          <w:rFonts w:ascii="Arial" w:hAnsi="Arial"/>
          <w:b/>
          <w:sz w:val="28"/>
        </w:rPr>
        <w:t>4)</w:t>
      </w:r>
      <w:r>
        <w:rPr>
          <w:rFonts w:ascii="Arial" w:hAnsi="Arial"/>
          <w:sz w:val="28"/>
        </w:rPr>
        <w:t xml:space="preserve"> o indeferimento viola o dever de cooperação (CPC 6º) e a máxima efetividade da execução, pois cabe ao Juízo determinar as medidas necessárias à satisfação do crédito (ID 86693238).</w:t>
      </w:r>
      <w:commentRangeEnd w:id="2"/>
      <w:r>
        <w:rPr>
          <w:rStyle w:val="CommentReference"/>
        </w:rPr>
        <w:commentReference w:id="2"/>
      </w:r>
    </w:p>
    <w:p>
      <w:pPr>
        <w:spacing w:after="0" w:line="360" w:lineRule="auto"/>
        <w:jc w:val="both"/>
      </w:pPr>
    </w:p>
    <w:p>
      <w:pPr>
        <w:spacing w:after="0" w:line="360" w:lineRule="auto"/>
        <w:ind w:firstLine="2268"/>
        <w:jc w:val="both"/>
      </w:pPr>
      <w:r>
        <w:rPr>
          <w:rFonts w:ascii="Arial" w:hAnsi="Arial"/>
          <w:sz w:val="28"/>
        </w:rPr>
        <w:t>Requer a reforma da r. decisão agravada para que seja autorizada nova pesquisa via SISBAJUD.</w:t>
      </w:r>
    </w:p>
    <w:p>
      <w:pPr>
        <w:spacing w:after="0" w:line="360" w:lineRule="auto"/>
        <w:jc w:val="both"/>
      </w:pPr>
    </w:p>
    <w:p>
      <w:pPr>
        <w:spacing w:after="0" w:line="360" w:lineRule="auto"/>
        <w:ind w:firstLine="2268"/>
        <w:jc w:val="both"/>
      </w:pPr>
      <w:r>
        <w:rPr>
          <w:rFonts w:ascii="Arial" w:hAnsi="Arial"/>
          <w:sz w:val="28"/>
          <w:highlight w:val="yellow"/>
        </w:rPr>
        <w:t>Com razão o agravante.</w:t>
      </w:r>
    </w:p>
    <w:p>
      <w:pPr>
        <w:spacing w:after="0" w:line="360" w:lineRule="auto"/>
        <w:jc w:val="both"/>
      </w:pPr>
    </w:p>
    <w:p>
      <w:pPr>
        <w:spacing w:after="0" w:line="360" w:lineRule="auto"/>
        <w:ind w:firstLine="2268"/>
        <w:jc w:val="both"/>
      </w:pPr>
      <w:r>
        <w:rPr>
          <w:rFonts w:ascii="Arial" w:hAnsi="Arial"/>
          <w:sz w:val="28"/>
        </w:rPr>
        <w:t>Mantenho as razões expostas na decisão liminar que deferiu a antecipação da tutela recursal (ID 86810668):</w:t>
      </w:r>
    </w:p>
    <w:p>
      <w:pPr>
        <w:spacing w:after="0" w:line="360" w:lineRule="auto"/>
        <w:jc w:val="both"/>
      </w:pPr>
    </w:p>
    <w:p>
      <w:pPr>
        <w:spacing w:after="0" w:line="360" w:lineRule="auto"/>
        <w:ind w:firstLine="1134" w:left="2268"/>
        <w:jc w:val="both"/>
      </w:pPr>
      <w:r>
        <w:rPr>
          <w:rFonts w:ascii="Arial" w:hAnsi="Arial"/>
          <w:i/>
          <w:sz w:val="26"/>
        </w:rPr>
        <w:t>“(...) Quanto ao mais, vislumbro a probabilidade do direito alegado, ao menos nesta análise preliminar.</w:t>
      </w:r>
    </w:p>
    <w:p>
      <w:pPr>
        <w:spacing w:after="0" w:line="360" w:lineRule="auto"/>
        <w:jc w:val="both"/>
      </w:pPr>
    </w:p>
    <w:p>
      <w:pPr>
        <w:spacing w:after="0" w:line="360" w:lineRule="auto"/>
        <w:ind w:firstLine="1134" w:left="2268"/>
        <w:jc w:val="both"/>
      </w:pPr>
      <w:r>
        <w:rPr>
          <w:rFonts w:ascii="Arial" w:hAnsi="Arial"/>
          <w:i/>
          <w:sz w:val="26"/>
        </w:rPr>
        <w:t>Consta do processo de execução que a última pesquisa de bens pelo SISBAJUD ocorreu em 20/02/2025 (ID 226683953, origem).</w:t>
      </w:r>
    </w:p>
    <w:p>
      <w:pPr>
        <w:spacing w:after="0" w:line="360" w:lineRule="auto"/>
        <w:jc w:val="both"/>
      </w:pPr>
    </w:p>
    <w:p>
      <w:pPr>
        <w:spacing w:after="0" w:line="360" w:lineRule="auto"/>
        <w:ind w:firstLine="1134" w:left="2268"/>
        <w:jc w:val="both"/>
      </w:pPr>
      <w:r>
        <w:rPr>
          <w:rFonts w:ascii="Arial" w:hAnsi="Arial"/>
          <w:i/>
          <w:sz w:val="26"/>
          <w:highlight w:val="yellow"/>
        </w:rPr>
        <w:t>Assim, o decurso de período superior a um ano desde a última pesquisa patrimonial configura parâmetro razoável para autorizar a renovação das diligências no sistema requerido</w:t>
      </w:r>
      <w:r>
        <w:rPr>
          <w:rFonts w:ascii="Arial" w:hAnsi="Arial"/>
          <w:i/>
          <w:sz w:val="26"/>
        </w:rPr>
        <w:t>, dada a possibilidade de alteração da situação econômica dos executados e a natureza satisfativa da execução. (...)” (ID 86810668)</w:t>
      </w:r>
    </w:p>
    <w:p>
      <w:pPr>
        <w:spacing w:after="0" w:line="360" w:lineRule="auto"/>
        <w:jc w:val="both"/>
      </w:pPr>
    </w:p>
    <w:p>
      <w:pPr>
        <w:spacing w:after="0" w:line="360" w:lineRule="auto"/>
        <w:ind w:firstLine="2268"/>
        <w:jc w:val="both"/>
      </w:pPr>
      <w:commentRangeStart w:id="3"/>
      <w:r>
        <w:rPr>
          <w:rFonts w:ascii="Arial" w:hAnsi="Arial"/>
          <w:sz w:val="28"/>
        </w:rPr>
        <w:t>Nesse sentido:</w:t>
      </w:r>
      <w:commentRangeEnd w:id="3"/>
      <w:r>
        <w:rPr>
          <w:rStyle w:val="CommentReference"/>
        </w:rPr>
        <w:commentReference w:id="3"/>
      </w:r>
    </w:p>
    <w:p>
      <w:pPr>
        <w:spacing w:after="0" w:line="360" w:lineRule="auto"/>
        <w:jc w:val="both"/>
      </w:pPr>
    </w:p>
    <w:p>
      <w:pPr>
        <w:spacing w:after="0" w:line="360" w:lineRule="auto"/>
        <w:ind w:firstLine="1134" w:left="2268"/>
        <w:jc w:val="both"/>
      </w:pPr>
      <w:r>
        <w:rPr>
          <w:rFonts w:ascii="Arial" w:hAnsi="Arial"/>
          <w:i/>
          <w:sz w:val="26"/>
        </w:rPr>
        <w:t xml:space="preserve">“(...) 4. A jurisprudência do TJDFT e do STJ admite a reiteração de buscas patrimoniais em sistemas eletrônicos após o transcurso de um ano, </w:t>
      </w:r>
      <w:r>
        <w:rPr>
          <w:rFonts w:ascii="Arial" w:hAnsi="Arial"/>
          <w:i/>
          <w:sz w:val="26"/>
          <w:u w:val="single"/>
        </w:rPr>
        <w:t>sem exigência de comprovação de alteração da situação econômica do devedor</w:t>
      </w:r>
      <w:r>
        <w:rPr>
          <w:rFonts w:ascii="Arial" w:hAnsi="Arial"/>
          <w:i/>
          <w:sz w:val="26"/>
        </w:rPr>
        <w:t>. 5. No caso concreto, considerando que as últimas pesquisas ocorreram há mais de um ano, verifica-se a razoabilidade do pedido, devendo ser deferida a reiteração das diligências. (...)” (Acórdão 1990502, 0700850-70.2025.8.07.0000, Relator(a): AISTON HENRIQUE DE SOUSA, 4ª TURMA CÍVEL, data de julgamento: 10/04/2025, publicado no DJe: 07/05/2025.) – Grifei</w:t>
      </w:r>
    </w:p>
    <w:p>
      <w:pPr>
        <w:spacing w:after="0" w:line="360" w:lineRule="auto"/>
        <w:jc w:val="both"/>
      </w:pPr>
    </w:p>
    <w:p>
      <w:pPr>
        <w:spacing w:after="0" w:line="360" w:lineRule="auto"/>
        <w:ind w:firstLine="2268"/>
        <w:jc w:val="both"/>
      </w:pPr>
      <w:commentRangeStart w:id="4"/>
      <w:r>
        <w:rPr>
          <w:rFonts w:ascii="Arial" w:hAnsi="Arial"/>
          <w:sz w:val="28"/>
        </w:rPr>
        <w:t>Dito isso, e não havendo alteração do quadro fático-jurídico delineado nos autos, com a máxima vênia ao d. Juízo de origem, deve ser reformada a r. decisão agravada, pois a última pesquisa no SISBAJUD ocorreu há mais de um ano (20/02/2025; ID 226683953, do processo de origem) e a execução se realiza no interesse do exequente (CPC 797).</w:t>
      </w:r>
      <w:commentRangeEnd w:id="4"/>
      <w:r>
        <w:rPr>
          <w:rStyle w:val="CommentReference"/>
        </w:rPr>
        <w:commentReference w:id="4"/>
      </w:r>
    </w:p>
    <w:p>
      <w:pPr>
        <w:spacing w:after="0" w:line="360" w:lineRule="auto"/>
        <w:jc w:val="both"/>
      </w:pPr>
    </w:p>
    <w:p>
      <w:pPr>
        <w:spacing w:after="0" w:line="360" w:lineRule="auto"/>
        <w:jc w:val="center"/>
      </w:pPr>
      <w:r>
        <w:rPr>
          <w:rFonts w:ascii="Arial" w:hAnsi="Arial"/>
          <w:b/>
          <w:sz w:val="28"/>
        </w:rPr>
        <w:t>DISPOSITIVO</w:t>
      </w:r>
    </w:p>
    <w:p>
      <w:pPr>
        <w:spacing w:after="0" w:line="360" w:lineRule="auto"/>
        <w:jc w:val="both"/>
      </w:pPr>
    </w:p>
    <w:p>
      <w:pPr>
        <w:spacing w:after="0" w:line="360" w:lineRule="auto"/>
        <w:ind w:firstLine="2268"/>
        <w:jc w:val="both"/>
      </w:pPr>
      <w:commentRangeStart w:id="5"/>
      <w:r>
        <w:rPr>
          <w:rFonts w:ascii="Arial" w:hAnsi="Arial"/>
          <w:sz w:val="28"/>
        </w:rPr>
        <w:t xml:space="preserve">Ante o exposto, reiteradas as vênias, </w:t>
      </w:r>
      <w:r>
        <w:rPr>
          <w:rFonts w:ascii="Arial" w:hAnsi="Arial"/>
          <w:b/>
          <w:sz w:val="28"/>
        </w:rPr>
        <w:t>dou provimento</w:t>
      </w:r>
      <w:r>
        <w:rPr>
          <w:rFonts w:ascii="Arial" w:hAnsi="Arial"/>
          <w:sz w:val="28"/>
        </w:rPr>
        <w:t xml:space="preserve"> ao agravo de instrumento do exequente, BANCO DO BRASIL S/A, para, confirmando a liminar, reformar a decisão agravada e determinar a realização de nova pesquisa de ativos no sistema SISBAJUD, em nome dos executados.</w:t>
      </w:r>
      <w:commentRangeEnd w:id="5"/>
      <w:r>
        <w:rPr>
          <w:rStyle w:val="CommentReference"/>
        </w:rPr>
        <w:commentReference w:id="5"/>
      </w:r>
    </w:p>
    <w:p>
      <w:pPr>
        <w:spacing w:after="0" w:line="360" w:lineRule="auto"/>
        <w:jc w:val="both"/>
      </w:pPr>
    </w:p>
    <w:p>
      <w:pPr>
        <w:spacing w:after="0" w:line="360" w:lineRule="auto"/>
        <w:ind w:firstLine="2268"/>
        <w:jc w:val="both"/>
      </w:pPr>
      <w:r>
        <w:rPr>
          <w:rFonts w:ascii="Arial" w:hAnsi="Arial"/>
          <w:sz w:val="28"/>
        </w:rPr>
        <w:t>É como voto.</w:t>
      </w:r>
    </w:p>
    <w:p>
      <w:pPr>
        <w:spacing w:after="0" w:line="360" w:lineRule="auto"/>
        <w:jc w:val="both"/>
      </w:pPr>
    </w:p>
    <w:p>
      <w:pPr>
        <w:spacing w:after="0" w:line="360" w:lineRule="auto"/>
        <w:jc w:val="both"/>
      </w:pPr>
    </w:p>
    <w:p>
      <w:pPr>
        <w:spacing w:after="0" w:line="360" w:lineRule="auto"/>
        <w:jc w:val="center"/>
      </w:pPr>
      <w:r>
        <w:rPr>
          <w:rFonts w:ascii="Arial" w:hAnsi="Arial"/>
          <w:b/>
          <w:color w:val="00B050"/>
          <w:sz w:val="28"/>
        </w:rPr>
        <w:t>DECISÃO LIMINAR (ID 86810668)</w:t>
      </w:r>
    </w:p>
    <w:p>
      <w:pPr>
        <w:spacing w:after="0" w:line="360" w:lineRule="auto"/>
        <w:jc w:val="both"/>
      </w:pPr>
    </w:p>
    <w:p>
      <w:pPr>
        <w:spacing w:after="0" w:line="360" w:lineRule="auto"/>
        <w:jc w:val="both"/>
      </w:pPr>
      <w:r>
        <w:rPr>
          <w:rFonts w:ascii="Arial" w:hAnsi="Arial"/>
          <w:color w:val="00B050"/>
          <w:sz w:val="24"/>
        </w:rPr>
        <w:t>Poder Judiciário da União</w:t>
      </w:r>
    </w:p>
    <w:p>
      <w:pPr>
        <w:spacing w:after="0" w:line="360" w:lineRule="auto"/>
        <w:jc w:val="both"/>
      </w:pPr>
      <w:r>
        <w:rPr>
          <w:rFonts w:ascii="Arial" w:hAnsi="Arial"/>
          <w:color w:val="00B050"/>
          <w:sz w:val="24"/>
        </w:rPr>
        <w:t>TRIBUNAL DE JUSTIÇA DO DISTRITO FEDERAL E DOS TERRITÓRIOS</w:t>
      </w:r>
    </w:p>
    <w:p>
      <w:pPr>
        <w:spacing w:after="0" w:line="360" w:lineRule="auto"/>
        <w:jc w:val="both"/>
      </w:pPr>
      <w:r>
        <w:rPr>
          <w:rFonts w:ascii="Arial" w:hAnsi="Arial"/>
          <w:color w:val="00B050"/>
          <w:sz w:val="24"/>
        </w:rPr>
        <w:t>Gabinete do Desembargador Sérgio Rocha - GDSXSR</w:t>
      </w:r>
    </w:p>
    <w:p>
      <w:pPr>
        <w:spacing w:after="0" w:line="360" w:lineRule="auto"/>
        <w:jc w:val="both"/>
      </w:pPr>
      <w:r>
        <w:rPr>
          <w:rFonts w:ascii="Arial" w:hAnsi="Arial"/>
          <w:color w:val="00B050"/>
          <w:sz w:val="24"/>
        </w:rPr>
        <w:t>Classe judicial: AGRAVO DE INSTRUMENTO (202)</w:t>
      </w:r>
    </w:p>
    <w:p>
      <w:pPr>
        <w:spacing w:after="0" w:line="360" w:lineRule="auto"/>
        <w:jc w:val="both"/>
      </w:pPr>
      <w:r>
        <w:rPr>
          <w:rFonts w:ascii="Arial" w:hAnsi="Arial"/>
          <w:color w:val="00B050"/>
          <w:sz w:val="24"/>
        </w:rPr>
        <w:t>AGRAVANTE: BANCO DO BRASIL S/A</w:t>
      </w:r>
    </w:p>
    <w:p>
      <w:pPr>
        <w:spacing w:after="0" w:line="360" w:lineRule="auto"/>
        <w:jc w:val="both"/>
      </w:pPr>
      <w:r>
        <w:rPr>
          <w:rFonts w:ascii="Arial" w:hAnsi="Arial"/>
          <w:color w:val="00B050"/>
          <w:sz w:val="24"/>
        </w:rPr>
        <w:t>AGRAVADO: SOLAR COMERCIO DE MEDICAMENTOS LTDA, EMERSON CICARI DE MORAIS E SILVA</w:t>
      </w:r>
    </w:p>
    <w:p>
      <w:pPr>
        <w:spacing w:after="0" w:line="360" w:lineRule="auto"/>
        <w:jc w:val="both"/>
      </w:pPr>
    </w:p>
    <w:p>
      <w:pPr>
        <w:spacing w:after="0" w:line="360" w:lineRule="auto"/>
        <w:jc w:val="center"/>
      </w:pPr>
      <w:r>
        <w:rPr>
          <w:rFonts w:ascii="Arial" w:hAnsi="Arial"/>
          <w:b/>
          <w:color w:val="00B050"/>
          <w:sz w:val="28"/>
        </w:rPr>
        <w:t>DECISÃO</w:t>
      </w:r>
    </w:p>
    <w:p>
      <w:pPr>
        <w:spacing w:after="0" w:line="360" w:lineRule="auto"/>
        <w:jc w:val="center"/>
      </w:pPr>
      <w:r>
        <w:rPr>
          <w:rFonts w:ascii="Arial" w:hAnsi="Arial"/>
          <w:b/>
          <w:color w:val="00B050"/>
          <w:sz w:val="28"/>
        </w:rPr>
        <w:t>DEFERIMENTO DA ANTECIPAÇÃO DE TUTELA RECURSAL</w:t>
      </w:r>
    </w:p>
    <w:p>
      <w:pPr>
        <w:spacing w:after="0" w:line="360" w:lineRule="auto"/>
        <w:jc w:val="both"/>
      </w:pPr>
    </w:p>
    <w:p>
      <w:pPr>
        <w:spacing w:after="0" w:line="360" w:lineRule="auto"/>
        <w:ind w:firstLine="2268"/>
        <w:jc w:val="both"/>
      </w:pPr>
      <w:r>
        <w:rPr>
          <w:rFonts w:ascii="Arial" w:hAnsi="Arial"/>
          <w:color w:val="00B050"/>
          <w:sz w:val="28"/>
        </w:rPr>
        <w:t>Trata-se, na origem, de execução de título extrajudicial ajuizada por Banco Do Brasil S/A contra Solar Comércio de Medicamentos Ltda e Emerson Cicari de Morais e Silva, fundada em cédula de crédito bancário (R$ 678.112,33).</w:t>
      </w:r>
    </w:p>
    <w:p>
      <w:pPr>
        <w:spacing w:after="0" w:line="360" w:lineRule="auto"/>
        <w:jc w:val="both"/>
      </w:pPr>
    </w:p>
    <w:p>
      <w:pPr>
        <w:spacing w:after="0" w:line="360" w:lineRule="auto"/>
        <w:ind w:firstLine="2268"/>
        <w:jc w:val="both"/>
      </w:pPr>
      <w:r>
        <w:rPr>
          <w:rFonts w:ascii="Arial" w:hAnsi="Arial"/>
          <w:color w:val="00B050"/>
          <w:sz w:val="28"/>
        </w:rPr>
        <w:t>O Juízo de origem indeferiu o pedido de pesquisa de bens imóveis, nova pesquisa BACEN/SISBAJUD e INFOJUD e expedição de ofício à SUSEP, ao fundamento de que o requerimento era genérico, desacompanhado de planilha do débito e sem demonstração mínima de viabilidade, utilidade ou pertinência concreta das medidas postuladas. Registrou, ainda, que pesquisas SISBAJUD e INFOJUD já haviam sido realizadas, que a parte exequente não se manifestou concretamente a respeito delas e que a atuação judicial na investigação patrimonial deve ser subsidiária, especialmente quando ausentes elementos objetivos que justifiquem novas diligências. Ao final, suspendeu o processo e o curso do prazo prescricional pelo prazo de 1 ano, com fundamento no art. 921, III, do CPC, e determinou a remessa dos autos ao arquivo provisório (ID 280498576, origem).</w:t>
      </w:r>
    </w:p>
    <w:p>
      <w:pPr>
        <w:spacing w:after="0" w:line="360" w:lineRule="auto"/>
        <w:jc w:val="both"/>
      </w:pPr>
    </w:p>
    <w:p>
      <w:pPr>
        <w:spacing w:after="0" w:line="360" w:lineRule="auto"/>
        <w:ind w:firstLine="2268"/>
        <w:jc w:val="both"/>
      </w:pPr>
      <w:r>
        <w:rPr>
          <w:rFonts w:ascii="Arial" w:hAnsi="Arial"/>
          <w:color w:val="00B050"/>
          <w:sz w:val="28"/>
        </w:rPr>
        <w:t>O exequente interpôs agravo de instrumento alegando, em síntese, que: 1) a negativa de nova pesquisa SISBAJUD impede a identificação de bens penhoráveis e compromete o prosseguimento da execução; 2) a última pesquisa patrimonial teria ocorrido em 20 de fevereiro de 2025, de modo que o lapso temporal justificaria a renovação da diligência; 3) a obtenção extrajudicial de dados financeiros seria dificultosa ou inviável em razão de regras de sigilo e políticas de compliance das instituições privadas; 4) o indeferimento violaria os princípios da cooperação processual e da máxima efetividade da execução, pois caberia ao Juízo determinar medidas necessárias à satisfação do crédito.</w:t>
      </w:r>
    </w:p>
    <w:p>
      <w:pPr>
        <w:spacing w:after="0" w:line="360" w:lineRule="auto"/>
        <w:jc w:val="both"/>
      </w:pPr>
    </w:p>
    <w:p>
      <w:pPr>
        <w:spacing w:after="0" w:line="360" w:lineRule="auto"/>
        <w:ind w:firstLine="2268"/>
        <w:jc w:val="both"/>
      </w:pPr>
      <w:r>
        <w:rPr>
          <w:rFonts w:ascii="Arial" w:hAnsi="Arial"/>
          <w:color w:val="00B050"/>
          <w:sz w:val="28"/>
        </w:rPr>
        <w:t>Requer a concessão de efeito suspensivo ao recurso, a fim de obstar os efeitos da decisão agravada, bem como, no mérito, a reforma da decisão interlocutória para autorizar a diligência postulada (ID 86693238).</w:t>
      </w:r>
    </w:p>
    <w:p>
      <w:pPr>
        <w:spacing w:after="0" w:line="360" w:lineRule="auto"/>
        <w:jc w:val="both"/>
      </w:pPr>
    </w:p>
    <w:p>
      <w:pPr>
        <w:spacing w:after="0" w:line="360" w:lineRule="auto"/>
        <w:ind w:firstLine="2268"/>
        <w:jc w:val="both"/>
      </w:pPr>
      <w:r>
        <w:rPr>
          <w:rFonts w:ascii="Arial" w:hAnsi="Arial"/>
          <w:color w:val="00B050"/>
          <w:sz w:val="28"/>
        </w:rPr>
        <w:t>Com razão, inicialmente, o agravante.</w:t>
      </w:r>
    </w:p>
    <w:p>
      <w:pPr>
        <w:spacing w:after="0" w:line="360" w:lineRule="auto"/>
        <w:jc w:val="both"/>
      </w:pPr>
    </w:p>
    <w:p>
      <w:pPr>
        <w:spacing w:after="0" w:line="360" w:lineRule="auto"/>
        <w:ind w:firstLine="2268"/>
        <w:jc w:val="both"/>
      </w:pPr>
      <w:r>
        <w:rPr>
          <w:rFonts w:ascii="Arial" w:hAnsi="Arial"/>
          <w:color w:val="00B050"/>
          <w:sz w:val="28"/>
        </w:rPr>
        <w:t>De início, destaco o cabimento recursal, nos termos do art. 1.015, parágrafo único, do CPC, visto que a decisão agravada foi proferida em ação de execução.</w:t>
      </w:r>
    </w:p>
    <w:p>
      <w:pPr>
        <w:spacing w:after="0" w:line="360" w:lineRule="auto"/>
        <w:jc w:val="both"/>
      </w:pPr>
    </w:p>
    <w:p>
      <w:pPr>
        <w:spacing w:after="0" w:line="360" w:lineRule="auto"/>
        <w:ind w:firstLine="2268"/>
        <w:jc w:val="both"/>
      </w:pPr>
      <w:r>
        <w:rPr>
          <w:rFonts w:ascii="Arial" w:hAnsi="Arial"/>
          <w:color w:val="00B050"/>
          <w:sz w:val="28"/>
        </w:rPr>
        <w:t>Quanto ao mais, vislumbro a probabilidade do direito alegado, ao menos nesta análise preliminar.</w:t>
      </w:r>
    </w:p>
    <w:p>
      <w:pPr>
        <w:spacing w:after="0" w:line="360" w:lineRule="auto"/>
        <w:jc w:val="both"/>
      </w:pPr>
    </w:p>
    <w:p>
      <w:pPr>
        <w:spacing w:after="0" w:line="360" w:lineRule="auto"/>
        <w:ind w:firstLine="2268"/>
        <w:jc w:val="both"/>
      </w:pPr>
      <w:r>
        <w:rPr>
          <w:rFonts w:ascii="Arial" w:hAnsi="Arial"/>
          <w:color w:val="00B050"/>
          <w:sz w:val="28"/>
        </w:rPr>
        <w:t>Consta do processo de execução que a última pesquisa de bens pelo SISBAJUD ocorreu em 20/02/2025 (ID 226683953, origem).</w:t>
      </w:r>
    </w:p>
    <w:p>
      <w:pPr>
        <w:spacing w:after="0" w:line="360" w:lineRule="auto"/>
        <w:jc w:val="both"/>
      </w:pPr>
    </w:p>
    <w:p>
      <w:pPr>
        <w:spacing w:after="0" w:line="360" w:lineRule="auto"/>
        <w:ind w:firstLine="2268"/>
        <w:jc w:val="both"/>
      </w:pPr>
      <w:r>
        <w:rPr>
          <w:rFonts w:ascii="Arial" w:hAnsi="Arial"/>
          <w:color w:val="00B050"/>
          <w:sz w:val="28"/>
        </w:rPr>
        <w:t>Assim, o decurso de período superior a um ano desde a última pesquisa patrimonial configura parâmetro razoável para autorizar a renovação das diligências no sistema requerido, dada a possibilidade de alteração da situação econômica dos executados e a natureza satisfativa da execução.</w:t>
      </w:r>
    </w:p>
    <w:p>
      <w:pPr>
        <w:spacing w:after="0" w:line="360" w:lineRule="auto"/>
        <w:jc w:val="both"/>
      </w:pPr>
    </w:p>
    <w:p>
      <w:pPr>
        <w:spacing w:after="0" w:line="360" w:lineRule="auto"/>
        <w:ind w:firstLine="2268"/>
        <w:jc w:val="both"/>
      </w:pPr>
      <w:r>
        <w:rPr>
          <w:rFonts w:ascii="Arial" w:hAnsi="Arial"/>
          <w:color w:val="00B050"/>
          <w:sz w:val="28"/>
        </w:rPr>
        <w:t>Nesse sentido:</w:t>
      </w:r>
    </w:p>
    <w:p>
      <w:pPr>
        <w:spacing w:after="0" w:line="360" w:lineRule="auto"/>
        <w:jc w:val="both"/>
      </w:pPr>
    </w:p>
    <w:p>
      <w:pPr>
        <w:spacing w:after="0" w:line="360" w:lineRule="auto"/>
        <w:ind w:firstLine="2268"/>
        <w:jc w:val="both"/>
      </w:pPr>
      <w:r>
        <w:rPr>
          <w:rFonts w:ascii="Arial" w:hAnsi="Arial"/>
          <w:color w:val="00B050"/>
          <w:sz w:val="28"/>
        </w:rPr>
        <w:t>“(...) 4. A jurisprudência do TJDFT e do STJ admite a reiteração de buscas patrimoniais em sistemas eletrônicos após o transcurso de um ano, sem exigência de comprovação de alteração da situação econômica do devedor. 5. No caso concreto, considerando que as últimas pesquisas ocorreram há mais de um ano, verifica-se a razoabilidade do pedido, devendo ser deferida a reiteração das diligências. (...)” (Acórdão 1990502, 0700850-70.2025.8.07.0000, Relator(a): AISTON HENRIQUE DE SOUSA, 4ª TURMA CÍVEL, data de julgamento: 10/04/2025, publicado no DJe: 07/05/2025.) – Grifei.</w:t>
      </w:r>
    </w:p>
    <w:p>
      <w:pPr>
        <w:spacing w:after="0" w:line="360" w:lineRule="auto"/>
        <w:jc w:val="both"/>
      </w:pPr>
    </w:p>
    <w:p>
      <w:pPr>
        <w:spacing w:after="0" w:line="360" w:lineRule="auto"/>
        <w:ind w:firstLine="2268"/>
        <w:jc w:val="both"/>
      </w:pPr>
      <w:r>
        <w:rPr>
          <w:rFonts w:ascii="Arial" w:hAnsi="Arial"/>
          <w:color w:val="00B050"/>
          <w:sz w:val="28"/>
        </w:rPr>
        <w:t>A urgência reside no fato de que a postergação da realização das pesquisas patrimoniais até o julgamento definitivo do agravo compromete diretamente o resultado útil do processo, pois bens e ativos financeiros possuem natureza dinâmica, sendo passíveis de rápida movimentação, transferência ou dissipação, especialmente quando o devedor tem ciência da execução.</w:t>
      </w:r>
    </w:p>
    <w:p>
      <w:pPr>
        <w:spacing w:after="0" w:line="360" w:lineRule="auto"/>
        <w:jc w:val="both"/>
      </w:pPr>
    </w:p>
    <w:p>
      <w:pPr>
        <w:spacing w:after="0" w:line="360" w:lineRule="auto"/>
        <w:ind w:firstLine="2268"/>
        <w:jc w:val="both"/>
      </w:pPr>
      <w:r>
        <w:rPr>
          <w:rFonts w:ascii="Arial" w:hAnsi="Arial"/>
          <w:color w:val="00B050"/>
          <w:sz w:val="28"/>
        </w:rPr>
        <w:t>A demora na adoção das medidas requeridas, portanto, favorece a consolidação de um estado de insolvência aparente, tornando ainda mais difícil a satisfação do crédito exequendo.</w:t>
      </w:r>
    </w:p>
    <w:p>
      <w:pPr>
        <w:spacing w:after="0" w:line="360" w:lineRule="auto"/>
        <w:jc w:val="both"/>
      </w:pPr>
    </w:p>
    <w:p>
      <w:pPr>
        <w:spacing w:after="0" w:line="360" w:lineRule="auto"/>
        <w:ind w:firstLine="2268"/>
        <w:jc w:val="both"/>
      </w:pPr>
      <w:r>
        <w:rPr>
          <w:rFonts w:ascii="Arial" w:hAnsi="Arial"/>
          <w:color w:val="00B050"/>
          <w:sz w:val="28"/>
        </w:rPr>
        <w:t>Ante o exposto, com as devidas vênias, defiro a antecipação de tutela recursal para determinar que se realize, com a brevidade que o caso requer, a pesquisa de ativos no sistema SISBAJUD.</w:t>
      </w:r>
    </w:p>
    <w:p>
      <w:pPr>
        <w:spacing w:after="0" w:line="360" w:lineRule="auto"/>
        <w:jc w:val="both"/>
      </w:pPr>
    </w:p>
    <w:p>
      <w:pPr>
        <w:spacing w:after="0" w:line="360" w:lineRule="auto"/>
        <w:ind w:firstLine="2268"/>
        <w:jc w:val="both"/>
      </w:pPr>
      <w:r>
        <w:rPr>
          <w:rFonts w:ascii="Arial" w:hAnsi="Arial"/>
          <w:color w:val="00B050"/>
          <w:sz w:val="28"/>
        </w:rPr>
        <w:t>Comunique-se ao Juízo a quo.</w:t>
      </w:r>
    </w:p>
    <w:p>
      <w:pPr>
        <w:spacing w:after="0" w:line="360" w:lineRule="auto"/>
        <w:jc w:val="both"/>
      </w:pPr>
    </w:p>
    <w:p>
      <w:pPr>
        <w:spacing w:after="0" w:line="360" w:lineRule="auto"/>
        <w:ind w:firstLine="2268"/>
        <w:jc w:val="both"/>
      </w:pPr>
      <w:r>
        <w:rPr>
          <w:rFonts w:ascii="Arial" w:hAnsi="Arial"/>
          <w:color w:val="00B050"/>
          <w:sz w:val="28"/>
        </w:rPr>
        <w:t>Intimem-se as partes agravadas para contrarrazões.</w:t>
      </w:r>
    </w:p>
    <w:p>
      <w:pPr>
        <w:spacing w:after="0" w:line="360" w:lineRule="auto"/>
        <w:jc w:val="both"/>
      </w:pPr>
    </w:p>
    <w:p>
      <w:pPr>
        <w:spacing w:after="0" w:line="360" w:lineRule="auto"/>
        <w:ind w:firstLine="2268"/>
        <w:jc w:val="both"/>
      </w:pPr>
      <w:r>
        <w:rPr>
          <w:rFonts w:ascii="Arial" w:hAnsi="Arial"/>
          <w:color w:val="00B050"/>
          <w:sz w:val="28"/>
        </w:rPr>
        <w:t>P. I.</w:t>
      </w:r>
    </w:p>
    <w:p>
      <w:pPr>
        <w:spacing w:after="0" w:line="360" w:lineRule="auto"/>
        <w:jc w:val="both"/>
      </w:pPr>
    </w:p>
    <w:p>
      <w:pPr>
        <w:spacing w:after="0" w:line="360" w:lineRule="auto"/>
        <w:jc w:val="center"/>
      </w:pPr>
      <w:r>
        <w:rPr>
          <w:rFonts w:ascii="Arial" w:hAnsi="Arial"/>
          <w:b/>
          <w:color w:val="00B050"/>
          <w:sz w:val="28"/>
        </w:rPr>
        <w:t>SÉRGIO ROCHA</w:t>
      </w:r>
    </w:p>
    <w:p>
      <w:pPr>
        <w:spacing w:after="0" w:line="360" w:lineRule="auto"/>
        <w:jc w:val="center"/>
      </w:pPr>
      <w:r>
        <w:rPr>
          <w:rFonts w:ascii="Arial" w:hAnsi="Arial"/>
          <w:color w:val="00B050"/>
          <w:sz w:val="28"/>
        </w:rPr>
        <w:t>Desembargador Relator</w:t>
      </w:r>
    </w:p>
    <w:sectPr w:rsidR="007B0B27" w:rsidRPr="00AF5AFB">
      <w:headerReference w:type="even" r:id="rId32"/>
      <w:headerReference w:type="default" r:id="rId33"/>
      <w:footerReference w:type="even" r:id="rId34"/>
      <w:footerReference w:type="default" r:id="rId35"/>
      <w:headerReference w:type="first" r:id="rId36"/>
      <w:footerReference w:type="first" r:id="rId37"/>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ssessor GDSXSR" w:initials="AG" w:date="2026-10-28T18:00:34Z">
    <w:p>
      <w:pPr>
        <w:pStyle w:val="CommentText"/>
      </w:pPr>
      <w:r>
        <w:rPr>
          <w:rStyle w:val="CommentReference"/>
        </w:rPr>
        <w:annotationRef/>
      </w:r>
      <w:r>
        <w:t>ASSESSOR GDSXSR — Minuta feita do zero (AGI, DP). Relatório adotado da liminar (C-3S) e voto limitado ao que a liminar não cobre (C-17). Modelos consultados: AGI 0738347-84 (DP, mesma matéria e liminar do Relator), AGI 0712904-34 e AGI 0756064-46 (OURO, DP, pesquisa SISBAJUD). Não enfrentei no voto o sigilo bancário/compliance e a CF 5º XXXV, já respondidos pela liminar. PENDÊNCIA (C-52): a decisão agravada (ID 280498576, do processo de origem) e o resultado da pesquisa de 20/02/2025 (ID 226683953, origem) não vieram nos autos recebidos; os fatos da origem foram extraídos da liminar (ID 86810668). Falta a decisão agravada para o anexo em verde (C-45) e para conferir o resumo em vermelho.</w:t>
      </w:r>
    </w:p>
  </w:comment>
  <w:comment w:id="1" w:author="Assessor GDSXSR" w:initials="AG" w:date="2026-10-28T18:00:34Z">
    <w:p>
      <w:pPr>
        <w:pStyle w:val="CommentText"/>
      </w:pPr>
      <w:r>
        <w:rPr>
          <w:rStyle w:val="CommentReference"/>
        </w:rPr>
        <w:annotationRef/>
      </w:r>
      <w:r>
        <w:t>ASSESSOR GDSXSR — Admissibilidade (C-3T). Cabimento: decisão interlocutória em execução (CPC 1.015, parágrafo único, apontado na liminar). Tempestividade: o agravo informa ciência da decisão em 26/06/2026 (ID 86693238, Pág. 1) e foi protocolado em 13/07/2026, dentro dos 15 dias úteis; não conferi a data da ciência na origem (decisão agravada ausente). Custas de R$ 48,34 pagas em 13/07/2026 (ID 86699763).</w:t>
      </w:r>
    </w:p>
  </w:comment>
  <w:comment w:id="2" w:author="Assessor GDSXSR" w:initials="AG" w:date="2026-10-28T18:00:34Z">
    <w:p>
      <w:pPr>
        <w:pStyle w:val="CommentText"/>
      </w:pPr>
      <w:r>
        <w:rPr>
          <w:rStyle w:val="CommentReference"/>
        </w:rPr>
        <w:annotationRef/>
      </w:r>
      <w:r>
        <w:t>ASSESSOR GDSXSR — Texto literal (C-63): CPC, art. 6º: “Art. 6º Todos os sujeitos do processo devem cooperar entre si para que se obtenha, em tempo razoável, decisão de mérito justa e efetiva.” (fonte: Planalto, via iajus). Conferência: o agravo invoca ainda o “STJ - REsp 1.184.765/PA” (Rel. Min. Paulo de Tarso Sanseverino, DJe 26/10/2011) como precedente sobre renovação de pesquisas (ID 86693238, Pág. 6). No iajus, o REsp 1.184.765/PA é o repetitivo do Min. Luiz Fux, Primeira Seção, DJe 03/12/2010, sobre impenhorabilidade de salários na penhora eletrônica; relator, data e tese citados pelo agravante não correspondem. Não enfrentei o precedente no voto (C-17) e não o listei na ementa.</w:t>
      </w:r>
    </w:p>
  </w:comment>
  <w:comment w:id="3" w:author="Assessor GDSXSR" w:initials="AG" w:date="2026-10-28T18:00:34Z">
    <w:p>
      <w:pPr>
        <w:pStyle w:val="CommentText"/>
      </w:pPr>
      <w:r>
        <w:rPr>
          <w:rStyle w:val="CommentReference"/>
        </w:rPr>
        <w:annotationRef/>
      </w:r>
      <w:r>
        <w:t>ASSESSOR GDSXSR — Conferência (C-60, C-72): o iajus localizou o processo 0700850-70.2025.8.07.0000 (Des. Aiston Henrique de Sousa, 4ª Turma Cível, j. 10/04/2025) e a ementa confere com os itens 4 e 5 transcritos na liminar. O número do acórdão (1990502) e o DJe (07/05/2025) vêm da própria liminar; o iajus não os devolveu. PENDÊNCIA (C-52): conferir no JurisDF (https://jurisdf.tjdft.jus.br/acordaos/d8b4ce4a-b83a-4dad-ae53-864814ee58c0). Vias tentadas: iajus (busca por CNJ e leitura da ementa); web e Chrome não usadas.</w:t>
      </w:r>
    </w:p>
  </w:comment>
  <w:comment w:id="4" w:author="Assessor GDSXSR" w:initials="AG" w:date="2026-10-28T18:00:34Z">
    <w:p>
      <w:pPr>
        <w:pStyle w:val="CommentText"/>
      </w:pPr>
      <w:r>
        <w:rPr>
          <w:rStyle w:val="CommentReference"/>
        </w:rPr>
        <w:annotationRef/>
      </w:r>
      <w:r>
        <w:t>ASSESSOR GDSXSR — Texto literal (C-63): CPC, art. 797: “Art. 797. Ressalvado o caso de insolvência do devedor, em que tem lugar o concurso universal, realiza-se a execução no interesse do exequente que adquire, pela penhora, o direito de preferência sobre os bens penhorados.” (fonte: Planalto, via iajus). Fecho em parágrafo único, com a razão presa por “pois” (C-17, v40). Não incluí parágrafo sobre o efeito devolutivo (C-17): o agravo só pede a pesquisa no SISBAJUD, e os demais indeferimentos (imóveis, INFOJUD, SUSEP) e a suspensão por um ano não foram impugnados.</w:t>
      </w:r>
    </w:p>
  </w:comment>
  <w:comment w:id="5" w:author="Assessor GDSXSR" w:initials="AG" w:date="2026-10-28T18:00:34Z">
    <w:p>
      <w:pPr>
        <w:pStyle w:val="CommentText"/>
      </w:pPr>
      <w:r>
        <w:rPr>
          <w:rStyle w:val="CommentReference"/>
        </w:rPr>
        <w:annotationRef/>
      </w:r>
      <w:r>
        <w:t>ASSESSOR GDSXSR — Comando limitado ao único pedido do agravo (nova pesquisa no SISBAJUD, ID 86693238) e igual ao da liminar (ID 86810668). Sem honorários recursais: não há contrarrazões (ID 90972426) e o perfil AGI não os prevê (perfil AGI, 3). Resultado DP segue o perfil AGI, 5.1 (pesquisa patrimonial após cerca de um ano) e os modelos AGI 0738347-84, 0712904-34 e 0756064-46.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50FC09" w15:done="0"/>
  <w15:commentEx w15:paraId="085DAE53" w15:paraIdParent="1550FC09" w15:done="0"/>
  <w15:commentEx w15:paraId="4BE29BA5" w15:done="0"/>
  <w15:commentEx w15:paraId="74324399" w15:done="0"/>
  <w15:commentEx w15:paraId="47584802" w15:done="0"/>
  <w15:commentEx w15:paraId="5C4E2311" w15:done="0"/>
  <w15:commentEx w15:paraId="3CA42ACD" w15:done="0"/>
  <w15:commentEx w15:paraId="010ADC55" w15:done="0"/>
  <w15:commentEx w15:paraId="18B364E6" w15:done="0"/>
  <w15:commentEx w15:paraId="353291FD" w15:done="0"/>
  <w15:commentEx w15:paraId="7017725C" w15:done="0"/>
  <w15:commentEx w15:paraId="4267B081" w15:done="0"/>
  <w15:commentEx w15:paraId="4E8B14A4" w15:done="0"/>
  <w15:commentEx w15:paraId="48A3B84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364D754" w16cex:dateUtc="2026-10-16T20:43:00Z"/>
  <w16cex:commentExtensible w16cex:durableId="614DCF7C" w16cex:dateUtc="2026-10-28T03:51:00Z"/>
  <w16cex:commentExtensible w16cex:durableId="68ACA5CA" w16cex:dateUtc="2026-10-17T20: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50FC09" w16cid:durableId="6364D754"/>
  <w16cid:commentId w16cid:paraId="085DAE53" w16cid:durableId="614DCF7C"/>
  <w16cid:commentId w16cid:paraId="4BE29BA5" w16cid:durableId="4BE29BA5"/>
  <w16cid:commentId w16cid:paraId="74324399" w16cid:durableId="74324399"/>
  <w16cid:commentId w16cid:paraId="47584802" w16cid:durableId="47584802"/>
  <w16cid:commentId w16cid:paraId="5C4E2311" w16cid:durableId="5C4E2311"/>
  <w16cid:commentId w16cid:paraId="3CA42ACD" w16cid:durableId="3CA42ACD"/>
  <w16cid:commentId w16cid:paraId="010ADC55" w16cid:durableId="010ADC55"/>
  <w16cid:commentId w16cid:paraId="18B364E6" w16cid:durableId="18B364E6"/>
  <w16cid:commentId w16cid:paraId="353291FD" w16cid:durableId="353291FD"/>
  <w16cid:commentId w16cid:paraId="7017725C" w16cid:durableId="7017725C"/>
  <w16cid:commentId w16cid:paraId="4267B081" w16cid:durableId="68ACA5CA"/>
  <w16cid:commentId w16cid:paraId="4E8B14A4" w16cid:durableId="4E8B14A4"/>
  <w16cid:commentId w16cid:paraId="48A3B84F" w16cid:durableId="48A3B84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E5168" w14:textId="77777777" w:rsidR="00D8137E" w:rsidRDefault="00D8137E" w:rsidP="003A42DE">
      <w:pPr>
        <w:spacing w:after="0" w:line="240" w:lineRule="auto"/>
      </w:pPr>
      <w:r>
        <w:separator/>
      </w:r>
    </w:p>
  </w:endnote>
  <w:endnote w:type="continuationSeparator" w:id="0">
    <w:p w14:paraId="5D14E5AB" w14:textId="77777777" w:rsidR="00D8137E" w:rsidRDefault="00D8137E" w:rsidP="003A42DE">
      <w:pPr>
        <w:spacing w:after="0" w:line="240" w:lineRule="auto"/>
      </w:pPr>
      <w:r>
        <w:continuationSeparator/>
      </w:r>
    </w:p>
  </w:endnote>
  <w:endnote w:type="continuationNotice" w:id="1">
    <w:p w14:paraId="0D4F5D63" w14:textId="77777777" w:rsidR="00D8137E" w:rsidRDefault="00D8137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F8039" w14:textId="77777777" w:rsidR="00F7315A" w:rsidRDefault="00F7315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47BAA" w14:textId="77777777" w:rsidR="00F7315A" w:rsidRDefault="00F7315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D5BB1" w14:textId="77777777" w:rsidR="00D8137E" w:rsidRDefault="00D8137E" w:rsidP="003A42DE">
      <w:pPr>
        <w:spacing w:after="0" w:line="240" w:lineRule="auto"/>
      </w:pPr>
      <w:r>
        <w:separator/>
      </w:r>
    </w:p>
  </w:footnote>
  <w:footnote w:type="continuationSeparator" w:id="0">
    <w:p w14:paraId="579BCA10" w14:textId="77777777" w:rsidR="00D8137E" w:rsidRDefault="00D8137E" w:rsidP="003A42DE">
      <w:pPr>
        <w:spacing w:after="0" w:line="240" w:lineRule="auto"/>
      </w:pPr>
      <w:r>
        <w:continuationSeparator/>
      </w:r>
    </w:p>
  </w:footnote>
  <w:footnote w:type="continuationNotice" w:id="1">
    <w:p w14:paraId="3A5748FB" w14:textId="77777777" w:rsidR="00D8137E" w:rsidRDefault="00D8137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955E7" w14:textId="77777777" w:rsidR="00F7315A" w:rsidRDefault="00F7315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4F94B" w14:textId="77777777" w:rsidR="00F7315A" w:rsidRDefault="00F7315A">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28372" w14:textId="77777777" w:rsidR="00F7315A" w:rsidRDefault="00F7315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9B160D3"/>
    <w:multiLevelType w:val="hybridMultilevel"/>
    <w:tmpl w:val="F3A22752"/>
    <w:lvl w:ilvl="0" w:tplc="332EDA1C">
      <w:start w:val="1"/>
      <w:numFmt w:val="decimal"/>
      <w:lvlText w:val="%1."/>
      <w:lvlJc w:val="left"/>
      <w:pPr>
        <w:ind w:left="2628" w:hanging="360"/>
      </w:pPr>
      <w:rPr>
        <w:rFonts w:hint="default"/>
      </w:rPr>
    </w:lvl>
    <w:lvl w:ilvl="1" w:tplc="04160019" w:tentative="1">
      <w:start w:val="1"/>
      <w:numFmt w:val="lowerLetter"/>
      <w:lvlText w:val="%2."/>
      <w:lvlJc w:val="left"/>
      <w:pPr>
        <w:ind w:left="3348" w:hanging="360"/>
      </w:pPr>
    </w:lvl>
    <w:lvl w:ilvl="2" w:tplc="0416001B" w:tentative="1">
      <w:start w:val="1"/>
      <w:numFmt w:val="lowerRoman"/>
      <w:lvlText w:val="%3."/>
      <w:lvlJc w:val="right"/>
      <w:pPr>
        <w:ind w:left="4068" w:hanging="180"/>
      </w:pPr>
    </w:lvl>
    <w:lvl w:ilvl="3" w:tplc="0416000F" w:tentative="1">
      <w:start w:val="1"/>
      <w:numFmt w:val="decimal"/>
      <w:lvlText w:val="%4."/>
      <w:lvlJc w:val="left"/>
      <w:pPr>
        <w:ind w:left="4788" w:hanging="360"/>
      </w:pPr>
    </w:lvl>
    <w:lvl w:ilvl="4" w:tplc="04160019" w:tentative="1">
      <w:start w:val="1"/>
      <w:numFmt w:val="lowerLetter"/>
      <w:lvlText w:val="%5."/>
      <w:lvlJc w:val="left"/>
      <w:pPr>
        <w:ind w:left="5508" w:hanging="360"/>
      </w:pPr>
    </w:lvl>
    <w:lvl w:ilvl="5" w:tplc="0416001B" w:tentative="1">
      <w:start w:val="1"/>
      <w:numFmt w:val="lowerRoman"/>
      <w:lvlText w:val="%6."/>
      <w:lvlJc w:val="right"/>
      <w:pPr>
        <w:ind w:left="6228" w:hanging="180"/>
      </w:pPr>
    </w:lvl>
    <w:lvl w:ilvl="6" w:tplc="0416000F" w:tentative="1">
      <w:start w:val="1"/>
      <w:numFmt w:val="decimal"/>
      <w:lvlText w:val="%7."/>
      <w:lvlJc w:val="left"/>
      <w:pPr>
        <w:ind w:left="6948" w:hanging="360"/>
      </w:pPr>
    </w:lvl>
    <w:lvl w:ilvl="7" w:tplc="04160019" w:tentative="1">
      <w:start w:val="1"/>
      <w:numFmt w:val="lowerLetter"/>
      <w:lvlText w:val="%8."/>
      <w:lvlJc w:val="left"/>
      <w:pPr>
        <w:ind w:left="7668" w:hanging="360"/>
      </w:pPr>
    </w:lvl>
    <w:lvl w:ilvl="8" w:tplc="0416001B" w:tentative="1">
      <w:start w:val="1"/>
      <w:numFmt w:val="lowerRoman"/>
      <w:lvlText w:val="%9."/>
      <w:lvlJc w:val="right"/>
      <w:pPr>
        <w:ind w:left="8388" w:hanging="180"/>
      </w:pPr>
    </w:lvl>
  </w:abstractNum>
  <w:num w:numId="1" w16cid:durableId="1892040057">
    <w:abstractNumId w:val="1"/>
  </w:num>
  <w:num w:numId="2" w16cid:durableId="1365403601">
    <w:abstractNumId w:val="0"/>
  </w:num>
  <w:num w:numId="3" w16cid:durableId="187203630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rana Oliveira Guerra - GDSXSR">
    <w15:presenceInfo w15:providerId="AD" w15:userId="S::t313904@tjdft.jus.br::1c50fcbb-d229-49d1-ba31-33ab651e00bf"/>
  </w15:person>
  <w15:person w15:author="Marcos Dwayne Saraiva Costa - GDSXSR">
    <w15:presenceInfo w15:providerId="AD" w15:userId="S::t321760@tjdft.jus.br::71ef89ef-9eb5-4780-8a4d-3f3a792db9c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05FE1"/>
    <w:rsid w:val="00012123"/>
    <w:rsid w:val="00012C5E"/>
    <w:rsid w:val="0002189B"/>
    <w:rsid w:val="00022D84"/>
    <w:rsid w:val="0002738F"/>
    <w:rsid w:val="00033AFD"/>
    <w:rsid w:val="00034BFA"/>
    <w:rsid w:val="000354CF"/>
    <w:rsid w:val="000364B1"/>
    <w:rsid w:val="00040E39"/>
    <w:rsid w:val="00040EFC"/>
    <w:rsid w:val="0005261A"/>
    <w:rsid w:val="00052AE3"/>
    <w:rsid w:val="00054434"/>
    <w:rsid w:val="000564D1"/>
    <w:rsid w:val="0006080C"/>
    <w:rsid w:val="000619E0"/>
    <w:rsid w:val="00064301"/>
    <w:rsid w:val="00067717"/>
    <w:rsid w:val="000701F9"/>
    <w:rsid w:val="00074DCF"/>
    <w:rsid w:val="00076D7D"/>
    <w:rsid w:val="00077579"/>
    <w:rsid w:val="00080991"/>
    <w:rsid w:val="0009174A"/>
    <w:rsid w:val="00091ABC"/>
    <w:rsid w:val="000A7009"/>
    <w:rsid w:val="000B0FC6"/>
    <w:rsid w:val="000B2DAD"/>
    <w:rsid w:val="000C1A64"/>
    <w:rsid w:val="000D184E"/>
    <w:rsid w:val="000D1D2F"/>
    <w:rsid w:val="000D2E62"/>
    <w:rsid w:val="000D59B2"/>
    <w:rsid w:val="000E3374"/>
    <w:rsid w:val="000F10FD"/>
    <w:rsid w:val="000F1358"/>
    <w:rsid w:val="000F1817"/>
    <w:rsid w:val="000F5CB5"/>
    <w:rsid w:val="001009CC"/>
    <w:rsid w:val="0011527A"/>
    <w:rsid w:val="00115458"/>
    <w:rsid w:val="00115569"/>
    <w:rsid w:val="00122133"/>
    <w:rsid w:val="00125329"/>
    <w:rsid w:val="00126B66"/>
    <w:rsid w:val="00131A63"/>
    <w:rsid w:val="00134765"/>
    <w:rsid w:val="00137A7E"/>
    <w:rsid w:val="00143475"/>
    <w:rsid w:val="00144295"/>
    <w:rsid w:val="00151611"/>
    <w:rsid w:val="00161CD2"/>
    <w:rsid w:val="001653BF"/>
    <w:rsid w:val="00173733"/>
    <w:rsid w:val="001801E9"/>
    <w:rsid w:val="00182C91"/>
    <w:rsid w:val="00183178"/>
    <w:rsid w:val="00183B77"/>
    <w:rsid w:val="00183D34"/>
    <w:rsid w:val="00187D84"/>
    <w:rsid w:val="0019695A"/>
    <w:rsid w:val="001A09B8"/>
    <w:rsid w:val="001B5F56"/>
    <w:rsid w:val="001C3A23"/>
    <w:rsid w:val="001C466B"/>
    <w:rsid w:val="001D2162"/>
    <w:rsid w:val="001D2880"/>
    <w:rsid w:val="001D300D"/>
    <w:rsid w:val="001D385D"/>
    <w:rsid w:val="001E4974"/>
    <w:rsid w:val="001E7903"/>
    <w:rsid w:val="001F7AC2"/>
    <w:rsid w:val="00200670"/>
    <w:rsid w:val="00203B1D"/>
    <w:rsid w:val="002047FF"/>
    <w:rsid w:val="00204F2E"/>
    <w:rsid w:val="00205849"/>
    <w:rsid w:val="00205FCC"/>
    <w:rsid w:val="00206304"/>
    <w:rsid w:val="002126F1"/>
    <w:rsid w:val="0021526A"/>
    <w:rsid w:val="00215557"/>
    <w:rsid w:val="00231427"/>
    <w:rsid w:val="00232EEB"/>
    <w:rsid w:val="00252006"/>
    <w:rsid w:val="00253393"/>
    <w:rsid w:val="00254E51"/>
    <w:rsid w:val="0026070B"/>
    <w:rsid w:val="00264107"/>
    <w:rsid w:val="00271684"/>
    <w:rsid w:val="00274644"/>
    <w:rsid w:val="00277029"/>
    <w:rsid w:val="00282BB9"/>
    <w:rsid w:val="0028319F"/>
    <w:rsid w:val="0028377E"/>
    <w:rsid w:val="00283BF5"/>
    <w:rsid w:val="00292D3B"/>
    <w:rsid w:val="00292E82"/>
    <w:rsid w:val="00296DAE"/>
    <w:rsid w:val="002A2038"/>
    <w:rsid w:val="002A3D11"/>
    <w:rsid w:val="002A43EA"/>
    <w:rsid w:val="002A5205"/>
    <w:rsid w:val="002B1184"/>
    <w:rsid w:val="002B210E"/>
    <w:rsid w:val="002B2B77"/>
    <w:rsid w:val="002B6CCD"/>
    <w:rsid w:val="002C2464"/>
    <w:rsid w:val="002C42D2"/>
    <w:rsid w:val="002D0BA1"/>
    <w:rsid w:val="002D127E"/>
    <w:rsid w:val="002D2D56"/>
    <w:rsid w:val="002D3FF3"/>
    <w:rsid w:val="002F13AB"/>
    <w:rsid w:val="00303FAE"/>
    <w:rsid w:val="00307027"/>
    <w:rsid w:val="0031063D"/>
    <w:rsid w:val="00312291"/>
    <w:rsid w:val="00312DDE"/>
    <w:rsid w:val="00314FAC"/>
    <w:rsid w:val="00316B1F"/>
    <w:rsid w:val="00321068"/>
    <w:rsid w:val="00323779"/>
    <w:rsid w:val="00323D27"/>
    <w:rsid w:val="0033305F"/>
    <w:rsid w:val="003350D0"/>
    <w:rsid w:val="00337362"/>
    <w:rsid w:val="0034511C"/>
    <w:rsid w:val="00347818"/>
    <w:rsid w:val="00351653"/>
    <w:rsid w:val="00351BF2"/>
    <w:rsid w:val="003524E5"/>
    <w:rsid w:val="00352D66"/>
    <w:rsid w:val="00353DC8"/>
    <w:rsid w:val="00354AA2"/>
    <w:rsid w:val="00355C73"/>
    <w:rsid w:val="00361B6F"/>
    <w:rsid w:val="003624B4"/>
    <w:rsid w:val="00364B04"/>
    <w:rsid w:val="003668EB"/>
    <w:rsid w:val="003717FC"/>
    <w:rsid w:val="003749AB"/>
    <w:rsid w:val="00375FE4"/>
    <w:rsid w:val="0038410E"/>
    <w:rsid w:val="00386EEC"/>
    <w:rsid w:val="00396413"/>
    <w:rsid w:val="00396C9A"/>
    <w:rsid w:val="003A42DE"/>
    <w:rsid w:val="003A4E55"/>
    <w:rsid w:val="003B3398"/>
    <w:rsid w:val="003C7935"/>
    <w:rsid w:val="003D11BE"/>
    <w:rsid w:val="003D3FEE"/>
    <w:rsid w:val="003D4AC5"/>
    <w:rsid w:val="003E436D"/>
    <w:rsid w:val="003F6A6A"/>
    <w:rsid w:val="00413928"/>
    <w:rsid w:val="00423538"/>
    <w:rsid w:val="004236F7"/>
    <w:rsid w:val="00423F93"/>
    <w:rsid w:val="00427B4D"/>
    <w:rsid w:val="004310D8"/>
    <w:rsid w:val="0044278D"/>
    <w:rsid w:val="004436D1"/>
    <w:rsid w:val="004451BA"/>
    <w:rsid w:val="00445ED9"/>
    <w:rsid w:val="00447ECC"/>
    <w:rsid w:val="00451A6D"/>
    <w:rsid w:val="00456F19"/>
    <w:rsid w:val="00460071"/>
    <w:rsid w:val="004612A9"/>
    <w:rsid w:val="00463883"/>
    <w:rsid w:val="00466CB5"/>
    <w:rsid w:val="00467E86"/>
    <w:rsid w:val="00470D8F"/>
    <w:rsid w:val="0047216B"/>
    <w:rsid w:val="00472F5B"/>
    <w:rsid w:val="00475E1F"/>
    <w:rsid w:val="004762F1"/>
    <w:rsid w:val="00480A33"/>
    <w:rsid w:val="00485185"/>
    <w:rsid w:val="00485643"/>
    <w:rsid w:val="0049206E"/>
    <w:rsid w:val="00495EB5"/>
    <w:rsid w:val="00496EB5"/>
    <w:rsid w:val="004A3312"/>
    <w:rsid w:val="004B14BB"/>
    <w:rsid w:val="004B2A9C"/>
    <w:rsid w:val="004B65CF"/>
    <w:rsid w:val="004C0465"/>
    <w:rsid w:val="004C33F1"/>
    <w:rsid w:val="004C591E"/>
    <w:rsid w:val="004C7418"/>
    <w:rsid w:val="004D3E2F"/>
    <w:rsid w:val="004E27C1"/>
    <w:rsid w:val="004E5E69"/>
    <w:rsid w:val="004E61E1"/>
    <w:rsid w:val="004E6253"/>
    <w:rsid w:val="004F262B"/>
    <w:rsid w:val="004F58CC"/>
    <w:rsid w:val="00506A7D"/>
    <w:rsid w:val="00506D76"/>
    <w:rsid w:val="00510C7F"/>
    <w:rsid w:val="00517F10"/>
    <w:rsid w:val="00530C7C"/>
    <w:rsid w:val="00534782"/>
    <w:rsid w:val="00537AE0"/>
    <w:rsid w:val="00542FD5"/>
    <w:rsid w:val="0054511D"/>
    <w:rsid w:val="00550DE0"/>
    <w:rsid w:val="00557342"/>
    <w:rsid w:val="00560427"/>
    <w:rsid w:val="005654BC"/>
    <w:rsid w:val="0057351F"/>
    <w:rsid w:val="00573C5D"/>
    <w:rsid w:val="00576A45"/>
    <w:rsid w:val="0057726B"/>
    <w:rsid w:val="00586CF2"/>
    <w:rsid w:val="00586EB6"/>
    <w:rsid w:val="00590B43"/>
    <w:rsid w:val="005925FC"/>
    <w:rsid w:val="005953DB"/>
    <w:rsid w:val="0059689A"/>
    <w:rsid w:val="00597864"/>
    <w:rsid w:val="005A1AD9"/>
    <w:rsid w:val="005B1C70"/>
    <w:rsid w:val="005B3A9E"/>
    <w:rsid w:val="005B7851"/>
    <w:rsid w:val="005C2DC2"/>
    <w:rsid w:val="005C31C4"/>
    <w:rsid w:val="005C69F8"/>
    <w:rsid w:val="005D3F12"/>
    <w:rsid w:val="005D438E"/>
    <w:rsid w:val="005D6271"/>
    <w:rsid w:val="005E3F4E"/>
    <w:rsid w:val="00600D42"/>
    <w:rsid w:val="00601B09"/>
    <w:rsid w:val="0060333D"/>
    <w:rsid w:val="00606896"/>
    <w:rsid w:val="00611216"/>
    <w:rsid w:val="0061262D"/>
    <w:rsid w:val="00612974"/>
    <w:rsid w:val="00614EED"/>
    <w:rsid w:val="00615051"/>
    <w:rsid w:val="00615A3E"/>
    <w:rsid w:val="00620BEC"/>
    <w:rsid w:val="006226C6"/>
    <w:rsid w:val="00624943"/>
    <w:rsid w:val="00631154"/>
    <w:rsid w:val="006318D6"/>
    <w:rsid w:val="00632EAA"/>
    <w:rsid w:val="00633703"/>
    <w:rsid w:val="00635527"/>
    <w:rsid w:val="00640282"/>
    <w:rsid w:val="00641BB6"/>
    <w:rsid w:val="00643B97"/>
    <w:rsid w:val="00645ACD"/>
    <w:rsid w:val="00661CF3"/>
    <w:rsid w:val="00665626"/>
    <w:rsid w:val="006658A2"/>
    <w:rsid w:val="00671C2C"/>
    <w:rsid w:val="00672FEA"/>
    <w:rsid w:val="00684AF2"/>
    <w:rsid w:val="00684EAC"/>
    <w:rsid w:val="006921E1"/>
    <w:rsid w:val="00693B0D"/>
    <w:rsid w:val="006B2691"/>
    <w:rsid w:val="006B2A89"/>
    <w:rsid w:val="006B2CF6"/>
    <w:rsid w:val="006B555B"/>
    <w:rsid w:val="006C2F8C"/>
    <w:rsid w:val="006C6C58"/>
    <w:rsid w:val="006C6E29"/>
    <w:rsid w:val="006D07B9"/>
    <w:rsid w:val="006D0993"/>
    <w:rsid w:val="006D3824"/>
    <w:rsid w:val="006F10C9"/>
    <w:rsid w:val="006F725D"/>
    <w:rsid w:val="007055C1"/>
    <w:rsid w:val="00711FE9"/>
    <w:rsid w:val="007135BF"/>
    <w:rsid w:val="00723715"/>
    <w:rsid w:val="00726567"/>
    <w:rsid w:val="00730800"/>
    <w:rsid w:val="007324D4"/>
    <w:rsid w:val="007378F8"/>
    <w:rsid w:val="0074412C"/>
    <w:rsid w:val="00744BDF"/>
    <w:rsid w:val="00745507"/>
    <w:rsid w:val="00751B6A"/>
    <w:rsid w:val="00755F58"/>
    <w:rsid w:val="007623B9"/>
    <w:rsid w:val="007650E0"/>
    <w:rsid w:val="00765559"/>
    <w:rsid w:val="00765709"/>
    <w:rsid w:val="00770E7F"/>
    <w:rsid w:val="00773803"/>
    <w:rsid w:val="0077693D"/>
    <w:rsid w:val="0077719E"/>
    <w:rsid w:val="00782446"/>
    <w:rsid w:val="007844F9"/>
    <w:rsid w:val="00787C80"/>
    <w:rsid w:val="00791D48"/>
    <w:rsid w:val="00794CD6"/>
    <w:rsid w:val="007A3F4D"/>
    <w:rsid w:val="007B0B27"/>
    <w:rsid w:val="007B265E"/>
    <w:rsid w:val="007B4139"/>
    <w:rsid w:val="007C0FEF"/>
    <w:rsid w:val="007C196D"/>
    <w:rsid w:val="007C4969"/>
    <w:rsid w:val="007C4990"/>
    <w:rsid w:val="007C6C7B"/>
    <w:rsid w:val="007C7C97"/>
    <w:rsid w:val="007D00F1"/>
    <w:rsid w:val="007D27C7"/>
    <w:rsid w:val="007D3BA7"/>
    <w:rsid w:val="007D4432"/>
    <w:rsid w:val="007E1C8C"/>
    <w:rsid w:val="007E3BF9"/>
    <w:rsid w:val="007E5B92"/>
    <w:rsid w:val="007E7A70"/>
    <w:rsid w:val="007F0F43"/>
    <w:rsid w:val="007F1C38"/>
    <w:rsid w:val="007F4412"/>
    <w:rsid w:val="007F7839"/>
    <w:rsid w:val="00800051"/>
    <w:rsid w:val="00803BB3"/>
    <w:rsid w:val="00803D87"/>
    <w:rsid w:val="00804386"/>
    <w:rsid w:val="008134CE"/>
    <w:rsid w:val="0081505D"/>
    <w:rsid w:val="008151BB"/>
    <w:rsid w:val="00816916"/>
    <w:rsid w:val="008235A6"/>
    <w:rsid w:val="00825BFF"/>
    <w:rsid w:val="00830957"/>
    <w:rsid w:val="0085425F"/>
    <w:rsid w:val="0086390F"/>
    <w:rsid w:val="0087110A"/>
    <w:rsid w:val="00877CCC"/>
    <w:rsid w:val="00877F2B"/>
    <w:rsid w:val="00882188"/>
    <w:rsid w:val="00885C87"/>
    <w:rsid w:val="008962D0"/>
    <w:rsid w:val="008966E3"/>
    <w:rsid w:val="008A01E9"/>
    <w:rsid w:val="008A4445"/>
    <w:rsid w:val="008A49BC"/>
    <w:rsid w:val="008A56A3"/>
    <w:rsid w:val="008A7E58"/>
    <w:rsid w:val="008B45C4"/>
    <w:rsid w:val="008B686B"/>
    <w:rsid w:val="008C306F"/>
    <w:rsid w:val="008C34E5"/>
    <w:rsid w:val="008C4183"/>
    <w:rsid w:val="008C641E"/>
    <w:rsid w:val="008C76BC"/>
    <w:rsid w:val="008C7D23"/>
    <w:rsid w:val="008D0C9F"/>
    <w:rsid w:val="008D5996"/>
    <w:rsid w:val="008D721A"/>
    <w:rsid w:val="008E143C"/>
    <w:rsid w:val="008F4440"/>
    <w:rsid w:val="008F7683"/>
    <w:rsid w:val="00911601"/>
    <w:rsid w:val="00921617"/>
    <w:rsid w:val="00921948"/>
    <w:rsid w:val="00923394"/>
    <w:rsid w:val="0092538F"/>
    <w:rsid w:val="009300C5"/>
    <w:rsid w:val="00931DD0"/>
    <w:rsid w:val="00933600"/>
    <w:rsid w:val="009431B2"/>
    <w:rsid w:val="00945DCA"/>
    <w:rsid w:val="00946FF7"/>
    <w:rsid w:val="009506E0"/>
    <w:rsid w:val="00951CAD"/>
    <w:rsid w:val="009571DF"/>
    <w:rsid w:val="00957E6B"/>
    <w:rsid w:val="00960398"/>
    <w:rsid w:val="00966A46"/>
    <w:rsid w:val="00972EF3"/>
    <w:rsid w:val="0097497B"/>
    <w:rsid w:val="0097780C"/>
    <w:rsid w:val="00980CE7"/>
    <w:rsid w:val="00981634"/>
    <w:rsid w:val="009820B5"/>
    <w:rsid w:val="009827B6"/>
    <w:rsid w:val="00987E9A"/>
    <w:rsid w:val="0099680F"/>
    <w:rsid w:val="009A136D"/>
    <w:rsid w:val="009B1E72"/>
    <w:rsid w:val="009B6853"/>
    <w:rsid w:val="009C1026"/>
    <w:rsid w:val="009C4045"/>
    <w:rsid w:val="009C5448"/>
    <w:rsid w:val="009C7BCB"/>
    <w:rsid w:val="009D0769"/>
    <w:rsid w:val="009D0BA0"/>
    <w:rsid w:val="009D1137"/>
    <w:rsid w:val="009D2DF1"/>
    <w:rsid w:val="009D349F"/>
    <w:rsid w:val="009D46CA"/>
    <w:rsid w:val="009E1221"/>
    <w:rsid w:val="009E1D8D"/>
    <w:rsid w:val="009E3373"/>
    <w:rsid w:val="009E3BE9"/>
    <w:rsid w:val="009F18C2"/>
    <w:rsid w:val="009F2BB1"/>
    <w:rsid w:val="009F36E1"/>
    <w:rsid w:val="009F46EA"/>
    <w:rsid w:val="009F684C"/>
    <w:rsid w:val="009F759D"/>
    <w:rsid w:val="009F776B"/>
    <w:rsid w:val="00A03057"/>
    <w:rsid w:val="00A072A2"/>
    <w:rsid w:val="00A2661C"/>
    <w:rsid w:val="00A31C13"/>
    <w:rsid w:val="00A330C4"/>
    <w:rsid w:val="00A3595E"/>
    <w:rsid w:val="00A37A9D"/>
    <w:rsid w:val="00A40F2C"/>
    <w:rsid w:val="00A41999"/>
    <w:rsid w:val="00A430EB"/>
    <w:rsid w:val="00A47396"/>
    <w:rsid w:val="00A573A3"/>
    <w:rsid w:val="00A6481B"/>
    <w:rsid w:val="00A72414"/>
    <w:rsid w:val="00A7422B"/>
    <w:rsid w:val="00A743A0"/>
    <w:rsid w:val="00A773CE"/>
    <w:rsid w:val="00A80091"/>
    <w:rsid w:val="00A8346D"/>
    <w:rsid w:val="00A83F1F"/>
    <w:rsid w:val="00A87227"/>
    <w:rsid w:val="00A958AF"/>
    <w:rsid w:val="00A96CB3"/>
    <w:rsid w:val="00A97525"/>
    <w:rsid w:val="00AA7E81"/>
    <w:rsid w:val="00AB1DE4"/>
    <w:rsid w:val="00AB26AC"/>
    <w:rsid w:val="00AB773B"/>
    <w:rsid w:val="00AB7E65"/>
    <w:rsid w:val="00AC20E1"/>
    <w:rsid w:val="00AD1D33"/>
    <w:rsid w:val="00AD24D8"/>
    <w:rsid w:val="00AD31EF"/>
    <w:rsid w:val="00AD5FD5"/>
    <w:rsid w:val="00AE0F7F"/>
    <w:rsid w:val="00AE2669"/>
    <w:rsid w:val="00AE64B6"/>
    <w:rsid w:val="00AF1B4E"/>
    <w:rsid w:val="00AF5AFB"/>
    <w:rsid w:val="00B00941"/>
    <w:rsid w:val="00B04942"/>
    <w:rsid w:val="00B0675D"/>
    <w:rsid w:val="00B12207"/>
    <w:rsid w:val="00B1604B"/>
    <w:rsid w:val="00B17310"/>
    <w:rsid w:val="00B248B7"/>
    <w:rsid w:val="00B25170"/>
    <w:rsid w:val="00B30DAE"/>
    <w:rsid w:val="00B3408D"/>
    <w:rsid w:val="00B37857"/>
    <w:rsid w:val="00B41866"/>
    <w:rsid w:val="00B525A4"/>
    <w:rsid w:val="00B5663B"/>
    <w:rsid w:val="00B606B1"/>
    <w:rsid w:val="00B60851"/>
    <w:rsid w:val="00B62DB5"/>
    <w:rsid w:val="00B641BB"/>
    <w:rsid w:val="00B73FAD"/>
    <w:rsid w:val="00B75D6D"/>
    <w:rsid w:val="00B87BF7"/>
    <w:rsid w:val="00B90CEF"/>
    <w:rsid w:val="00B96606"/>
    <w:rsid w:val="00BA3360"/>
    <w:rsid w:val="00BA65D0"/>
    <w:rsid w:val="00BA6F38"/>
    <w:rsid w:val="00BA700C"/>
    <w:rsid w:val="00BB2608"/>
    <w:rsid w:val="00BB2A4E"/>
    <w:rsid w:val="00BB32DE"/>
    <w:rsid w:val="00BB6749"/>
    <w:rsid w:val="00BC1A88"/>
    <w:rsid w:val="00BC439E"/>
    <w:rsid w:val="00BD03AB"/>
    <w:rsid w:val="00BE143B"/>
    <w:rsid w:val="00BE75D7"/>
    <w:rsid w:val="00BF1494"/>
    <w:rsid w:val="00BF173F"/>
    <w:rsid w:val="00BF4903"/>
    <w:rsid w:val="00C01659"/>
    <w:rsid w:val="00C06269"/>
    <w:rsid w:val="00C12218"/>
    <w:rsid w:val="00C13D11"/>
    <w:rsid w:val="00C20481"/>
    <w:rsid w:val="00C21B40"/>
    <w:rsid w:val="00C22469"/>
    <w:rsid w:val="00C249B8"/>
    <w:rsid w:val="00C30F6D"/>
    <w:rsid w:val="00C32ACE"/>
    <w:rsid w:val="00C33B77"/>
    <w:rsid w:val="00C341CF"/>
    <w:rsid w:val="00C34425"/>
    <w:rsid w:val="00C35090"/>
    <w:rsid w:val="00C3701F"/>
    <w:rsid w:val="00C40A19"/>
    <w:rsid w:val="00C4378B"/>
    <w:rsid w:val="00C57E17"/>
    <w:rsid w:val="00C64F90"/>
    <w:rsid w:val="00C6664A"/>
    <w:rsid w:val="00C7116D"/>
    <w:rsid w:val="00C85DF2"/>
    <w:rsid w:val="00C86C2D"/>
    <w:rsid w:val="00C92DD5"/>
    <w:rsid w:val="00C940E8"/>
    <w:rsid w:val="00C94119"/>
    <w:rsid w:val="00C952EA"/>
    <w:rsid w:val="00C962CA"/>
    <w:rsid w:val="00CA06BB"/>
    <w:rsid w:val="00CA324E"/>
    <w:rsid w:val="00CB0848"/>
    <w:rsid w:val="00CB4353"/>
    <w:rsid w:val="00CB4E4C"/>
    <w:rsid w:val="00CB6E7F"/>
    <w:rsid w:val="00CB7FF8"/>
    <w:rsid w:val="00CC0AA1"/>
    <w:rsid w:val="00CC7150"/>
    <w:rsid w:val="00CD0AA9"/>
    <w:rsid w:val="00CD23C3"/>
    <w:rsid w:val="00CD417F"/>
    <w:rsid w:val="00CF0581"/>
    <w:rsid w:val="00CF247F"/>
    <w:rsid w:val="00CF6AE6"/>
    <w:rsid w:val="00CF75DB"/>
    <w:rsid w:val="00CF7709"/>
    <w:rsid w:val="00D0207F"/>
    <w:rsid w:val="00D04BD8"/>
    <w:rsid w:val="00D06E4A"/>
    <w:rsid w:val="00D07310"/>
    <w:rsid w:val="00D101EF"/>
    <w:rsid w:val="00D1067B"/>
    <w:rsid w:val="00D12579"/>
    <w:rsid w:val="00D12D71"/>
    <w:rsid w:val="00D135AB"/>
    <w:rsid w:val="00D1396B"/>
    <w:rsid w:val="00D14D52"/>
    <w:rsid w:val="00D1563B"/>
    <w:rsid w:val="00D17E79"/>
    <w:rsid w:val="00D21983"/>
    <w:rsid w:val="00D26B11"/>
    <w:rsid w:val="00D27BD7"/>
    <w:rsid w:val="00D3152A"/>
    <w:rsid w:val="00D333D6"/>
    <w:rsid w:val="00D34492"/>
    <w:rsid w:val="00D4104B"/>
    <w:rsid w:val="00D41D6E"/>
    <w:rsid w:val="00D42A8F"/>
    <w:rsid w:val="00D42B4A"/>
    <w:rsid w:val="00D516B2"/>
    <w:rsid w:val="00D67264"/>
    <w:rsid w:val="00D72189"/>
    <w:rsid w:val="00D75CF3"/>
    <w:rsid w:val="00D7647D"/>
    <w:rsid w:val="00D80EBC"/>
    <w:rsid w:val="00D8137E"/>
    <w:rsid w:val="00D84490"/>
    <w:rsid w:val="00D85E07"/>
    <w:rsid w:val="00D9046F"/>
    <w:rsid w:val="00D954E7"/>
    <w:rsid w:val="00DA13F0"/>
    <w:rsid w:val="00DA7998"/>
    <w:rsid w:val="00DB1301"/>
    <w:rsid w:val="00DB342D"/>
    <w:rsid w:val="00DB6222"/>
    <w:rsid w:val="00DC71DB"/>
    <w:rsid w:val="00DD433D"/>
    <w:rsid w:val="00DE599B"/>
    <w:rsid w:val="00DF0654"/>
    <w:rsid w:val="00DF2670"/>
    <w:rsid w:val="00DF2730"/>
    <w:rsid w:val="00E00326"/>
    <w:rsid w:val="00E15F4E"/>
    <w:rsid w:val="00E211F5"/>
    <w:rsid w:val="00E235EE"/>
    <w:rsid w:val="00E24DAF"/>
    <w:rsid w:val="00E26735"/>
    <w:rsid w:val="00E42C50"/>
    <w:rsid w:val="00E437CF"/>
    <w:rsid w:val="00E47E65"/>
    <w:rsid w:val="00E53472"/>
    <w:rsid w:val="00E53CAF"/>
    <w:rsid w:val="00E60CFF"/>
    <w:rsid w:val="00E61CB9"/>
    <w:rsid w:val="00E6317D"/>
    <w:rsid w:val="00E63DFE"/>
    <w:rsid w:val="00E647A0"/>
    <w:rsid w:val="00E741A9"/>
    <w:rsid w:val="00E74479"/>
    <w:rsid w:val="00E748E4"/>
    <w:rsid w:val="00E76D30"/>
    <w:rsid w:val="00E771BF"/>
    <w:rsid w:val="00E806F5"/>
    <w:rsid w:val="00E84E8A"/>
    <w:rsid w:val="00E85A12"/>
    <w:rsid w:val="00E86190"/>
    <w:rsid w:val="00E864A4"/>
    <w:rsid w:val="00E91CD1"/>
    <w:rsid w:val="00E963CE"/>
    <w:rsid w:val="00E96D12"/>
    <w:rsid w:val="00E97CB9"/>
    <w:rsid w:val="00EA02BC"/>
    <w:rsid w:val="00EB1788"/>
    <w:rsid w:val="00EB3378"/>
    <w:rsid w:val="00EB3703"/>
    <w:rsid w:val="00EB3F6A"/>
    <w:rsid w:val="00EB54B5"/>
    <w:rsid w:val="00EB68CA"/>
    <w:rsid w:val="00EC5732"/>
    <w:rsid w:val="00ED0A9E"/>
    <w:rsid w:val="00ED3952"/>
    <w:rsid w:val="00ED44BA"/>
    <w:rsid w:val="00ED5E8E"/>
    <w:rsid w:val="00EE027D"/>
    <w:rsid w:val="00EE55D5"/>
    <w:rsid w:val="00EE6F9A"/>
    <w:rsid w:val="00EE760E"/>
    <w:rsid w:val="00EF0BC2"/>
    <w:rsid w:val="00EF2715"/>
    <w:rsid w:val="00EF330D"/>
    <w:rsid w:val="00F041BA"/>
    <w:rsid w:val="00F055DD"/>
    <w:rsid w:val="00F10BB8"/>
    <w:rsid w:val="00F10D23"/>
    <w:rsid w:val="00F10D69"/>
    <w:rsid w:val="00F12768"/>
    <w:rsid w:val="00F143F5"/>
    <w:rsid w:val="00F154E7"/>
    <w:rsid w:val="00F1627D"/>
    <w:rsid w:val="00F20A80"/>
    <w:rsid w:val="00F21219"/>
    <w:rsid w:val="00F3251E"/>
    <w:rsid w:val="00F32608"/>
    <w:rsid w:val="00F51F47"/>
    <w:rsid w:val="00F547F1"/>
    <w:rsid w:val="00F55638"/>
    <w:rsid w:val="00F565F8"/>
    <w:rsid w:val="00F62DEE"/>
    <w:rsid w:val="00F63CDB"/>
    <w:rsid w:val="00F66640"/>
    <w:rsid w:val="00F7315A"/>
    <w:rsid w:val="00F82A85"/>
    <w:rsid w:val="00F82B6F"/>
    <w:rsid w:val="00F8453C"/>
    <w:rsid w:val="00F84974"/>
    <w:rsid w:val="00F87022"/>
    <w:rsid w:val="00F90DC1"/>
    <w:rsid w:val="00F91D92"/>
    <w:rsid w:val="00F9351B"/>
    <w:rsid w:val="00F93A32"/>
    <w:rsid w:val="00F94A81"/>
    <w:rsid w:val="00FA0B5E"/>
    <w:rsid w:val="00FA2668"/>
    <w:rsid w:val="00FC0273"/>
    <w:rsid w:val="00FC0C0F"/>
    <w:rsid w:val="00FC1054"/>
    <w:rsid w:val="00FC2521"/>
    <w:rsid w:val="00FC613E"/>
    <w:rsid w:val="00FC6652"/>
    <w:rsid w:val="00FC6E03"/>
    <w:rsid w:val="00FD5831"/>
    <w:rsid w:val="00FE5647"/>
    <w:rsid w:val="00FE59B4"/>
    <w:rsid w:val="00FE5B83"/>
    <w:rsid w:val="00FF0B68"/>
    <w:rsid w:val="00FF1783"/>
    <w:rsid w:val="00FF3288"/>
    <w:rsid w:val="00FF49FF"/>
    <w:rsid w:val="00FF5783"/>
    <w:rsid w:val="0100D07F"/>
    <w:rsid w:val="012B7E23"/>
    <w:rsid w:val="01427B94"/>
    <w:rsid w:val="026E497E"/>
    <w:rsid w:val="0309018F"/>
    <w:rsid w:val="0406F2B1"/>
    <w:rsid w:val="04EB9BAA"/>
    <w:rsid w:val="05C072E5"/>
    <w:rsid w:val="061EE5CE"/>
    <w:rsid w:val="066636ED"/>
    <w:rsid w:val="0741BAA1"/>
    <w:rsid w:val="07BAB62F"/>
    <w:rsid w:val="08624999"/>
    <w:rsid w:val="08795635"/>
    <w:rsid w:val="08BDBA2B"/>
    <w:rsid w:val="0A795B63"/>
    <w:rsid w:val="0A8ECADD"/>
    <w:rsid w:val="0BFCE006"/>
    <w:rsid w:val="0D003B5C"/>
    <w:rsid w:val="0E60C260"/>
    <w:rsid w:val="0E71A7A9"/>
    <w:rsid w:val="0ECBDBCC"/>
    <w:rsid w:val="0F16BAD4"/>
    <w:rsid w:val="0F49A558"/>
    <w:rsid w:val="0F4CCC86"/>
    <w:rsid w:val="105F35C5"/>
    <w:rsid w:val="106E20DE"/>
    <w:rsid w:val="10E575B9"/>
    <w:rsid w:val="10E89CE7"/>
    <w:rsid w:val="1281461A"/>
    <w:rsid w:val="14261E79"/>
    <w:rsid w:val="147CBA5F"/>
    <w:rsid w:val="14B0854E"/>
    <w:rsid w:val="15075F5D"/>
    <w:rsid w:val="1522DC33"/>
    <w:rsid w:val="159010E4"/>
    <w:rsid w:val="161D075D"/>
    <w:rsid w:val="169085A1"/>
    <w:rsid w:val="169A247F"/>
    <w:rsid w:val="16AFD0FD"/>
    <w:rsid w:val="17071F12"/>
    <w:rsid w:val="1754F7B4"/>
    <w:rsid w:val="18BBA766"/>
    <w:rsid w:val="194071AB"/>
    <w:rsid w:val="19EFFB15"/>
    <w:rsid w:val="1B897297"/>
    <w:rsid w:val="1BB1DE98"/>
    <w:rsid w:val="1BBE419B"/>
    <w:rsid w:val="1CA82C99"/>
    <w:rsid w:val="1CCDCA00"/>
    <w:rsid w:val="1CF4E54D"/>
    <w:rsid w:val="1DE275A0"/>
    <w:rsid w:val="1FAFCC66"/>
    <w:rsid w:val="22242253"/>
    <w:rsid w:val="2259356D"/>
    <w:rsid w:val="232923D0"/>
    <w:rsid w:val="248F4127"/>
    <w:rsid w:val="249E222A"/>
    <w:rsid w:val="255B7F74"/>
    <w:rsid w:val="26A9A53C"/>
    <w:rsid w:val="27623DE6"/>
    <w:rsid w:val="27FF6AAD"/>
    <w:rsid w:val="28500164"/>
    <w:rsid w:val="29FC1AE8"/>
    <w:rsid w:val="2AE1B6B7"/>
    <w:rsid w:val="2AE79E71"/>
    <w:rsid w:val="2AF5D78B"/>
    <w:rsid w:val="2B008F55"/>
    <w:rsid w:val="2BDF0338"/>
    <w:rsid w:val="2DA0D32B"/>
    <w:rsid w:val="2DD61D48"/>
    <w:rsid w:val="2F1C19A9"/>
    <w:rsid w:val="2F6C8503"/>
    <w:rsid w:val="30508782"/>
    <w:rsid w:val="30587508"/>
    <w:rsid w:val="31EC57E3"/>
    <w:rsid w:val="348DB4EB"/>
    <w:rsid w:val="34DED053"/>
    <w:rsid w:val="3601BA69"/>
    <w:rsid w:val="367267F9"/>
    <w:rsid w:val="36CA94C4"/>
    <w:rsid w:val="370C73D9"/>
    <w:rsid w:val="37408DCC"/>
    <w:rsid w:val="37BE17C0"/>
    <w:rsid w:val="38EEAB87"/>
    <w:rsid w:val="39AE4A8D"/>
    <w:rsid w:val="39FF574E"/>
    <w:rsid w:val="3AD2045E"/>
    <w:rsid w:val="3B9BF52E"/>
    <w:rsid w:val="3BB47562"/>
    <w:rsid w:val="3C5D9607"/>
    <w:rsid w:val="3CB9A540"/>
    <w:rsid w:val="3D1A2DB7"/>
    <w:rsid w:val="3D8580A5"/>
    <w:rsid w:val="3DE70794"/>
    <w:rsid w:val="3DEAD688"/>
    <w:rsid w:val="3E1D45DC"/>
    <w:rsid w:val="3FBD6A61"/>
    <w:rsid w:val="3FD06354"/>
    <w:rsid w:val="3FFE3DCC"/>
    <w:rsid w:val="41E1021E"/>
    <w:rsid w:val="420D9061"/>
    <w:rsid w:val="4228454C"/>
    <w:rsid w:val="42F63EA0"/>
    <w:rsid w:val="4380C41B"/>
    <w:rsid w:val="43A63994"/>
    <w:rsid w:val="43A67A0B"/>
    <w:rsid w:val="44688134"/>
    <w:rsid w:val="44FB294E"/>
    <w:rsid w:val="45D7D81A"/>
    <w:rsid w:val="45EE95F0"/>
    <w:rsid w:val="4614B705"/>
    <w:rsid w:val="463AD933"/>
    <w:rsid w:val="46C7D927"/>
    <w:rsid w:val="46DE1ACD"/>
    <w:rsid w:val="47FFA841"/>
    <w:rsid w:val="486374E3"/>
    <w:rsid w:val="4962903A"/>
    <w:rsid w:val="49AAD572"/>
    <w:rsid w:val="4AF457DF"/>
    <w:rsid w:val="4B409B22"/>
    <w:rsid w:val="4D3433F4"/>
    <w:rsid w:val="4D45AE2A"/>
    <w:rsid w:val="4D5D3872"/>
    <w:rsid w:val="4E4DFBED"/>
    <w:rsid w:val="4EB5970F"/>
    <w:rsid w:val="508888C8"/>
    <w:rsid w:val="515F5732"/>
    <w:rsid w:val="5212BFAD"/>
    <w:rsid w:val="52E52664"/>
    <w:rsid w:val="53A37578"/>
    <w:rsid w:val="54AAEF1D"/>
    <w:rsid w:val="57608C97"/>
    <w:rsid w:val="5774762B"/>
    <w:rsid w:val="58BC1B45"/>
    <w:rsid w:val="595140BA"/>
    <w:rsid w:val="5B188E3D"/>
    <w:rsid w:val="5D37D7FE"/>
    <w:rsid w:val="5DC7BB1E"/>
    <w:rsid w:val="5E27D90B"/>
    <w:rsid w:val="5E6879DC"/>
    <w:rsid w:val="5F1409FE"/>
    <w:rsid w:val="606F78C0"/>
    <w:rsid w:val="60D920B7"/>
    <w:rsid w:val="61757AFC"/>
    <w:rsid w:val="620B4921"/>
    <w:rsid w:val="62AAAE4B"/>
    <w:rsid w:val="63342658"/>
    <w:rsid w:val="63C11CD1"/>
    <w:rsid w:val="63C2EF9E"/>
    <w:rsid w:val="64275D2D"/>
    <w:rsid w:val="643043B2"/>
    <w:rsid w:val="6465318A"/>
    <w:rsid w:val="64971A8F"/>
    <w:rsid w:val="64BEBE7C"/>
    <w:rsid w:val="6542E9E3"/>
    <w:rsid w:val="65A9FB65"/>
    <w:rsid w:val="65C26DF6"/>
    <w:rsid w:val="666768FE"/>
    <w:rsid w:val="667AE318"/>
    <w:rsid w:val="6708FB6D"/>
    <w:rsid w:val="675A84C2"/>
    <w:rsid w:val="67CD610C"/>
    <w:rsid w:val="68A32AA9"/>
    <w:rsid w:val="6A1CED46"/>
    <w:rsid w:val="6BAC55FA"/>
    <w:rsid w:val="6BB8BDA7"/>
    <w:rsid w:val="6BC51F58"/>
    <w:rsid w:val="6CAA19FA"/>
    <w:rsid w:val="6D09AFC2"/>
    <w:rsid w:val="6D53E1DA"/>
    <w:rsid w:val="6D8F90B1"/>
    <w:rsid w:val="6E776DB3"/>
    <w:rsid w:val="6EE9C512"/>
    <w:rsid w:val="6FB44F01"/>
    <w:rsid w:val="712DA350"/>
    <w:rsid w:val="7306BEE6"/>
    <w:rsid w:val="730E8E67"/>
    <w:rsid w:val="74B9330C"/>
    <w:rsid w:val="7557E461"/>
    <w:rsid w:val="756F79F5"/>
    <w:rsid w:val="772D2BEE"/>
    <w:rsid w:val="77A54DBC"/>
    <w:rsid w:val="78C9106D"/>
    <w:rsid w:val="79F68BA2"/>
    <w:rsid w:val="7C0D5C19"/>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B858305B-C878-40B3-90A6-E1F3DAC89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597254930">
      <w:bodyDiv w:val="1"/>
      <w:marLeft w:val="0"/>
      <w:marRight w:val="0"/>
      <w:marTop w:val="0"/>
      <w:marBottom w:val="0"/>
      <w:divBdr>
        <w:top w:val="none" w:sz="0" w:space="0" w:color="auto"/>
        <w:left w:val="none" w:sz="0" w:space="0" w:color="auto"/>
        <w:bottom w:val="none" w:sz="0" w:space="0" w:color="auto"/>
        <w:right w:val="none" w:sz="0" w:space="0" w:color="auto"/>
      </w:divBdr>
      <w:divsChild>
        <w:div w:id="1838500137">
          <w:marLeft w:val="0"/>
          <w:marRight w:val="0"/>
          <w:marTop w:val="0"/>
          <w:marBottom w:val="0"/>
          <w:divBdr>
            <w:top w:val="single" w:sz="6" w:space="0" w:color="CCCCCC"/>
            <w:left w:val="none" w:sz="0" w:space="0" w:color="auto"/>
            <w:bottom w:val="none" w:sz="0" w:space="0" w:color="auto"/>
            <w:right w:val="none" w:sz="0" w:space="0" w:color="auto"/>
          </w:divBdr>
          <w:divsChild>
            <w:div w:id="133518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866064638">
      <w:bodyDiv w:val="1"/>
      <w:marLeft w:val="0"/>
      <w:marRight w:val="0"/>
      <w:marTop w:val="0"/>
      <w:marBottom w:val="0"/>
      <w:divBdr>
        <w:top w:val="none" w:sz="0" w:space="0" w:color="auto"/>
        <w:left w:val="none" w:sz="0" w:space="0" w:color="auto"/>
        <w:bottom w:val="none" w:sz="0" w:space="0" w:color="auto"/>
        <w:right w:val="none" w:sz="0" w:space="0" w:color="auto"/>
      </w:divBdr>
      <w:divsChild>
        <w:div w:id="2029062962">
          <w:marLeft w:val="0"/>
          <w:marRight w:val="0"/>
          <w:marTop w:val="0"/>
          <w:marBottom w:val="0"/>
          <w:divBdr>
            <w:top w:val="single" w:sz="6" w:space="0" w:color="CCCCCC"/>
            <w:left w:val="none" w:sz="0" w:space="0" w:color="auto"/>
            <w:bottom w:val="none" w:sz="0" w:space="0" w:color="auto"/>
            <w:right w:val="none" w:sz="0" w:space="0" w:color="auto"/>
          </w:divBdr>
          <w:divsChild>
            <w:div w:id="169649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pje.tjdft.jus.br/pje/seam/resource/rest/pje-legacy/documento/download/TJDFT/1g/4559007/253143879" TargetMode="External"/><Relationship Id="rId26" Type="http://schemas.openxmlformats.org/officeDocument/2006/relationships/hyperlink" Target="https://pje.tjdft.jus.br/pje/seam/resource/rest/pje-legacy/documento/download/TJDFT/1g/4559007/268153459" TargetMode="External"/><Relationship Id="rId39" Type="http://schemas.microsoft.com/office/2011/relationships/people" Target="people.xml"/><Relationship Id="rId3" Type="http://schemas.openxmlformats.org/officeDocument/2006/relationships/customXml" Target="../customXml/item3.xml"/><Relationship Id="rId21" Type="http://schemas.openxmlformats.org/officeDocument/2006/relationships/hyperlink" Target="https://pje.tjdft.jus.br/pje/seam/resource/rest/pje-legacy/documento/download/TJDFT/1g/4559007/261045297" TargetMode="External"/><Relationship Id="rId34" Type="http://schemas.openxmlformats.org/officeDocument/2006/relationships/footer" Target="footer1.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hyperlink" Target="https://pje.tjdft.jus.br/pje/seam/resource/rest/pje-legacy/documento/download/TJDFT/1g/4559007/250812668" TargetMode="External"/><Relationship Id="rId25" Type="http://schemas.openxmlformats.org/officeDocument/2006/relationships/hyperlink" Target="https://pje.tjdft.jus.br/pje/seam/resource/rest/pje-legacy/documento/download/TJDFT/1g/4559007/264945169" TargetMode="External"/><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pje.tjdft.jus.br/pje/seam/resource/rest/pje-legacy/documento/download/TJDFT/1g/4559007/250020964" TargetMode="External"/><Relationship Id="rId20" Type="http://schemas.openxmlformats.org/officeDocument/2006/relationships/hyperlink" Target="https://pje.tjdft.jus.br/pje/seam/resource/rest/pje-legacy/documento/download/TJDFT/1g/4559007/257901515" TargetMode="External"/><Relationship Id="rId29" Type="http://schemas.openxmlformats.org/officeDocument/2006/relationships/hyperlink" Target="https://pje.tjdft.jus.br/pje/seam/resource/rest/pje-legacy/documento/download/TJDFT/1g/4559007/274910913"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hyperlink" Target="https://pje.tjdft.jus.br/pje/seam/resource/rest/pje-legacy/documento/download/TJDFT/1g/4559007/268145515" TargetMode="External"/><Relationship Id="rId32" Type="http://schemas.openxmlformats.org/officeDocument/2006/relationships/header" Target="header1.xml"/><Relationship Id="rId37" Type="http://schemas.openxmlformats.org/officeDocument/2006/relationships/footer" Target="footer3.xml"/><Relationship Id="rId40" Type="http://schemas.openxmlformats.org/officeDocument/2006/relationships/glossaryDocument" Target="glossary/document.xml"/><Relationship Id="rId5" Type="http://schemas.openxmlformats.org/officeDocument/2006/relationships/styles" Target="styles.xml"/><Relationship Id="rId15" Type="http://schemas.openxmlformats.org/officeDocument/2006/relationships/hyperlink" Target="https://pje.tjdft.jus.br/pje/seam/resource/rest/pje-legacy/documento/download/278952686" TargetMode="External"/><Relationship Id="rId23" Type="http://schemas.openxmlformats.org/officeDocument/2006/relationships/hyperlink" Target="https://pje.tjdft.jus.br/pje/seam/resource/rest/pje-legacy/documento/download/TJDFT/1g/4559007/264945193" TargetMode="External"/><Relationship Id="rId28" Type="http://schemas.openxmlformats.org/officeDocument/2006/relationships/hyperlink" Target="https://pje.tjdft.jus.br/pje/seam/resource/rest/pje-legacy/documento/download/TJDFT/1g/4559007/274791470" TargetMode="External"/><Relationship Id="rId36"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yperlink" Target="https://pje.tjdft.jus.br/pje/seam/resource/rest/pje-legacy/documento/download/TJDFT/1g/4559007/256883117" TargetMode="External"/><Relationship Id="rId31" Type="http://schemas.openxmlformats.org/officeDocument/2006/relationships/hyperlink" Target="https://pje.tjdft.jus.br/pje/seam/resource/rest/pje-legacy/documento/download/TJDFT/1g/4559007/278922334" TargetMode="Externa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openxmlformats.org/officeDocument/2006/relationships/hyperlink" Target="https://pje.tjdft.jus.br/pje/seam/resource/rest/pje-legacy/documento/download/TJDFT/1g/4559007/268141477" TargetMode="External"/><Relationship Id="rId27" Type="http://schemas.openxmlformats.org/officeDocument/2006/relationships/hyperlink" Target="https://pje.tjdft.jus.br/pje/seam/resource/rest/pje-legacy/documento/download/TJDFT/1g/4559007/265477833" TargetMode="External"/><Relationship Id="rId30" Type="http://schemas.openxmlformats.org/officeDocument/2006/relationships/hyperlink" Target="https://pje.tjdft.jus.br/pje/seam/resource/rest/pje-legacy/documento/download/TJDFT/1g/4559007/274932139" TargetMode="External"/><Relationship Id="rId35"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CC47C5ADE849A18DA0C7907A361910"/>
        <w:category>
          <w:name w:val="Geral"/>
          <w:gallery w:val="placeholder"/>
        </w:category>
        <w:types>
          <w:type w:val="bbPlcHdr"/>
        </w:types>
        <w:behaviors>
          <w:behavior w:val="content"/>
        </w:behaviors>
        <w:guid w:val="{82970ABC-6F8D-4C02-94D1-4488F3BFFA36}"/>
      </w:docPartPr>
      <w:docPartBody>
        <w:p w:rsidR="00773803" w:rsidRDefault="00773803" w:rsidP="00773803">
          <w:pPr>
            <w:pStyle w:val="7ACC47C5ADE849A18DA0C7907A361910"/>
          </w:pPr>
          <w:r w:rsidRPr="002A0A13">
            <w:rPr>
              <w:rStyle w:val="TextodoEspaoReservado"/>
            </w:rPr>
            <w:t>Escolher um item.</w:t>
          </w:r>
        </w:p>
      </w:docPartBody>
    </w:docPart>
    <w:docPart>
      <w:docPartPr>
        <w:name w:val="F878D1793E2346938EC18DAD866E9010"/>
        <w:category>
          <w:name w:val="Geral"/>
          <w:gallery w:val="placeholder"/>
        </w:category>
        <w:types>
          <w:type w:val="bbPlcHdr"/>
        </w:types>
        <w:behaviors>
          <w:behavior w:val="content"/>
        </w:behaviors>
        <w:guid w:val="{6F677645-7BEE-495B-A2A2-C7078781C734}"/>
      </w:docPartPr>
      <w:docPartBody>
        <w:p w:rsidR="00773803" w:rsidRDefault="00773803" w:rsidP="00773803">
          <w:pPr>
            <w:pStyle w:val="F878D1793E2346938EC18DAD866E9010"/>
          </w:pPr>
          <w:r w:rsidRPr="009F36E1">
            <w:rPr>
              <w:rStyle w:val="TextodoEspaoReservado"/>
              <w:sz w:val="28"/>
              <w:szCs w:val="28"/>
            </w:rPr>
            <w:t>Escolher um item.</w:t>
          </w:r>
        </w:p>
      </w:docPartBody>
    </w:docPart>
    <w:docPart>
      <w:docPartPr>
        <w:name w:val="AA1EE3EF79994F978EAA8FE4FF7A26BD"/>
        <w:category>
          <w:name w:val="Geral"/>
          <w:gallery w:val="placeholder"/>
        </w:category>
        <w:types>
          <w:type w:val="bbPlcHdr"/>
        </w:types>
        <w:behaviors>
          <w:behavior w:val="content"/>
        </w:behaviors>
        <w:guid w:val="{4D2D01E5-6886-4D3A-BC5A-5366DBB17323}"/>
      </w:docPartPr>
      <w:docPartBody>
        <w:p w:rsidR="00773803" w:rsidRDefault="00773803" w:rsidP="00773803">
          <w:pPr>
            <w:pStyle w:val="AA1EE3EF79994F978EAA8FE4FF7A26BD"/>
          </w:pPr>
          <w:r>
            <w:rPr>
              <w:rFonts w:cs="Arial"/>
            </w:rPr>
            <w:t>Escolher um item</w:t>
          </w:r>
        </w:p>
      </w:docPartBody>
    </w:docPart>
    <w:docPart>
      <w:docPartPr>
        <w:name w:val="BC7F39C12B0F442FBBF9AD5B583FBDE0"/>
        <w:category>
          <w:name w:val="Geral"/>
          <w:gallery w:val="placeholder"/>
        </w:category>
        <w:types>
          <w:type w:val="bbPlcHdr"/>
        </w:types>
        <w:behaviors>
          <w:behavior w:val="content"/>
        </w:behaviors>
        <w:guid w:val="{6AC9F25C-CE24-4940-A55B-E193616E922A}"/>
      </w:docPartPr>
      <w:docPartBody>
        <w:p w:rsidR="00773803" w:rsidRDefault="00773803" w:rsidP="00773803">
          <w:pPr>
            <w:pStyle w:val="BC7F39C12B0F442FBBF9AD5B583FBDE0"/>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19695A"/>
    <w:rsid w:val="001B0F6A"/>
    <w:rsid w:val="001E2AC0"/>
    <w:rsid w:val="00277029"/>
    <w:rsid w:val="002C7E0E"/>
    <w:rsid w:val="002F13AB"/>
    <w:rsid w:val="003060EF"/>
    <w:rsid w:val="00364B04"/>
    <w:rsid w:val="003D50C8"/>
    <w:rsid w:val="00427B4D"/>
    <w:rsid w:val="00465A25"/>
    <w:rsid w:val="004756EB"/>
    <w:rsid w:val="00480A0E"/>
    <w:rsid w:val="004C591E"/>
    <w:rsid w:val="00515AB3"/>
    <w:rsid w:val="00534782"/>
    <w:rsid w:val="005953DB"/>
    <w:rsid w:val="005E4FE9"/>
    <w:rsid w:val="007055C1"/>
    <w:rsid w:val="00730800"/>
    <w:rsid w:val="007644D6"/>
    <w:rsid w:val="00773803"/>
    <w:rsid w:val="0077693D"/>
    <w:rsid w:val="00816916"/>
    <w:rsid w:val="00855F86"/>
    <w:rsid w:val="008B686B"/>
    <w:rsid w:val="008C4978"/>
    <w:rsid w:val="009A52A1"/>
    <w:rsid w:val="009C5448"/>
    <w:rsid w:val="00AB26AC"/>
    <w:rsid w:val="00AD59B1"/>
    <w:rsid w:val="00B9403F"/>
    <w:rsid w:val="00C34425"/>
    <w:rsid w:val="00C7198A"/>
    <w:rsid w:val="00CB636A"/>
    <w:rsid w:val="00CC4909"/>
    <w:rsid w:val="00DE22E5"/>
    <w:rsid w:val="00E85666"/>
    <w:rsid w:val="00EB68CA"/>
    <w:rsid w:val="00FA0B5E"/>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773803"/>
    <w:rPr>
      <w:color w:val="808080"/>
    </w:rPr>
  </w:style>
  <w:style w:type="paragraph" w:customStyle="1" w:styleId="7ACC47C5ADE849A18DA0C7907A361910">
    <w:name w:val="7ACC47C5ADE849A18DA0C7907A361910"/>
    <w:rsid w:val="00773803"/>
    <w:pPr>
      <w:spacing w:line="278" w:lineRule="auto"/>
    </w:pPr>
    <w:rPr>
      <w:kern w:val="2"/>
      <w:sz w:val="24"/>
      <w:szCs w:val="24"/>
      <w14:ligatures w14:val="standardContextual"/>
    </w:rPr>
  </w:style>
  <w:style w:type="paragraph" w:customStyle="1" w:styleId="F878D1793E2346938EC18DAD866E9010">
    <w:name w:val="F878D1793E2346938EC18DAD866E9010"/>
    <w:rsid w:val="00773803"/>
    <w:pPr>
      <w:spacing w:line="278" w:lineRule="auto"/>
    </w:pPr>
    <w:rPr>
      <w:kern w:val="2"/>
      <w:sz w:val="24"/>
      <w:szCs w:val="24"/>
      <w14:ligatures w14:val="standardContextual"/>
    </w:rPr>
  </w:style>
  <w:style w:type="paragraph" w:customStyle="1" w:styleId="AA1EE3EF79994F978EAA8FE4FF7A26BD">
    <w:name w:val="AA1EE3EF79994F978EAA8FE4FF7A26BD"/>
    <w:rsid w:val="00773803"/>
    <w:pPr>
      <w:spacing w:line="278" w:lineRule="auto"/>
    </w:pPr>
    <w:rPr>
      <w:kern w:val="2"/>
      <w:sz w:val="24"/>
      <w:szCs w:val="24"/>
      <w14:ligatures w14:val="standardContextual"/>
    </w:rPr>
  </w:style>
  <w:style w:type="paragraph" w:customStyle="1" w:styleId="BC7F39C12B0F442FBBF9AD5B583FBDE0">
    <w:name w:val="BC7F39C12B0F442FBBF9AD5B583FBDE0"/>
    <w:rsid w:val="00773803"/>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794DF51-C626-46D6-9B34-7D002B23C576}">
  <we:reference id="WA200010453" version="1.0.0.1" store="Omex" storeType="OMEX"/>
  <we:alternateReferences>
    <we:reference id="WA200010453" version="1.0.0.1" store="WA200010453" storeType="OMEX"/>
  </we:alternateReferences>
  <we:properties>
    <we:property name="claude.fileId" value="&quot;93b4da58-1fb2-4d92-8594-52e9ff4244d8&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1930c5e-6cbf-4694-b781-f590bfa80909">
      <Terms xmlns="http://schemas.microsoft.com/office/infopath/2007/PartnerControls"/>
    </lcf76f155ced4ddcb4097134ff3c332f>
    <TaxCatchAll xmlns="2aabb5b7-11a6-4edb-b82f-e91ec49f15e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0EFFB71C01CC341AD4918EC9567C969" ma:contentTypeVersion="28" ma:contentTypeDescription="Crie um novo documento." ma:contentTypeScope="" ma:versionID="3cee0f4348c9f87d467916823ae4111d">
  <xsd:schema xmlns:xsd="http://www.w3.org/2001/XMLSchema" xmlns:xs="http://www.w3.org/2001/XMLSchema" xmlns:p="http://schemas.microsoft.com/office/2006/metadata/properties" xmlns:ns2="d1930c5e-6cbf-4694-b781-f590bfa80909" xmlns:ns3="2aabb5b7-11a6-4edb-b82f-e91ec49f15ec" targetNamespace="http://schemas.microsoft.com/office/2006/metadata/properties" ma:root="true" ma:fieldsID="eda96f669a4dc346093512d88a350045" ns2:_="" ns3:_="">
    <xsd:import namespace="d1930c5e-6cbf-4694-b781-f590bfa80909"/>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element ref="ns2:Localdoarquivo" minOccurs="0"/>
                <xsd:element ref="ns2:7d996812-ecf9-4cec-9316-56084cbcc9f0CountryOrRegion" minOccurs="0"/>
                <xsd:element ref="ns2:7d996812-ecf9-4cec-9316-56084cbcc9f0State" minOccurs="0"/>
                <xsd:element ref="ns2:7d996812-ecf9-4cec-9316-56084cbcc9f0City" minOccurs="0"/>
                <xsd:element ref="ns2:7d996812-ecf9-4cec-9316-56084cbcc9f0PostalCode" minOccurs="0"/>
                <xsd:element ref="ns2:7d996812-ecf9-4cec-9316-56084cbcc9f0Street" minOccurs="0"/>
                <xsd:element ref="ns2:7d996812-ecf9-4cec-9316-56084cbcc9f0GeoLoc" minOccurs="0"/>
                <xsd:element ref="ns2:7d996812-ecf9-4cec-9316-56084cbcc9f0DispNam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930c5e-6cbf-4694-b781-f590bfa809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Marcações de imagem" ma:readOnly="false" ma:fieldId="{5cf76f15-5ced-4ddc-b409-7134ff3c332f}" ma:taxonomyMulti="true" ma:sspId="5bce3db6-09f7-4b5f-8075-a664636c489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Location" ma:index="24" nillable="true" ma:displayName="Location" ma:descrip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Localdoarquivo" ma:index="26" nillable="true" ma:displayName="Local do arquivo" ma:format="Dropdown" ma:internalName="Localdoarquivo">
      <xsd:simpleType>
        <xsd:restriction base="dms:Unknown"/>
      </xsd:simpleType>
    </xsd:element>
    <xsd:element name="7d996812-ecf9-4cec-9316-56084cbcc9f0CountryOrRegion" ma:index="27" nillable="true" ma:displayName="Local do arquivo: País/Região" ma:internalName="CountryOrRegion" ma:readOnly="true">
      <xsd:simpleType>
        <xsd:restriction base="dms:Text"/>
      </xsd:simpleType>
    </xsd:element>
    <xsd:element name="7d996812-ecf9-4cec-9316-56084cbcc9f0State" ma:index="28" nillable="true" ma:displayName="Local do arquivo: Estado" ma:internalName="State" ma:readOnly="true">
      <xsd:simpleType>
        <xsd:restriction base="dms:Text"/>
      </xsd:simpleType>
    </xsd:element>
    <xsd:element name="7d996812-ecf9-4cec-9316-56084cbcc9f0City" ma:index="29" nillable="true" ma:displayName="Local do arquivo: Cidade" ma:internalName="City" ma:readOnly="true">
      <xsd:simpleType>
        <xsd:restriction base="dms:Text"/>
      </xsd:simpleType>
    </xsd:element>
    <xsd:element name="7d996812-ecf9-4cec-9316-56084cbcc9f0PostalCode" ma:index="30" nillable="true" ma:displayName="Local do arquivo: CEP" ma:internalName="PostalCode" ma:readOnly="true">
      <xsd:simpleType>
        <xsd:restriction base="dms:Text"/>
      </xsd:simpleType>
    </xsd:element>
    <xsd:element name="7d996812-ecf9-4cec-9316-56084cbcc9f0Street" ma:index="31" nillable="true" ma:displayName="Local do arquivo: Rua" ma:internalName="Street" ma:readOnly="true">
      <xsd:simpleType>
        <xsd:restriction base="dms:Text"/>
      </xsd:simpleType>
    </xsd:element>
    <xsd:element name="7d996812-ecf9-4cec-9316-56084cbcc9f0GeoLoc" ma:index="32" nillable="true" ma:displayName="Local do arquivo: Coordenadas" ma:internalName="GeoLoc" ma:readOnly="true">
      <xsd:simpleType>
        <xsd:restriction base="dms:Unknown"/>
      </xsd:simpleType>
    </xsd:element>
    <xsd:element name="7d996812-ecf9-4cec-9316-56084cbcc9f0DispName" ma:index="33" nillable="true" ma:displayName="Local do arquivo: Nome" ma:internalName="DispName" ma:readOnly="true">
      <xsd:simpleType>
        <xsd:restriction base="dms:Text"/>
      </xsd:simpleType>
    </xsd:element>
    <xsd:element name="MediaServiceBillingMetadata" ma:index="3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2"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hes de Compartilhado Com" ma:internalName="SharedWithDetails" ma:readOnly="true">
      <xsd:simpleType>
        <xsd:restriction base="dms:Note">
          <xsd:maxLength value="255"/>
        </xsd:restriction>
      </xsd:simpleType>
    </xsd:element>
    <xsd:element name="TaxCatchAll" ma:index="22" nillable="true" ma:displayName="Taxonomy Catch All Column" ma:hidden="true" ma:list="{47ff1512-db4f-4851-9dd8-16988646e5fd}" ma:internalName="TaxCatchAll" ma:showField="CatchAllData" ma:web="2aabb5b7-11a6-4edb-b82f-e91ec49f15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2.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d1930c5e-6cbf-4694-b781-f590bfa80909"/>
    <ds:schemaRef ds:uri="2aabb5b7-11a6-4edb-b82f-e91ec49f15ec"/>
  </ds:schemaRefs>
</ds:datastoreItem>
</file>

<file path=customXml/itemProps3.xml><?xml version="1.0" encoding="utf-8"?>
<ds:datastoreItem xmlns:ds="http://schemas.openxmlformats.org/officeDocument/2006/customXml" ds:itemID="{02C1B89D-59C7-4079-B593-01F9D156F3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1930c5e-6cbf-4694-b781-f590bfa80909"/>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21</Pages>
  <Words>4374</Words>
  <Characters>23623</Characters>
  <Application>Microsoft Office Word</Application>
  <DocSecurity>0</DocSecurity>
  <Lines>196</Lines>
  <Paragraphs>55</Paragraphs>
  <ScaleCrop>false</ScaleCrop>
  <Company/>
  <LinksUpToDate>false</LinksUpToDate>
  <CharactersWithSpaces>27942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Marcos Dwayne Saraiva Costa - GDSXSR</cp:lastModifiedBy>
  <cp:revision>3</cp:revision>
  <dcterms:created xsi:type="dcterms:W3CDTF">2026-10-27T22:07:00Z</dcterms:created>
  <dcterms:modified xsi:type="dcterms:W3CDTF">2026-10-28T03:51:00Z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0x01010030EFFB71C01CC341AD4918EC9567C969</vt:lpwstr>
  </property>
  <property fmtid="{D5CDD505-2E9C-101B-9397-08002B2CF9AE}" pid="3" name="MediaServiceImageTags">
    <vt:lpwstr/>
  </property>
</Properties>
</file>