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rsidRPr="009F36E1" w:rsidR="00770E7F" w:rsidP="00B34ADF" w:rsidRDefault="79304B6F" w14:paraId="0E990AE5" w14:textId="77777777" w14:noSpellErr="1">
            <w:pPr>
              <w:rPr>
                <w:rFonts w:ascii="Arial" w:hAnsi="Arial" w:cs="Arial"/>
                <w:sz w:val="28"/>
                <w:szCs w:val="28"/>
              </w:rPr>
            </w:pPr>
            <w:r w:rsidRPr="773BBDE1" w:rsidR="79304B6F">
              <w:rPr>
                <w:rFonts w:ascii="Arial" w:hAnsi="Arial" w:cs="Arial"/>
                <w:sz w:val="28"/>
                <w:szCs w:val="28"/>
              </w:rPr>
              <w:t>Ór</w:t>
            </w:r>
            <w:r w:rsidRPr="773BBDE1" w:rsidR="79304B6F">
              <w:rPr>
                <w:rFonts w:ascii="Arial" w:hAnsi="Arial" w:cs="Arial"/>
                <w:sz w:val="28"/>
                <w:szCs w:val="28"/>
              </w:rPr>
              <w:t>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773BBDE1" w14:paraId="1234CB9C" w14:textId="77777777">
        <w:trPr>
          <w:cantSplit/>
          <w:trHeight w:val="397"/>
        </w:trPr>
        <w:tc>
          <w:tcPr>
            <w:tcW w:w="3686" w:type="dxa"/>
            <w:shd w:val="clear" w:color="auto" w:fill="auto"/>
            <w:tcMar/>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sdt>
            <w:sdt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Embargos de Declaração</w:t>
                </w:r>
              </w:p>
            </w:sdtContent>
            <w:sdtEndPr>
              <w:rPr>
                <w:rFonts w:cs="Arial"/>
                <w:i w:val="0"/>
                <w:iCs w:val="0"/>
                <w:sz w:val="28"/>
                <w:szCs w:val="28"/>
              </w:rPr>
            </w:sdtEndPr>
          </w:sdt>
        </w:tc>
      </w:tr>
      <w:tr w:rsidRPr="009F36E1" w:rsidR="00770E7F" w:rsidTr="773BBDE1" w14:paraId="32B00EA9" w14:textId="77777777">
        <w:trPr>
          <w:cantSplit/>
          <w:trHeight w:val="397"/>
        </w:trPr>
        <w:tc>
          <w:tcPr>
            <w:tcW w:w="3686" w:type="dxa"/>
            <w:shd w:val="clear" w:color="auto" w:fill="auto"/>
            <w:tcMar/>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7C53B768" w14:textId="5A7ECA41">
            <w:pPr>
              <w:ind w:right="-675"/>
              <w:rPr>
                <w:rFonts w:ascii="Arial" w:hAnsi="Arial" w:cs="Arial"/>
                <w:sz w:val="28"/>
                <w:szCs w:val="28"/>
              </w:rPr>
            </w:pPr>
            <w:r w:rsidRPr="001C16FB">
              <w:rPr>
                <w:rFonts w:ascii="Arial" w:hAnsi="Arial" w:cs="Arial"/>
                <w:sz w:val="28"/>
                <w:szCs w:val="28"/>
              </w:rPr>
              <w:t>0709120-90.2024.8.07.0009</w:t>
            </w:r>
          </w:p>
        </w:tc>
      </w:tr>
      <w:tr w:rsidRPr="009F36E1" w:rsidR="00770E7F" w:rsidTr="773BBDE1" w14:paraId="48ED7BFE" w14:textId="77777777">
        <w:trPr>
          <w:cantSplit/>
          <w:trHeight w:val="397"/>
        </w:trPr>
        <w:tc>
          <w:tcPr>
            <w:tcW w:w="3686" w:type="dxa"/>
            <w:shd w:val="clear" w:color="auto" w:fill="auto"/>
            <w:tcMar/>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Embargante (s)</w:t>
                </w:r>
              </w:sdtContent>
            </w:sdt>
            <w:r w:rsidRPr="00F63CDB" w:rsidR="00770E7F">
              <w:rPr>
                <w:rFonts w:ascii="Arial" w:hAnsi="Arial" w:cs="Arial"/>
                <w:sz w:val="28"/>
                <w:szCs w:val="28"/>
              </w:rPr>
              <w:t xml:space="preserve"/>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B66EC2" w:rsidR="00770E7F" w:rsidP="00B34ADF" w:rsidRDefault="001C16FB" w14:paraId="4A58BA3C" w14:textId="4331C501">
            <w:pPr>
              <w:rPr>
                <w:rFonts w:ascii="Arial" w:hAnsi="Arial" w:cs="Arial"/>
                <w:sz w:val="28"/>
                <w:szCs w:val="28"/>
              </w:rPr>
            </w:pPr>
            <w:r w:rsidRPr="06571051">
              <w:rPr>
                <w:rFonts w:ascii="Arial" w:hAnsi="Arial" w:cs="Arial"/>
                <w:sz w:val="28"/>
                <w:szCs w:val="28"/>
              </w:rPr>
              <w:t>VERALUCIA SILVA DE ANDRADE</w:t>
            </w:r>
            <w:r w:rsidRPr="06571051">
              <w:rPr>
                <w:rFonts w:ascii="Arial" w:hAnsi="Arial" w:cs="Arial"/>
                <w:sz w:val="28"/>
                <w:szCs w:val="28"/>
              </w:rPr>
              <w:t xml:space="preserve"/>
            </w:r>
            <w:r w:rsidRPr="06571051">
              <w:rPr>
                <w:rFonts w:ascii="Arial" w:hAnsi="Arial" w:cs="Arial"/>
                <w:sz w:val="28"/>
                <w:szCs w:val="28"/>
              </w:rPr>
              <w:t/>
            </w:r>
          </w:p>
        </w:tc>
      </w:tr>
      <w:tr w:rsidRPr="009F36E1" w:rsidR="00770E7F" w:rsidTr="773BBDE1" w14:paraId="55763F2D" w14:textId="77777777">
        <w:trPr>
          <w:cantSplit/>
          <w:trHeight w:val="397"/>
        </w:trPr>
        <w:tc>
          <w:tcPr>
            <w:tcW w:w="3686" w:type="dxa"/>
            <w:shd w:val="clear" w:color="auto" w:fill="auto"/>
            <w:tcMar/>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Embargado (a)(s)</w:t>
                </w:r>
              </w:sdtContent>
            </w:sdt>
            <w:r w:rsidRPr="009F36E1" w:rsidR="00770E7F">
              <w:rPr>
                <w:rFonts w:ascii="Arial" w:hAnsi="Arial" w:cs="Arial"/>
                <w:sz w:val="28"/>
                <w:szCs w:val="28"/>
              </w:rPr>
              <w:t xml:space="preserve"/>
            </w:r>
            <w:r w:rsidR="009F36E1">
              <w:rPr>
                <w:rFonts w:ascii="Arial" w:hAnsi="Arial" w:cs="Arial"/>
                <w:sz w:val="28"/>
                <w:szCs w:val="28"/>
              </w:rPr>
              <w:t/>
            </w:r>
            <w:r w:rsidRPr="009F36E1" w:rsidR="00770E7F">
              <w:rPr>
                <w:rFonts w:ascii="Arial" w:hAnsi="Arial" w:cs="Arial"/>
                <w:sz w:val="28"/>
                <w:szCs w:val="28"/>
              </w:rPr>
              <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1AB96577" w14:textId="6F3149F0">
            <w:pPr>
              <w:ind w:right="-74"/>
              <w:rPr>
                <w:rFonts w:ascii="Arial" w:hAnsi="Arial" w:cs="Arial"/>
                <w:sz w:val="28"/>
                <w:szCs w:val="28"/>
              </w:rPr>
            </w:pPr>
            <w:r w:rsidRPr="001C16FB">
              <w:rPr>
                <w:rFonts w:ascii="Arial" w:hAnsi="Arial" w:cs="Arial"/>
                <w:sz w:val="28"/>
                <w:szCs w:val="28"/>
              </w:rPr>
              <w:t>MBR ENGENHARIA LTDA</w:t>
            </w:r>
            <w:r>
              <w:rPr>
                <w:rFonts w:ascii="Arial" w:hAnsi="Arial" w:cs="Arial"/>
                <w:sz w:val="28"/>
                <w:szCs w:val="28"/>
              </w:rPr>
              <w:t xml:space="preserve"/>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pPr>
        <w:spacing w:line="360" w:lineRule="auto"/>
      </w:pPr>
    </w:p>
    <w:p>
      <w:pPr>
        <w:spacing w:line="360" w:lineRule="auto"/>
      </w:pPr>
    </w:p>
    <w:p>
      <w:pPr>
        <w:spacing w:line="360" w:lineRule="auto" w:before="0" w:after="0"/>
        <w:jc w:val="left"/>
      </w:pPr>
      <w:r>
        <w:rPr>
          <w:rFonts w:ascii="Arial" w:hAnsi="Arial" w:cs="Arial"/>
          <w:b/>
          <w:i w:val="0"/>
          <w:sz w:val="28"/>
        </w:rPr>
        <w:t>EMENTA</w:t>
      </w:r>
    </w:p>
    <w:p>
      <w:pPr>
        <w:spacing w:line="360" w:lineRule="auto" w:before="0" w:after="0"/>
        <w:jc w:val="both"/>
      </w:pPr>
      <w:r>
        <w:rPr>
          <w:rFonts w:ascii="Arial" w:hAnsi="Arial" w:cs="Arial"/>
          <w:b w:val="0"/>
          <w:i w:val="0"/>
          <w:sz w:val="28"/>
        </w:rPr>
        <w:t>EMBARGOS DE DECLARAÇÃO. DIREITO PROCESSUAL CIVIL. ALEGADA OMISSÃO. INEXISTÊNCIA. REDISCUSSÃO DO MÉRITO. PREQUESTIONAMENTO. EMBARGOS NÃO PROVIDOS.</w:t>
      </w:r>
    </w:p>
    <w:p>
      <w:pPr>
        <w:spacing w:line="360" w:lineRule="auto" w:before="0" w:after="0"/>
        <w:jc w:val="both"/>
      </w:pPr>
      <w:r>
        <w:rPr>
          <w:rFonts w:ascii="Arial" w:hAnsi="Arial" w:cs="Arial"/>
          <w:b/>
          <w:i w:val="0"/>
          <w:sz w:val="28"/>
        </w:rPr>
        <w:t>I. Caso em exame</w:t>
      </w:r>
    </w:p>
    <w:p>
      <w:pPr>
        <w:spacing w:line="360" w:lineRule="auto" w:before="0" w:after="0"/>
        <w:jc w:val="both"/>
      </w:pPr>
      <w:commentRangeStart w:id="0"/>
      <w:r>
        <w:rPr>
          <w:rFonts w:ascii="Arial" w:hAnsi="Arial" w:cs="Arial"/>
          <w:b w:val="0"/>
          <w:i w:val="0"/>
          <w:sz w:val="28"/>
        </w:rPr>
        <w:t>1. Embargos de declaração opostos por adquirente de unidade habitacional, pessoa natural, contra acórdão que, em ação de cobrança proposta por MBR Engenharia Ltda., conheceu em parte do apelo e, na parte conhecida, rejeitou a preliminar de incompetência e negou-lhe provimento.</w:t>
      </w:r>
      <w:commentRangeEnd w:id="0"/>
      <w:r>
        <w:rPr>
          <w:rStyle w:val="CommentReference"/>
        </w:rPr>
        <w:commentReference w:id="0"/>
      </w:r>
    </w:p>
    <w:p>
      <w:pPr>
        <w:spacing w:line="360" w:lineRule="auto" w:before="0" w:after="0"/>
        <w:jc w:val="both"/>
      </w:pPr>
      <w:r>
        <w:rPr>
          <w:rFonts w:ascii="Arial" w:hAnsi="Arial" w:cs="Arial"/>
          <w:b w:val="0"/>
          <w:i w:val="0"/>
          <w:sz w:val="28"/>
        </w:rPr>
        <w:t>2. O acórdão embargado manteve a condenação ao pagamento da correção monetária pelo ICC/DF e dos encargos mensais, ao considerar válida a cobrança prevista no contrato de empreitada global e no termo aditivo, aos quais a adquirente aderiu na condição de associada.</w:t>
      </w:r>
    </w:p>
    <w:p>
      <w:pPr>
        <w:spacing w:line="360" w:lineRule="auto" w:before="0" w:after="0"/>
        <w:jc w:val="both"/>
      </w:pPr>
      <w:r>
        <w:rPr>
          <w:rFonts w:ascii="Arial" w:hAnsi="Arial" w:cs="Arial"/>
          <w:b w:val="0"/>
          <w:i w:val="0"/>
          <w:sz w:val="28"/>
        </w:rPr>
        <w:t>3. A embargante sustenta omissão quanto à qualificação da relação como de consumo e à incidência do CDC (CDC 2, 3, 29, 39 V e 42 parágrafo único) e quanto ao dever de uniformização da jurisprudência (CPC 926), e requer efeitos infringentes, a instauração de ofício de incidente de resolução de demandas repetitivas e o prequestionamento.</w:t>
      </w:r>
    </w:p>
    <w:p>
      <w:pPr>
        <w:spacing w:line="360" w:lineRule="auto" w:before="0" w:after="0"/>
        <w:jc w:val="both"/>
      </w:pPr>
      <w:r>
        <w:rPr>
          <w:rFonts w:ascii="Arial" w:hAnsi="Arial" w:cs="Arial"/>
          <w:b/>
          <w:i w:val="0"/>
          <w:sz w:val="28"/>
        </w:rPr>
        <w:t>II. Questão em discussão</w:t>
      </w:r>
    </w:p>
    <w:p>
      <w:pPr>
        <w:spacing w:line="360" w:lineRule="auto" w:before="0" w:after="0"/>
        <w:jc w:val="both"/>
      </w:pPr>
      <w:r>
        <w:rPr>
          <w:rFonts w:ascii="Arial" w:hAnsi="Arial" w:cs="Arial"/>
          <w:b w:val="0"/>
          <w:i w:val="0"/>
          <w:sz w:val="28"/>
        </w:rPr>
        <w:t>4. Há quatro questões em discussão: (i) saber se o acórdão incorreu em omissão quanto à qualificação da relação como de consumo e à incidência do CDC; (ii) saber se há omissão quanto à jurisprudência divergente do TJDFT e ao dever de uniformização; (iii) saber se os embargos de declaração comportam o pedido de instauração de incidente de resolução de demandas repetitivas; e (iv) saber se é necessária manifestação expressa sobre dispositivos, para fins de prequestionamento.</w:t>
      </w:r>
    </w:p>
    <w:p>
      <w:pPr>
        <w:spacing w:line="360" w:lineRule="auto" w:before="0" w:after="0"/>
        <w:jc w:val="both"/>
      </w:pPr>
      <w:r>
        <w:rPr>
          <w:rFonts w:ascii="Arial" w:hAnsi="Arial" w:cs="Arial"/>
          <w:b/>
          <w:i w:val="0"/>
          <w:sz w:val="28"/>
        </w:rPr>
        <w:t>III. Razões de decidir</w:t>
      </w:r>
    </w:p>
    <w:p>
      <w:pPr>
        <w:spacing w:line="360" w:lineRule="auto" w:before="0" w:after="0"/>
        <w:jc w:val="both"/>
      </w:pPr>
      <w:r>
        <w:rPr>
          <w:rFonts w:ascii="Arial" w:hAnsi="Arial" w:cs="Arial"/>
          <w:b w:val="0"/>
          <w:i w:val="0"/>
          <w:sz w:val="28"/>
        </w:rPr>
        <w:t>5. Inexiste omissão quando o acórdão enfrenta, de modo suficiente e fundamentado, as questões relevantes para o julgamento.</w:t>
      </w:r>
    </w:p>
    <w:p>
      <w:pPr>
        <w:spacing w:line="360" w:lineRule="auto" w:before="0" w:after="0"/>
        <w:jc w:val="both"/>
      </w:pPr>
      <w:r>
        <w:rPr>
          <w:rFonts w:ascii="Arial" w:hAnsi="Arial" w:cs="Arial"/>
          <w:b w:val="0"/>
          <w:i w:val="0"/>
          <w:sz w:val="28"/>
        </w:rPr>
        <w:t>6. A sentença, adotada como razão de decidir no acórdão embargado, aplicou o CDC à relação entre as partes (CDC 2 e 3).</w:t>
      </w:r>
    </w:p>
    <w:p>
      <w:pPr>
        <w:spacing w:line="360" w:lineRule="auto" w:before="0" w:after="0"/>
        <w:jc w:val="both"/>
      </w:pPr>
      <w:r>
        <w:rPr>
          <w:rFonts w:ascii="Arial" w:hAnsi="Arial" w:cs="Arial"/>
          <w:b w:val="0"/>
          <w:i w:val="0"/>
          <w:sz w:val="28"/>
        </w:rPr>
        <w:t>7. O acórdão embargado afastou, com base no contrato de empreitada global e no termo aditivo, a nulidade do aditivo, a violação ao dever de informação, a abusividade da cobrança e o desequilíbrio contratual, de modo que a embargante apenas busca a rediscussão do mérito.</w:t>
      </w:r>
    </w:p>
    <w:p>
      <w:pPr>
        <w:spacing w:line="360" w:lineRule="auto" w:before="0" w:after="0"/>
        <w:jc w:val="both"/>
      </w:pPr>
      <w:r>
        <w:rPr>
          <w:rFonts w:ascii="Arial" w:hAnsi="Arial" w:cs="Arial"/>
          <w:b w:val="0"/>
          <w:i w:val="0"/>
          <w:sz w:val="28"/>
        </w:rPr>
        <w:t>8. O acórdão não é omisso quanto a dispositivos e precedentes que a parte não invocou no apelo (CPC 489 § 1º IV e VI).</w:t>
      </w:r>
    </w:p>
    <w:p>
      <w:pPr>
        <w:spacing w:line="360" w:lineRule="auto" w:before="0" w:after="0"/>
        <w:jc w:val="both"/>
      </w:pPr>
      <w:r>
        <w:rPr>
          <w:rFonts w:ascii="Arial" w:hAnsi="Arial" w:cs="Arial"/>
          <w:b w:val="0"/>
          <w:i w:val="0"/>
          <w:sz w:val="28"/>
        </w:rPr>
        <w:t>9. O dever de uniformização da jurisprudência (CPC 926) não é hipótese de cabimento dos embargos de declaração, e os julgados indicados pela embargante tratam de rubricas já incluídas no financiamento, e não da correção pelo ICC/DF prevista no contrato de empreitada global e no termo aditivo.</w:t>
      </w:r>
    </w:p>
    <w:p>
      <w:pPr>
        <w:spacing w:line="360" w:lineRule="auto" w:before="0" w:after="0"/>
        <w:jc w:val="both"/>
      </w:pPr>
      <w:r>
        <w:rPr>
          <w:rFonts w:ascii="Arial" w:hAnsi="Arial" w:cs="Arial"/>
          <w:b w:val="0"/>
          <w:i w:val="0"/>
          <w:sz w:val="28"/>
        </w:rPr>
        <w:t>10. O pedido de instauração de incidente de resolução de demandas repetitivas é dirigido ao presidente do tribunal (CPC 977) e não se processa em embargos de declaração.</w:t>
      </w:r>
    </w:p>
    <w:p>
      <w:pPr>
        <w:spacing w:line="360" w:lineRule="auto" w:before="0" w:after="0"/>
        <w:jc w:val="both"/>
      </w:pPr>
      <w:r>
        <w:rPr>
          <w:rFonts w:ascii="Arial" w:hAnsi="Arial" w:cs="Arial"/>
          <w:b w:val="0"/>
          <w:i w:val="0"/>
          <w:sz w:val="28"/>
        </w:rPr>
        <w:t>11. O pedido de prequestionamento não comporta acolhimento específico, pois a simples suscitação da matéria em embargos de declaração é suficiente para o prequestionamento ficto (CPC 1025).</w:t>
      </w:r>
    </w:p>
    <w:p>
      <w:pPr>
        <w:spacing w:line="360" w:lineRule="auto" w:before="0" w:after="0"/>
        <w:jc w:val="both"/>
      </w:pPr>
      <w:r>
        <w:rPr>
          <w:rFonts w:ascii="Arial" w:hAnsi="Arial" w:cs="Arial"/>
          <w:b/>
          <w:i w:val="0"/>
          <w:sz w:val="28"/>
        </w:rPr>
        <w:t>IV. Dispositivo</w:t>
      </w:r>
    </w:p>
    <w:p>
      <w:pPr>
        <w:spacing w:line="360" w:lineRule="auto" w:before="0" w:after="0"/>
        <w:jc w:val="both"/>
      </w:pPr>
      <w:r>
        <w:rPr>
          <w:rFonts w:ascii="Arial" w:hAnsi="Arial" w:cs="Arial"/>
          <w:b w:val="0"/>
          <w:i w:val="0"/>
          <w:sz w:val="28"/>
        </w:rPr>
        <w:t>12. Negou-se provimento aos embargos de declaração da apelante.</w:t>
      </w:r>
    </w:p>
    <w:p>
      <w:pPr>
        <w:spacing w:line="360" w:lineRule="auto" w:before="0" w:after="0"/>
        <w:jc w:val="both"/>
      </w:pPr>
      <w:r>
        <w:rPr>
          <w:rFonts w:ascii="Arial" w:hAnsi="Arial" w:cs="Arial"/>
          <w:b w:val="0"/>
          <w:i w:val="0"/>
          <w:sz w:val="26"/>
        </w:rPr>
        <w:t>________</w:t>
      </w:r>
    </w:p>
    <w:p>
      <w:pPr>
        <w:spacing w:line="360" w:lineRule="auto" w:before="0" w:after="0"/>
        <w:jc w:val="both"/>
      </w:pPr>
      <w:r>
        <w:rPr>
          <w:rFonts w:ascii="Arial" w:hAnsi="Arial" w:cs="Arial"/>
          <w:b w:val="0"/>
          <w:i/>
          <w:sz w:val="26"/>
        </w:rPr>
        <w:t>Dispositivos relevantes citados:</w:t>
      </w:r>
      <w:r>
        <w:rPr>
          <w:rFonts w:ascii="Arial" w:hAnsi="Arial" w:cs="Arial"/>
          <w:b w:val="0"/>
          <w:i w:val="0"/>
          <w:sz w:val="26"/>
        </w:rPr>
        <w:t xml:space="preserve"> CPC, arts. 489, § 1º, IV e VI, 926, 976, 977, 1.022 e 1.025; CDC, arts. 2º, 3º, 29, 39, V, e 42, parágrafo único.</w:t>
      </w:r>
    </w:p>
    <w:p>
      <w:pPr>
        <w:spacing w:line="360" w:lineRule="auto" w:before="0" w:after="0"/>
        <w:jc w:val="both"/>
      </w:pPr>
      <w:commentRangeStart w:id="1"/>
      <w:r>
        <w:rPr>
          <w:rFonts w:ascii="Arial" w:hAnsi="Arial" w:cs="Arial"/>
          <w:b w:val="0"/>
          <w:i/>
          <w:sz w:val="26"/>
        </w:rPr>
        <w:t>Jurisprudência relevante citada:</w:t>
      </w:r>
      <w:r>
        <w:rPr>
          <w:rFonts w:ascii="Arial" w:hAnsi="Arial" w:cs="Arial"/>
          <w:b w:val="0"/>
          <w:i w:val="0"/>
          <w:sz w:val="26"/>
        </w:rPr>
        <w:t xml:space="preserve"> TJDFT, Acórdão 1975058, Processo nº 0702533-52.2024.8.07.0009, Rel. Des. Carlos Alberto Martins Filho, 1ª Turma Cível, j. 26/02/2025, DJe 19/03/2025; TJDFT, Acórdão 2090096, Processo nº 0702564-72.2024.8.07.0009, Rel. Des. Robson Barbosa de Azevedo, 7ª Turma Cível, j. 11/02/2026, DJe 03/03/2026.</w:t>
      </w:r>
      <w:commentRangeEnd w:id="1"/>
      <w:r>
        <w:rPr>
          <w:rStyle w:val="CommentReference"/>
        </w:rPr>
        <w:commentReference w:id="1"/>
      </w:r>
    </w:p>
    <w:p>
      <w:pPr>
        <w:spacing w:line="360" w:lineRule="auto" w:before="0" w:after="0"/>
        <w:ind w:firstLine="2268"/>
      </w:pPr>
      <w:r>
        <w:rPr>
          <w:sz w:val="28"/>
        </w:rPr>
      </w:r>
    </w:p>
    <w:p>
      <w:pPr>
        <w:spacing w:line="360" w:lineRule="auto" w:before="0" w:after="0"/>
        <w:ind w:firstLine="2268"/>
      </w:pPr>
      <w:r>
        <w:rPr>
          <w:sz w:val="28"/>
        </w:rPr>
      </w:r>
    </w:p>
    <w:p>
      <w:pPr>
        <w:spacing w:line="360" w:lineRule="auto" w:before="0" w:after="0"/>
        <w:jc w:val="both"/>
      </w:pPr>
      <w:r>
        <w:rPr>
          <w:rFonts w:ascii="Arial" w:hAnsi="Arial" w:cs="Arial"/>
          <w:b/>
          <w:i w:val="0"/>
          <w:color w:val="EE0000"/>
          <w:sz w:val="28"/>
          <w:highlight w:val="yellow"/>
        </w:rPr>
        <w:t>RESUMO DOS EMBARGOS EM SENTIDO CONTRÁRIO AO VOTO</w:t>
      </w:r>
    </w:p>
    <w:p>
      <w:pPr>
        <w:spacing w:line="360" w:lineRule="auto" w:before="0" w:after="0"/>
        <w:jc w:val="both"/>
      </w:pPr>
      <w:r>
        <w:rPr>
          <w:rFonts w:ascii="Arial" w:hAnsi="Arial" w:cs="Arial"/>
          <w:b/>
          <w:i w:val="0"/>
          <w:color w:val="EE0000"/>
          <w:sz w:val="28"/>
        </w:rPr>
        <w:t>I. RAZÕES RECURSAIS</w:t>
      </w:r>
    </w:p>
    <w:p>
      <w:pPr>
        <w:spacing w:line="360" w:lineRule="auto" w:before="0" w:after="0"/>
        <w:jc w:val="both"/>
      </w:pPr>
      <w:r>
        <w:rPr>
          <w:rFonts w:ascii="Arial" w:hAnsi="Arial" w:cs="Arial"/>
          <w:b/>
          <w:i w:val="0"/>
          <w:color w:val="EE0000"/>
          <w:sz w:val="28"/>
        </w:rPr>
        <w:t>Omissão quanto à incidência do Código de Defesa do Consumidor</w:t>
      </w:r>
    </w:p>
    <w:p>
      <w:pPr>
        <w:spacing w:line="360" w:lineRule="auto" w:before="0" w:after="0"/>
        <w:ind w:hanging="357" w:left="720"/>
        <w:jc w:val="both"/>
      </w:pPr>
      <w:r>
        <w:rPr>
          <w:rFonts w:ascii="Arial" w:hAnsi="Arial" w:cs="Arial"/>
          <w:b w:val="0"/>
          <w:i w:val="0"/>
          <w:color w:val="EE0000"/>
          <w:sz w:val="28"/>
        </w:rPr>
        <w:t>1. A embargante sustenta que o acórdão silenciou sobre a qualificação da relação como de consumo, direta, nos termos do CDC 2 e 3, ou por equiparação, nos termos do CDC 29, e sobre a exigência de vantagem manifestamente excessiva, prevista no CDC 39 V, e a repetição em dobro, prevista no CDC 42 parágrafo único, pois o termo aditivo foi firmado apenas entre a associação e a construtora, sem a anuência da adquirente; afirma que a inovação recursal reconhecida no acórdão se restringiu à tese fundada na Lei 4.591/1964 e que a incidência do CDC integrou as razões do apelo.</w:t>
      </w:r>
    </w:p>
    <w:p>
      <w:pPr>
        <w:spacing w:line="360" w:lineRule="auto" w:before="0" w:after="0"/>
        <w:jc w:val="both"/>
      </w:pPr>
      <w:r>
        <w:rPr>
          <w:rFonts w:ascii="Arial" w:hAnsi="Arial" w:cs="Arial"/>
          <w:b/>
          <w:i w:val="0"/>
          <w:color w:val="EE0000"/>
          <w:sz w:val="28"/>
        </w:rPr>
        <w:t>Omissão quanto à jurisprudência divergente e ao dever de uniformização</w:t>
      </w:r>
    </w:p>
    <w:p>
      <w:pPr>
        <w:spacing w:line="360" w:lineRule="auto" w:before="0" w:after="0"/>
        <w:ind w:hanging="357" w:left="720"/>
        <w:jc w:val="both"/>
      </w:pPr>
      <w:r>
        <w:rPr>
          <w:rFonts w:ascii="Arial" w:hAnsi="Arial" w:cs="Arial"/>
          <w:b w:val="0"/>
          <w:i w:val="0"/>
          <w:color w:val="EE0000"/>
          <w:sz w:val="28"/>
        </w:rPr>
        <w:t>2. Alega que três Turmas do TJDFT reconheceram a natureza consumerista da relação e a abusividade da cobrança suplementar pela mesma construtora, em ações sobre o mesmo empreendimento, ao passo que o acórdão embargado e outros julgados validaram a cobrança sem observar o CDC, em ofensa ao dever de uniformização, estabilidade, integridade e coerência da jurisprudência (CPC 926 e 489 § 1º VI).</w:t>
      </w:r>
    </w:p>
    <w:p>
      <w:pPr>
        <w:spacing w:line="360" w:lineRule="auto" w:before="0" w:after="0"/>
        <w:jc w:val="both"/>
      </w:pPr>
      <w:r>
        <w:rPr>
          <w:rFonts w:ascii="Arial" w:hAnsi="Arial" w:cs="Arial"/>
          <w:b/>
          <w:i w:val="0"/>
          <w:color w:val="EE0000"/>
          <w:sz w:val="28"/>
        </w:rPr>
        <w:t>Instauração de incidente de resolução de demandas repetitivas</w:t>
      </w:r>
    </w:p>
    <w:p>
      <w:pPr>
        <w:spacing w:line="360" w:lineRule="auto" w:before="0" w:after="0"/>
        <w:ind w:hanging="357" w:left="720"/>
        <w:jc w:val="both"/>
      </w:pPr>
      <w:r>
        <w:rPr>
          <w:rFonts w:ascii="Arial" w:hAnsi="Arial" w:cs="Arial"/>
          <w:b w:val="0"/>
          <w:i w:val="0"/>
          <w:color w:val="EE0000"/>
          <w:sz w:val="28"/>
        </w:rPr>
        <w:t>3. Requer que o relator ou o órgão colegiado delibere sobre a instauração de ofício do incidente (CPC 976 e 977 I), com a suspensão dos processos pendentes, sem prejuízo de pedido autônomo ao presidente do tribunal (CPC 977 II).</w:t>
      </w:r>
    </w:p>
    <w:p>
      <w:pPr>
        <w:spacing w:line="360" w:lineRule="auto" w:before="0" w:after="0"/>
        <w:jc w:val="both"/>
      </w:pPr>
      <w:r>
        <w:rPr>
          <w:rFonts w:ascii="Arial" w:hAnsi="Arial" w:cs="Arial"/>
          <w:b/>
          <w:i w:val="0"/>
          <w:color w:val="EE0000"/>
          <w:sz w:val="28"/>
        </w:rPr>
        <w:t>Prequestionamento</w:t>
      </w:r>
    </w:p>
    <w:p>
      <w:pPr>
        <w:spacing w:line="360" w:lineRule="auto" w:before="0" w:after="0"/>
        <w:ind w:hanging="357" w:left="720"/>
        <w:jc w:val="both"/>
      </w:pPr>
      <w:r>
        <w:rPr>
          <w:rFonts w:ascii="Arial" w:hAnsi="Arial" w:cs="Arial"/>
          <w:b w:val="0"/>
          <w:i w:val="0"/>
          <w:color w:val="EE0000"/>
          <w:sz w:val="28"/>
        </w:rPr>
        <w:t>4. Requer, subsidiariamente, manifestação expressa sobre os dispositivos do CDC, do Código Civil (art. 53, parágrafo único) e do CPC indicados nos embargos (CPC 1.025).</w:t>
      </w:r>
    </w:p>
    <w:p>
      <w:pPr>
        <w:spacing w:line="360" w:lineRule="auto" w:before="0" w:after="0"/>
        <w:jc w:val="both"/>
      </w:pPr>
      <w:r>
        <w:rPr>
          <w:rFonts w:ascii="Arial" w:hAnsi="Arial" w:cs="Arial"/>
          <w:b/>
          <w:i w:val="0"/>
          <w:color w:val="EE0000"/>
          <w:sz w:val="28"/>
        </w:rPr>
        <w:t>II. PEDIDO</w:t>
      </w:r>
    </w:p>
    <w:p>
      <w:pPr>
        <w:spacing w:line="360" w:lineRule="auto" w:before="0" w:after="0"/>
        <w:ind w:hanging="357" w:left="720"/>
        <w:jc w:val="both"/>
      </w:pPr>
      <w:r>
        <w:rPr>
          <w:rFonts w:ascii="Arial" w:hAnsi="Arial" w:cs="Arial"/>
          <w:b w:val="0"/>
          <w:i w:val="0"/>
          <w:color w:val="EE0000"/>
          <w:sz w:val="28"/>
        </w:rPr>
        <w:t>Requer o acolhimento dos embargos de declaração, com efeitos infringentes, para reconhecer a abusividade da cobrança, julgar improcedente a pretensão da embargada e inverter os ônus sucumbenciais; a deliberação sobre a instauração do incidente; subsidiariamente, a manifestação expressa para fins de prequestionamento; e a habilitação do novo advogado, com as publicações em seu nome exclusivo.</w:t>
      </w:r>
    </w:p>
    <w:p>
      <w:pPr>
        <w:spacing w:line="360" w:lineRule="auto" w:before="0" w:after="0"/>
        <w:jc w:val="center"/>
      </w:pPr>
      <w:r>
        <w:rPr>
          <w:rFonts w:ascii="Arial" w:hAnsi="Arial" w:cs="Arial"/>
          <w:b/>
          <w:i w:val="0"/>
          <w:sz w:val="28"/>
        </w:rPr>
        <w:t>RELATÓRIO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apelante, Veralucia Silva de Andrade, opõe embargos de declaração contra o v. acórdão que conheceu em parte do apelo e, na parte conhecida, rejeitou a preliminar de incompetência e negou-lhe provimento, e ostenta a seguinte ementa:</w:t>
      </w:r>
    </w:p>
    <w:p>
      <w:pPr>
        <w:spacing w:line="360" w:lineRule="auto" w:before="0" w:after="0"/>
        <w:ind w:firstLine="2268"/>
      </w:pPr>
      <w:r>
        <w:rPr>
          <w:sz w:val="28"/>
        </w:rPr>
      </w:r>
    </w:p>
    <w:p>
      <w:pPr>
        <w:spacing w:line="360" w:lineRule="auto" w:before="0" w:after="0"/>
        <w:ind w:left="2268"/>
        <w:jc w:val="both"/>
      </w:pPr>
      <w:r>
        <w:rPr>
          <w:rFonts w:ascii="Arial" w:hAnsi="Arial" w:cs="Arial"/>
          <w:b w:val="0"/>
          <w:i/>
          <w:sz w:val="26"/>
        </w:rPr>
        <w:t>“APELAÇÃO CÍVEL. DIREITO CIVIL E PROCESSUAL CIVIL. AÇÃO DE COBRANÇA. EMPREENDIMENTO HABITACIONAL. ASSOCIAÇÃO HABITACIONAL. CONTRATO DE EMPREITADA GLOBAL. CORREÇÃO MONETÁRIA PELO ICC/DF. CLÁUSULA COMPROMISSÓRIA DE ARBITRAGEM EM CONTRATO DE ADESÃO. INOVAÇÃO RECURSAL. RECURSO PARCIALMENTE CONHECIDO E NÃO PROVIDO.</w:t>
      </w:r>
    </w:p>
    <w:p>
      <w:pPr>
        <w:spacing w:line="360" w:lineRule="auto" w:before="0" w:after="0"/>
        <w:ind w:left="2268"/>
        <w:jc w:val="both"/>
      </w:pPr>
      <w:r>
        <w:rPr>
          <w:rFonts w:ascii="Arial" w:hAnsi="Arial" w:cs="Arial"/>
          <w:b w:val="0"/>
          <w:i/>
          <w:sz w:val="26"/>
        </w:rPr>
        <w:t>I. Caso em exame</w:t>
      </w:r>
    </w:p>
    <w:p>
      <w:pPr>
        <w:spacing w:line="360" w:lineRule="auto" w:before="0" w:after="0"/>
        <w:ind w:left="2268"/>
        <w:jc w:val="both"/>
      </w:pPr>
      <w:r>
        <w:rPr>
          <w:rFonts w:ascii="Arial" w:hAnsi="Arial" w:cs="Arial"/>
          <w:b w:val="0"/>
          <w:i/>
          <w:sz w:val="26"/>
        </w:rPr>
        <w:t>1. Ação de cobrança ajuizada por MBR Engenharia Ltda. contra Veralucia Silva de Andrade, visando ao pagamento de valores inadimplidos referentes à correção monetária pelo ICC/DF e encargos mensais suportados junto à Caixa Econômica Federal em empreendimento habitacional vinculado a associação.</w:t>
      </w:r>
    </w:p>
    <w:p>
      <w:pPr>
        <w:spacing w:line="360" w:lineRule="auto" w:before="0" w:after="0"/>
        <w:ind w:left="2268"/>
        <w:jc w:val="both"/>
      </w:pPr>
      <w:r>
        <w:rPr>
          <w:rFonts w:ascii="Arial" w:hAnsi="Arial" w:cs="Arial"/>
          <w:b w:val="0"/>
          <w:i/>
          <w:sz w:val="26"/>
        </w:rPr>
        <w:t>2. Sentença que julgou parcialmente procedente o pedido para condenar a ré ao pagamento de R$ 30.760,87, a título de correção monetária pelo ICC/DF, e de R$ 1.336,78 relativos aos encargos mensais, acrescidos de multa e juros, além de custas e honorários fixados em 10% do valor da causa, com exigibilidade suspensa pela gratuidade de justiça.</w:t>
      </w:r>
    </w:p>
    <w:p>
      <w:pPr>
        <w:spacing w:line="360" w:lineRule="auto" w:before="0" w:after="0"/>
        <w:ind w:left="2268"/>
        <w:jc w:val="both"/>
      </w:pPr>
      <w:r>
        <w:rPr>
          <w:rFonts w:ascii="Arial" w:hAnsi="Arial" w:cs="Arial"/>
          <w:b w:val="0"/>
          <w:i/>
          <w:sz w:val="26"/>
        </w:rPr>
        <w:t>3. A ré apelou sustentando incompetência do juízo em razão de cláusula compromissória de arbitragem, abusividade da cobrança do ICC/DF, nulidade do termo aditivo firmado pela associação e inaplicabilidade das obrigações ao adquirente em empreendimento de interesse social.</w:t>
      </w:r>
    </w:p>
    <w:p>
      <w:pPr>
        <w:spacing w:line="360" w:lineRule="auto" w:before="0" w:after="0"/>
        <w:ind w:left="2268"/>
        <w:jc w:val="both"/>
      </w:pPr>
      <w:r>
        <w:rPr>
          <w:rFonts w:ascii="Arial" w:hAnsi="Arial" w:cs="Arial"/>
          <w:b w:val="0"/>
          <w:i/>
          <w:sz w:val="26"/>
        </w:rPr>
        <w:t>II. Questão em discussão</w:t>
      </w:r>
    </w:p>
    <w:p>
      <w:pPr>
        <w:spacing w:line="360" w:lineRule="auto" w:before="0" w:after="0"/>
        <w:ind w:left="2268"/>
        <w:jc w:val="both"/>
      </w:pPr>
      <w:r>
        <w:rPr>
          <w:rFonts w:ascii="Arial" w:hAnsi="Arial" w:cs="Arial"/>
          <w:b w:val="0"/>
          <w:i/>
          <w:sz w:val="26"/>
        </w:rPr>
        <w:t>4. Há três questões em discussão: (i) saber se houve inovação recursal quanto à tese fundada na Lei nº 4.591/1964; (ii) saber se a cláusula compromissória de arbitragem afasta a competência do Poder Judiciário; e (iii) saber se é válida a cobrança de correção monetária pelo ICC/DF e de encargos mensais ao adquirente associado.</w:t>
      </w:r>
    </w:p>
    <w:p>
      <w:pPr>
        <w:spacing w:line="360" w:lineRule="auto" w:before="0" w:after="0"/>
        <w:ind w:left="2268"/>
        <w:jc w:val="both"/>
      </w:pPr>
      <w:r>
        <w:rPr>
          <w:rFonts w:ascii="Arial" w:hAnsi="Arial" w:cs="Arial"/>
          <w:b w:val="0"/>
          <w:i/>
          <w:sz w:val="26"/>
        </w:rPr>
        <w:t>III. Razões de decidir</w:t>
      </w:r>
    </w:p>
    <w:p>
      <w:pPr>
        <w:spacing w:line="360" w:lineRule="auto" w:before="0" w:after="0"/>
        <w:ind w:left="2268"/>
        <w:jc w:val="both"/>
      </w:pPr>
      <w:r>
        <w:rPr>
          <w:rFonts w:ascii="Arial" w:hAnsi="Arial" w:cs="Arial"/>
          <w:b w:val="0"/>
          <w:i/>
          <w:sz w:val="26"/>
        </w:rPr>
        <w:t>5. Configura inovação recursal a invocação, apenas em sede de apelação, de tese autônoma de violação ao regime da incorporação imobiliária, com fundamento específico na Lei nº 4.591/1964, por não submetida ao juízo de origem, o que impede sua análise em grau recursal.</w:t>
      </w:r>
    </w:p>
    <w:p>
      <w:pPr>
        <w:spacing w:line="360" w:lineRule="auto" w:before="0" w:after="0"/>
        <w:ind w:left="2268"/>
        <w:jc w:val="both"/>
      </w:pPr>
      <w:r>
        <w:rPr>
          <w:rFonts w:ascii="Arial" w:hAnsi="Arial" w:cs="Arial"/>
          <w:b w:val="0"/>
          <w:i/>
          <w:sz w:val="26"/>
        </w:rPr>
        <w:t>6. Em contrato de adesão, a cláusula compromissória de arbitragem exige anuência expressa e destacada do aderente, com assinatura específica, nos termos do art. 4º, § 2º, da Lei nº 9.307/1996, requisito não atendido no caso concreto, o que mantém a competência da Justiça comum.</w:t>
      </w:r>
    </w:p>
    <w:p>
      <w:pPr>
        <w:spacing w:line="360" w:lineRule="auto" w:before="0" w:after="0"/>
        <w:ind w:left="2268"/>
        <w:jc w:val="both"/>
      </w:pPr>
      <w:r>
        <w:rPr>
          <w:rFonts w:ascii="Arial" w:hAnsi="Arial" w:cs="Arial"/>
          <w:b w:val="0"/>
          <w:i/>
          <w:sz w:val="26"/>
        </w:rPr>
        <w:t>7. A cobrança de correção monetária pelo ICC/DF revela-se válida quando expressamente prevista no arranjo contratual do empreendimento, inclusive no contrato de empreitada global e em seu termo aditivo, aos quais o adquirente aderiu na condição de associado, inexistindo abusividade, nulidade do aditivo ou violação ao dever de informação.</w:t>
      </w:r>
    </w:p>
    <w:p>
      <w:pPr>
        <w:spacing w:line="360" w:lineRule="auto" w:before="0" w:after="0"/>
        <w:ind w:left="2268"/>
        <w:jc w:val="both"/>
      </w:pPr>
      <w:r>
        <w:rPr>
          <w:rFonts w:ascii="Arial" w:hAnsi="Arial" w:cs="Arial"/>
          <w:b w:val="0"/>
          <w:i/>
          <w:sz w:val="26"/>
        </w:rPr>
        <w:t>IV. Dispositivo</w:t>
      </w:r>
    </w:p>
    <w:p>
      <w:pPr>
        <w:spacing w:line="360" w:lineRule="auto" w:before="0" w:after="0"/>
        <w:ind w:left="2268"/>
        <w:jc w:val="both"/>
      </w:pPr>
      <w:r>
        <w:rPr>
          <w:rFonts w:ascii="Arial" w:hAnsi="Arial" w:cs="Arial"/>
          <w:b w:val="0"/>
          <w:i/>
          <w:sz w:val="26"/>
        </w:rPr>
        <w:t>8. Conheceu-se parcialmente do apelo e, na parte conhecida, rejeitou-se a preliminar de incompetência e negou-se-lhe provimento, com majoração dos honorários advocatícios recursais em 2% sobre o valor da causa, somados aos fixados na sentença, com exigibilidade suspensa em razão da gratuidade de justiça. (...).” (ID 86261818)</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embargante alega a existência de omissão no acórdão.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 xml:space="preserve">Contrarrazões (ID 87774886), em que a embargada, MBR Engenharia Ltda., alega que: </w:t>
      </w:r>
      <w:r>
        <w:rPr>
          <w:rFonts w:ascii="Arial" w:hAnsi="Arial" w:cs="Arial"/>
          <w:b/>
          <w:i w:val="0"/>
          <w:sz w:val="28"/>
        </w:rPr>
        <w:t>1)</w:t>
      </w:r>
      <w:r>
        <w:rPr>
          <w:rFonts w:ascii="Arial" w:hAnsi="Arial" w:cs="Arial"/>
          <w:b w:val="0"/>
          <w:i w:val="0"/>
          <w:sz w:val="28"/>
        </w:rPr>
        <w:t xml:space="preserve"> os embargos revelam apenas inconformismo com o resultado do julgamento, sem omissão sanável; </w:t>
      </w:r>
      <w:r>
        <w:rPr>
          <w:rFonts w:ascii="Arial" w:hAnsi="Arial" w:cs="Arial"/>
          <w:b/>
          <w:i w:val="0"/>
          <w:sz w:val="28"/>
        </w:rPr>
        <w:t>2)</w:t>
      </w:r>
      <w:r>
        <w:rPr>
          <w:rFonts w:ascii="Arial" w:hAnsi="Arial" w:cs="Arial"/>
          <w:b w:val="0"/>
          <w:i w:val="0"/>
          <w:sz w:val="28"/>
        </w:rPr>
        <w:t xml:space="preserve"> a correção pelo ICC/DF decorre do contrato de empreitada global firmado com a associação, a que os adquirentes aderiram, e eventual falha de informação ao associado é questão entre a associação e seus associados, não oponível à construtora; </w:t>
      </w:r>
      <w:r>
        <w:rPr>
          <w:rFonts w:ascii="Arial" w:hAnsi="Arial" w:cs="Arial"/>
          <w:b/>
          <w:i w:val="0"/>
          <w:sz w:val="28"/>
        </w:rPr>
        <w:t>3)</w:t>
      </w:r>
      <w:r>
        <w:rPr>
          <w:rFonts w:ascii="Arial" w:hAnsi="Arial" w:cs="Arial"/>
          <w:b w:val="0"/>
          <w:i w:val="0"/>
          <w:sz w:val="28"/>
        </w:rPr>
        <w:t xml:space="preserve"> a jurisprudência do TJDFT reconhece a legalidade da cobrança, e os embargos não se prestam a corrigir suposto erro de julgamento.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É o relatório.</w:t>
      </w:r>
    </w:p>
    <w:p>
      <w:pPr>
        <w:spacing w:line="360" w:lineRule="auto" w:before="0" w:after="0"/>
        <w:ind w:firstLine="2268"/>
      </w:pPr>
      <w:r>
        <w:rPr>
          <w:sz w:val="28"/>
        </w:rPr>
      </w:r>
    </w:p>
    <w:p>
      <w:pPr>
        <w:spacing w:line="360" w:lineRule="auto" w:before="0" w:after="0"/>
        <w:jc w:val="center"/>
      </w:pPr>
      <w:r>
        <w:rPr>
          <w:rFonts w:ascii="Arial" w:hAnsi="Arial" w:cs="Arial"/>
          <w:b/>
          <w:i w:val="0"/>
          <w:sz w:val="28"/>
        </w:rPr>
        <w:t>VOTO</w:t>
      </w:r>
    </w:p>
    <w:p>
      <w:pPr>
        <w:spacing w:line="360" w:lineRule="auto" w:before="0" w:after="0"/>
        <w:ind w:firstLine="2268"/>
      </w:pPr>
      <w:r>
        <w:rPr>
          <w:sz w:val="28"/>
        </w:rPr>
      </w:r>
    </w:p>
    <w:p>
      <w:pPr>
        <w:spacing w:line="360" w:lineRule="auto" w:before="0" w:after="0"/>
        <w:jc w:val="both"/>
      </w:pPr>
      <w:r>
        <w:rPr>
          <w:rFonts w:ascii="Arial" w:hAnsi="Arial" w:cs="Arial"/>
          <w:b/>
          <w:i w:val="0"/>
          <w:sz w:val="28"/>
        </w:rPr>
        <w:t>O Senhor Desembargador SÉRGIO ROCHA – Relator</w:t>
      </w:r>
    </w:p>
    <w:p>
      <w:pPr>
        <w:spacing w:line="360" w:lineRule="auto" w:before="0" w:after="0"/>
        <w:ind w:firstLine="2268"/>
      </w:pPr>
      <w:r>
        <w:rPr>
          <w:sz w:val="28"/>
        </w:rPr>
      </w:r>
    </w:p>
    <w:p>
      <w:pPr>
        <w:spacing w:line="360" w:lineRule="auto" w:before="0" w:after="0"/>
        <w:jc w:val="center"/>
      </w:pPr>
      <w:r>
        <w:rPr>
          <w:rFonts w:ascii="Arial" w:hAnsi="Arial" w:cs="Arial"/>
          <w:b/>
          <w:i w:val="0"/>
          <w:sz w:val="28"/>
        </w:rPr>
        <w:t>EMBARGOS DE DECLARAÇÃO OPOSTOS PELA APELANTE, VERALUCIA SILVA DE ANDRADE</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Presentes os pressupostos de admissibilidade, conheço dos embargos de declaração.</w:t>
      </w:r>
    </w:p>
    <w:p>
      <w:pPr>
        <w:spacing w:line="360" w:lineRule="auto" w:before="0" w:after="0"/>
        <w:ind w:firstLine="2268"/>
      </w:pPr>
      <w:r>
        <w:rPr>
          <w:sz w:val="28"/>
        </w:rPr>
      </w:r>
    </w:p>
    <w:p>
      <w:pPr>
        <w:spacing w:line="360" w:lineRule="auto" w:before="0" w:after="0"/>
        <w:jc w:val="center"/>
      </w:pPr>
      <w:r>
        <w:rPr>
          <w:rFonts w:ascii="Arial" w:hAnsi="Arial" w:cs="Arial"/>
          <w:b w:val="0"/>
          <w:i w:val="0"/>
          <w:sz w:val="28"/>
          <w:highlight w:val="yellow"/>
        </w:rPr>
        <w:t>DA INEXISTÊNCIA DE OMISSÃO QUANTO À INCIDÊNCIA DO CÓDIGO DE DEFESA DO CONSUMIDOR</w:t>
      </w:r>
    </w:p>
    <w:p>
      <w:pPr>
        <w:spacing w:line="360" w:lineRule="auto" w:before="0" w:after="0"/>
        <w:ind w:firstLine="2268"/>
      </w:pPr>
      <w:r>
        <w:rPr>
          <w:sz w:val="28"/>
        </w:rPr>
      </w:r>
    </w:p>
    <w:p>
      <w:pPr>
        <w:spacing w:line="360" w:lineRule="auto" w:before="0" w:after="0"/>
        <w:ind w:firstLine="2268"/>
        <w:jc w:val="both"/>
      </w:pPr>
      <w:commentRangeStart w:id="2"/>
      <w:r>
        <w:rPr>
          <w:rFonts w:ascii="Arial" w:hAnsi="Arial" w:cs="Arial"/>
          <w:b w:val="0"/>
          <w:i w:val="0"/>
          <w:sz w:val="28"/>
        </w:rPr>
        <w:t xml:space="preserve">A embargante alega que: </w:t>
      </w:r>
      <w:r>
        <w:rPr>
          <w:rFonts w:ascii="Arial" w:hAnsi="Arial" w:cs="Arial"/>
          <w:b/>
          <w:i w:val="0"/>
          <w:sz w:val="28"/>
        </w:rPr>
        <w:t>1)</w:t>
      </w:r>
      <w:r>
        <w:rPr>
          <w:rFonts w:ascii="Arial" w:hAnsi="Arial" w:cs="Arial"/>
          <w:b w:val="0"/>
          <w:i w:val="0"/>
          <w:sz w:val="28"/>
        </w:rPr>
        <w:t xml:space="preserve"> o acórdão silenciou sobre a qualificação da relação como de consumo, direta, nos termos do CDC 2 e 3, ou por equiparação, nos termos do CDC 29, e sobre a exigência de vantagem manifestamente excessiva, prevista no CDC 39 V, e a repetição em dobro, prevista no CDC 42 parágrafo único, pois o termo aditivo foi firmado apenas entre a associação e a construtora, sem a anuência da adquirente; </w:t>
      </w:r>
      <w:r>
        <w:rPr>
          <w:rFonts w:ascii="Arial" w:hAnsi="Arial" w:cs="Arial"/>
          <w:b/>
          <w:i w:val="0"/>
          <w:sz w:val="28"/>
        </w:rPr>
        <w:t>2)</w:t>
      </w:r>
      <w:r>
        <w:rPr>
          <w:rFonts w:ascii="Arial" w:hAnsi="Arial" w:cs="Arial"/>
          <w:b w:val="0"/>
          <w:i w:val="0"/>
          <w:sz w:val="28"/>
        </w:rPr>
        <w:t xml:space="preserve"> a inovação recursal reconhecida restringiu-se à tese fundada na Lei 4.591/1964, e a incidência do CDC integrou as razões do apelo (ID 86860672).</w:t>
      </w:r>
      <w:commentRangeEnd w:id="2"/>
      <w:r>
        <w:rPr>
          <w:rStyle w:val="CommentReference"/>
        </w:rPr>
        <w:commentReference w:id="2"/>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Requer o provimento dos embargos de declaração, com efeitos infringentes, para que seja sanada a omissão apontada.</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rPr>
        <w:t>Sem razão a embargante.</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alegação de omissão não merece prosperar, pois a matéria foi devidamente analisada no r. acórdão, que assim se manifestou:</w:t>
      </w:r>
    </w:p>
    <w:p>
      <w:pPr>
        <w:spacing w:line="360" w:lineRule="auto" w:before="0" w:after="0"/>
        <w:ind w:firstLine="2268"/>
      </w:pPr>
      <w:r>
        <w:rPr>
          <w:sz w:val="28"/>
        </w:rPr>
      </w:r>
    </w:p>
    <w:p>
      <w:pPr>
        <w:spacing w:line="360" w:lineRule="auto" w:before="0" w:after="0"/>
        <w:ind w:firstLine="1134" w:left="2268"/>
        <w:jc w:val="both"/>
      </w:pPr>
      <w:r>
        <w:rPr>
          <w:rFonts w:ascii="Arial" w:hAnsi="Arial" w:cs="Arial"/>
          <w:b w:val="0"/>
          <w:i/>
          <w:sz w:val="26"/>
        </w:rPr>
        <w:t>“(...) Não prosperam, portanto, as alegações de nulidade do termo aditivo, de ausência de poderes da associação e de abusividade da cobrança do ICC/DF.</w:t>
      </w:r>
    </w:p>
    <w:p>
      <w:pPr>
        <w:spacing w:line="360" w:lineRule="auto" w:before="0" w:after="0"/>
        <w:ind w:firstLine="1134" w:left="2268"/>
        <w:jc w:val="both"/>
      </w:pPr>
      <w:r>
        <w:rPr>
          <w:rFonts w:ascii="Arial" w:hAnsi="Arial" w:cs="Arial"/>
          <w:b w:val="0"/>
          <w:i/>
          <w:sz w:val="26"/>
        </w:rPr>
        <w:t>Como assentado na sentença, a ré/apelante, Veralucia Silva de Andrade, aderiu ao arranjo contratual do empreendimento na condição de associada e adquirente, havendo previsão expressa das verbas exigidas, inclusive no contrato de empreitada global e em seu aditivo, já vigente quando da celebração do financiamento com a CEF.</w:t>
      </w:r>
    </w:p>
    <w:p>
      <w:pPr>
        <w:spacing w:line="360" w:lineRule="auto" w:before="0" w:after="0"/>
        <w:ind w:firstLine="1134" w:left="2268"/>
        <w:jc w:val="both"/>
      </w:pPr>
      <w:r>
        <w:rPr>
          <w:rFonts w:ascii="Arial" w:hAnsi="Arial" w:cs="Arial"/>
          <w:b w:val="0"/>
          <w:i/>
          <w:sz w:val="26"/>
        </w:rPr>
        <w:t>Nesse contexto, não se evidencia violação ao dever de informação, tampouco desequilíbrio contratual apto a afastar a atualização monetária, a qual se destina à preservação do equilíbrio econômico-financeiro da avença. (...)” (ID 86261818)</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rPr>
        <w:t>No caso, o acórdão enfrentou as consequências que a embargante extrai da incidência do CDC (nulidade do aditivo, dever de informação, abusividade e desequilíbrio contratual) e as afastou com base no contrato de empreitada global e no termo aditivo (ID 86261818).</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Quanto à qualificação da relação, a sentença adotada pelo acórdão já havia aplicado o CDC, e o próprio apelo parte dessa premissa (ID 77316089):</w:t>
      </w:r>
    </w:p>
    <w:p>
      <w:pPr>
        <w:spacing w:line="360" w:lineRule="auto" w:before="0" w:after="0"/>
        <w:ind w:firstLine="2268"/>
      </w:pPr>
      <w:r>
        <w:rPr>
          <w:sz w:val="28"/>
        </w:rPr>
      </w:r>
    </w:p>
    <w:p>
      <w:pPr>
        <w:spacing w:line="360" w:lineRule="auto" w:before="0" w:after="0"/>
        <w:ind w:firstLine="1134" w:left="2268"/>
        <w:jc w:val="both"/>
      </w:pPr>
      <w:r>
        <w:rPr>
          <w:rFonts w:ascii="Arial" w:hAnsi="Arial" w:cs="Arial"/>
          <w:b w:val="0"/>
          <w:i/>
          <w:sz w:val="26"/>
        </w:rPr>
        <w:t>“(...) Destaca-se que se aplica à hipótese dos autos o Código de Defesa do Consumidor, uma vez que se trata de relação de consumo, em que as partes se enquadram no conceito de fornecedor e consumidor (art. 2° e 3° do CDC). (...)” (ID 77316086)</w:t>
      </w:r>
    </w:p>
    <w:p>
      <w:pPr>
        <w:spacing w:line="360" w:lineRule="auto" w:before="0" w:after="0"/>
        <w:ind w:firstLine="2268"/>
      </w:pPr>
      <w:r>
        <w:rPr>
          <w:sz w:val="28"/>
        </w:rPr>
      </w:r>
    </w:p>
    <w:p>
      <w:pPr>
        <w:spacing w:line="360" w:lineRule="auto" w:before="0" w:after="0"/>
        <w:ind w:firstLine="2268"/>
        <w:jc w:val="both"/>
      </w:pPr>
      <w:commentRangeStart w:id="3"/>
      <w:r>
        <w:rPr>
          <w:rFonts w:ascii="Arial" w:hAnsi="Arial" w:cs="Arial"/>
          <w:b w:val="0"/>
          <w:i w:val="0"/>
          <w:sz w:val="28"/>
        </w:rPr>
        <w:t xml:space="preserve">No mais, o apelo não invocou os arts. 29, 39 V e 42 parágrafo único do CDC (ID 77316089), e </w:t>
      </w:r>
      <w:r>
        <w:rPr>
          <w:rFonts w:ascii="Arial" w:hAnsi="Arial" w:cs="Arial"/>
          <w:b w:val="0"/>
          <w:i w:val="0"/>
          <w:sz w:val="28"/>
          <w:highlight w:val="yellow"/>
        </w:rPr>
        <w:t>a abusividade da cobrança, de que decorreriam, foi afastada pelo acórdão (ID 86261818)</w:t>
      </w:r>
      <w:r>
        <w:rPr>
          <w:rFonts w:ascii="Arial" w:hAnsi="Arial" w:cs="Arial"/>
          <w:b w:val="0"/>
          <w:i w:val="0"/>
          <w:sz w:val="28"/>
        </w:rPr>
        <w:t>, que não tinha de se pronunciar sobre fundamento deduzido só nos embargos (CPC 489 § 1º IV).</w:t>
      </w:r>
      <w:commentRangeEnd w:id="3"/>
      <w:r>
        <w:rPr>
          <w:rStyle w:val="CommentReference"/>
        </w:rPr>
        <w:commentReference w:id="3"/>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Dessa forma, conforme mencionado no v. acórdão embargado, a matéria relativa à incidência do CDC foi suficientemente abordada, não havendo omissão a ser sanada, mas apenas mero inconformismo meritório da embargante com a conclusão adotada pelo Colegiado.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Na verdade, ao alegar omissão, a embargante pretende o reexame do apelo, o que é vedado em sede de embargos de declaração.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u w:val="single"/>
        </w:rPr>
        <w:t>Nego provimento aos embargos de declaração, nesse ponto.</w:t>
      </w:r>
    </w:p>
    <w:p>
      <w:pPr>
        <w:spacing w:line="360" w:lineRule="auto" w:before="0" w:after="0"/>
        <w:ind w:firstLine="2268"/>
      </w:pPr>
      <w:r>
        <w:rPr>
          <w:sz w:val="28"/>
        </w:rPr>
      </w:r>
    </w:p>
    <w:p>
      <w:pPr>
        <w:spacing w:line="360" w:lineRule="auto" w:before="0" w:after="0"/>
        <w:jc w:val="center"/>
      </w:pPr>
      <w:r>
        <w:rPr>
          <w:rFonts w:ascii="Arial" w:hAnsi="Arial" w:cs="Arial"/>
          <w:b w:val="0"/>
          <w:i w:val="0"/>
          <w:sz w:val="28"/>
          <w:highlight w:val="yellow"/>
        </w:rPr>
        <w:t>DA INEXISTÊNCIA DE OMISSÃO QUANTO À JURISPRUDÊNCIA DIVERGENTE E AO DEVER DE UNIFORMIZAÇÃO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 xml:space="preserve">A embargante alega que: </w:t>
      </w:r>
      <w:r>
        <w:rPr>
          <w:rFonts w:ascii="Arial" w:hAnsi="Arial" w:cs="Arial"/>
          <w:b/>
          <w:i w:val="0"/>
          <w:sz w:val="28"/>
        </w:rPr>
        <w:t>1)</w:t>
      </w:r>
      <w:r>
        <w:rPr>
          <w:rFonts w:ascii="Arial" w:hAnsi="Arial" w:cs="Arial"/>
          <w:b w:val="0"/>
          <w:i w:val="0"/>
          <w:sz w:val="28"/>
        </w:rPr>
        <w:t xml:space="preserve"> o acórdão não se manifestou sobre a divergência entre Turmas do TJDFT, que, em ações da mesma construtora sobre o mesmo empreendimento, reconheceram a natureza consumerista da relação e a abusividade da cobrança suplementar, ao passo que o acórdão embargado e outros julgados a validaram sem observar o CDC; </w:t>
      </w:r>
      <w:r>
        <w:rPr>
          <w:rFonts w:ascii="Arial" w:hAnsi="Arial" w:cs="Arial"/>
          <w:b/>
          <w:i w:val="0"/>
          <w:sz w:val="28"/>
        </w:rPr>
        <w:t>2)</w:t>
      </w:r>
      <w:r>
        <w:rPr>
          <w:rFonts w:ascii="Arial" w:hAnsi="Arial" w:cs="Arial"/>
          <w:b w:val="0"/>
          <w:i w:val="0"/>
          <w:sz w:val="28"/>
        </w:rPr>
        <w:t xml:space="preserve"> a omissão ofende o dever de uniformização, estabilidade, integridade e coerência da jurisprudência (CPC 926 e 489 § 1º VI; ID 86860672).</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Requer o provimento dos embargos de declaração para que seja sanada a omissão apontada.</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rPr>
        <w:t>Sem razão a embargante.</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alegação de omissão não merece prosperar, pois a matéria foi devidamente analisada no r. acórdão, que invocou o seguinte precedente do TJDFT:</w:t>
      </w:r>
    </w:p>
    <w:p>
      <w:pPr>
        <w:spacing w:line="360" w:lineRule="auto" w:before="0" w:after="0"/>
        <w:ind w:firstLine="2268"/>
      </w:pPr>
      <w:r>
        <w:rPr>
          <w:sz w:val="28"/>
        </w:rPr>
      </w:r>
    </w:p>
    <w:p>
      <w:pPr>
        <w:spacing w:line="360" w:lineRule="auto" w:before="0" w:after="0"/>
        <w:ind w:left="2268"/>
        <w:jc w:val="both"/>
      </w:pPr>
      <w:r>
        <w:rPr>
          <w:rFonts w:ascii="Arial" w:hAnsi="Arial" w:cs="Arial"/>
          <w:b w:val="0"/>
          <w:i/>
          <w:sz w:val="26"/>
        </w:rPr>
        <w:t xml:space="preserve">“(...) 3. Não há qualquer abusividade praticada pela construtora na cobrança de reajuste do valor referente à unidade residencial pelo INDÍCE DE CONSTRUÇÃO CIVIL – ICC, porquanto </w:t>
      </w:r>
      <w:r>
        <w:rPr>
          <w:rFonts w:ascii="Arial" w:hAnsi="Arial" w:cs="Arial"/>
          <w:b w:val="0"/>
          <w:i/>
          <w:sz w:val="26"/>
          <w:u w:val="single"/>
        </w:rPr>
        <w:t>restou expressamente prevista a sua incidência em contrato e tendo em vista que a Associação tem poderes plenos para firmar o Termo aditivo</w:t>
      </w:r>
      <w:r>
        <w:rPr>
          <w:rFonts w:ascii="Arial" w:hAnsi="Arial" w:cs="Arial"/>
          <w:b w:val="0"/>
          <w:i/>
          <w:sz w:val="26"/>
        </w:rPr>
        <w:t>, ante o ato voluntário da consumidora em associar-se a instituição.(...)” (Acórdão 2090096, 0702564-72.2024.8.07.0009, Relator(a): ROBSON BARBOSA DE AZEVEDO, 7ª TURMA CÍVEL, data de julgamento: 11/02/2026, publicado no DJe: 03/03/2026.) – Grifei</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rPr>
        <w:t>No caso, o acórdão se apoiou em precedentes do TJDFT que consideram válida a cobrança do ICC/DF prevista no contrato de empreitada global e no termo aditivo (Acórdãos 1975058 e 2090096; ID 86261818).</w:t>
      </w:r>
    </w:p>
    <w:p>
      <w:pPr>
        <w:spacing w:line="360" w:lineRule="auto" w:before="0" w:after="0"/>
        <w:ind w:firstLine="2268"/>
      </w:pPr>
      <w:r>
        <w:rPr>
          <w:sz w:val="28"/>
        </w:rPr>
      </w:r>
    </w:p>
    <w:p>
      <w:pPr>
        <w:spacing w:line="360" w:lineRule="auto" w:before="0" w:after="0"/>
        <w:ind w:firstLine="2268"/>
        <w:jc w:val="both"/>
      </w:pPr>
      <w:commentRangeStart w:id="4"/>
      <w:r>
        <w:rPr>
          <w:rFonts w:ascii="Arial" w:hAnsi="Arial" w:cs="Arial"/>
          <w:b w:val="0"/>
          <w:i w:val="0"/>
          <w:sz w:val="28"/>
        </w:rPr>
        <w:t>No mais, os julgados que a embargante indica tratam, segundo a descrição dos próprios embargos, de cobrança, pela construtora, de rubricas já incluídas no financiamento, como o terreno e a ligação de energia (ID 86860672).</w:t>
      </w:r>
      <w:commentRangeEnd w:id="4"/>
      <w:r>
        <w:rPr>
          <w:rStyle w:val="CommentReference"/>
        </w:rPr>
        <w:commentReference w:id="4"/>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Não tratam da correção pelo ICC/DF prevista no contrato de empreitada global e no termo aditivo.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divergência entre órgãos fracionários não é vício do julgado, e o dever de uniformização (CPC 926) se cumpre pelos instrumentos próprios, e não por embargos de declaração.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Dessa forma, conforme mencionado no v. acórdão embargado, a matéria relativa à validade da cobrança do ICC/DF foi suficientemente abordada, não havendo omissão a ser sanada, mas apenas mero inconformismo meritório da embargante com a conclusão adotada pelo Colegiado.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Na verdade, ao alegar omissão, a embargante pretende o reexame do apelo, o que é vedado em sede de embargos de declaração.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u w:val="single"/>
        </w:rPr>
        <w:t>Nego provimento aos embargos de declaração, nesse ponto.</w:t>
      </w:r>
    </w:p>
    <w:p>
      <w:pPr>
        <w:spacing w:line="360" w:lineRule="auto" w:before="0" w:after="0"/>
        <w:ind w:firstLine="2268"/>
      </w:pPr>
      <w:r>
        <w:rPr>
          <w:sz w:val="28"/>
        </w:rPr>
      </w:r>
    </w:p>
    <w:p>
      <w:pPr>
        <w:spacing w:line="360" w:lineRule="auto" w:before="0" w:after="0"/>
        <w:jc w:val="center"/>
      </w:pPr>
      <w:r>
        <w:rPr>
          <w:rFonts w:ascii="Arial" w:hAnsi="Arial" w:cs="Arial"/>
          <w:b w:val="0"/>
          <w:i w:val="0"/>
          <w:sz w:val="28"/>
          <w:highlight w:val="yellow"/>
        </w:rPr>
        <w:t>DO PEDIDO DE INSTAURAÇÃO DE INCIDENTE DE RESOLUÇÃO DE DEMANDAS REPETITIVAS</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 xml:space="preserve">A embargante alega que: </w:t>
      </w:r>
      <w:r>
        <w:rPr>
          <w:rFonts w:ascii="Arial" w:hAnsi="Arial" w:cs="Arial"/>
          <w:b/>
          <w:i w:val="0"/>
          <w:sz w:val="28"/>
        </w:rPr>
        <w:t>1)</w:t>
      </w:r>
      <w:r>
        <w:rPr>
          <w:rFonts w:ascii="Arial" w:hAnsi="Arial" w:cs="Arial"/>
          <w:b w:val="0"/>
          <w:i w:val="0"/>
          <w:sz w:val="28"/>
        </w:rPr>
        <w:t xml:space="preserve"> a controvérsia sobre a incidência do CDC e a abusividade da cobrança suplementar é unicamente de direito e se repete em processos da mesma construtora sobre o mesmo empreendimento; </w:t>
      </w:r>
      <w:r>
        <w:rPr>
          <w:rFonts w:ascii="Arial" w:hAnsi="Arial" w:cs="Arial"/>
          <w:b/>
          <w:i w:val="0"/>
          <w:sz w:val="28"/>
        </w:rPr>
        <w:t>2)</w:t>
      </w:r>
      <w:r>
        <w:rPr>
          <w:rFonts w:ascii="Arial" w:hAnsi="Arial" w:cs="Arial"/>
          <w:b w:val="0"/>
          <w:i w:val="0"/>
          <w:sz w:val="28"/>
        </w:rPr>
        <w:t xml:space="preserve"> o risco à isonomia e à segurança jurídica já se consumou, pois adquirentes do mesmo empreendimento receberam respostas antagônicas do mesmo Tribunal (ID 86860672).</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Requer que o relator ou o órgão colegiado delibere sobre a instauração de ofício do incidente (CPC 976 e 977 I), com a suspensão dos processos pendentes, sem prejuízo de pedido autônomo ao presidente do tribunal (CPC 977 II).</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rPr>
        <w:t>Sem razão a embargante.</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Dispõe o art. 977 do CPC:</w:t>
      </w:r>
    </w:p>
    <w:p>
      <w:pPr>
        <w:spacing w:line="360" w:lineRule="auto" w:before="0" w:after="0"/>
        <w:ind w:firstLine="2268"/>
      </w:pPr>
      <w:r>
        <w:rPr>
          <w:sz w:val="28"/>
        </w:rPr>
      </w:r>
    </w:p>
    <w:p>
      <w:pPr>
        <w:spacing w:line="360" w:lineRule="auto" w:before="0" w:after="0"/>
        <w:ind w:left="2268"/>
        <w:jc w:val="both"/>
      </w:pPr>
      <w:r>
        <w:rPr>
          <w:rFonts w:ascii="Arial" w:hAnsi="Arial" w:cs="Arial"/>
          <w:b w:val="0"/>
          <w:i/>
          <w:sz w:val="26"/>
        </w:rPr>
        <w:t>“Art. 977. O pedido de instauração do incidente será dirigido ao presidente de tribunal:</w:t>
      </w:r>
    </w:p>
    <w:p>
      <w:pPr>
        <w:spacing w:line="360" w:lineRule="auto" w:before="0" w:after="0"/>
        <w:ind w:left="2268"/>
        <w:jc w:val="both"/>
      </w:pPr>
      <w:r>
        <w:rPr>
          <w:rFonts w:ascii="Arial" w:hAnsi="Arial" w:cs="Arial"/>
          <w:b w:val="0"/>
          <w:i/>
          <w:sz w:val="26"/>
        </w:rPr>
        <w:t>I - pelo juiz ou relator, por ofício;</w:t>
      </w:r>
    </w:p>
    <w:p>
      <w:pPr>
        <w:spacing w:line="360" w:lineRule="auto" w:before="0" w:after="0"/>
        <w:ind w:left="2268"/>
        <w:jc w:val="both"/>
      </w:pPr>
      <w:r>
        <w:rPr>
          <w:rFonts w:ascii="Arial" w:hAnsi="Arial" w:cs="Arial"/>
          <w:b w:val="0"/>
          <w:i/>
          <w:sz w:val="26"/>
        </w:rPr>
        <w:t>II - pelas partes, por petição;</w:t>
      </w:r>
    </w:p>
    <w:p>
      <w:pPr>
        <w:spacing w:line="360" w:lineRule="auto" w:before="0" w:after="0"/>
        <w:ind w:left="2268"/>
        <w:jc w:val="both"/>
      </w:pPr>
      <w:r>
        <w:rPr>
          <w:rFonts w:ascii="Arial" w:hAnsi="Arial" w:cs="Arial"/>
          <w:b w:val="0"/>
          <w:i/>
          <w:sz w:val="26"/>
        </w:rPr>
        <w:t>(...)”</w:t>
      </w:r>
    </w:p>
    <w:p>
      <w:pPr>
        <w:spacing w:line="360" w:lineRule="auto" w:before="0" w:after="0"/>
        <w:ind w:firstLine="2268"/>
      </w:pPr>
      <w:r>
        <w:rPr>
          <w:sz w:val="28"/>
        </w:rPr>
      </w:r>
    </w:p>
    <w:p>
      <w:pPr>
        <w:spacing w:line="360" w:lineRule="auto" w:before="0" w:after="0"/>
        <w:ind w:firstLine="2268"/>
        <w:jc w:val="both"/>
      </w:pPr>
      <w:commentRangeStart w:id="5"/>
      <w:r>
        <w:rPr>
          <w:rFonts w:ascii="Arial" w:hAnsi="Arial" w:cs="Arial"/>
          <w:b w:val="0"/>
          <w:i w:val="0"/>
          <w:sz w:val="28"/>
          <w:highlight w:val="yellow"/>
        </w:rPr>
        <w:t>O pedido, portanto, é dirigido ao presidente do tribunal, e não se processa em embargos de declaração, que cabem apenas nas hipóteses do art. 1.022 do CPC.</w:t>
      </w:r>
      <w:commentRangeEnd w:id="5"/>
      <w:r>
        <w:rPr>
          <w:rStyle w:val="CommentReference"/>
        </w:rPr>
        <w:commentReference w:id="5"/>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própria embargante reconhece essa via, ao ressalvar a possibilidade de veicular a pretensão por petição autônoma ao Desembargador Presidente (CPC 977 II; ID 86860672).</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No mais, não há razão para suscitar o incidente de ofício, pois os julgados apontados tratam de rubricas já incluídas no financiamento.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Não se evidencia, assim, controvérsia sobre a mesma questão de direito (CPC 976 I).</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u w:val="single"/>
        </w:rPr>
        <w:t>Assim, deixo de suscitar o incidente e nego provimento aos embargos de declaração, nesse ponto.</w:t>
      </w:r>
    </w:p>
    <w:p>
      <w:pPr>
        <w:spacing w:line="360" w:lineRule="auto" w:before="0" w:after="0"/>
        <w:ind w:firstLine="2268"/>
      </w:pPr>
      <w:r>
        <w:rPr>
          <w:sz w:val="28"/>
        </w:rPr>
      </w:r>
    </w:p>
    <w:p>
      <w:pPr>
        <w:spacing w:line="360" w:lineRule="auto" w:before="0" w:after="0"/>
        <w:jc w:val="center"/>
      </w:pPr>
      <w:r>
        <w:rPr>
          <w:rFonts w:ascii="Arial" w:hAnsi="Arial" w:cs="Arial"/>
          <w:b w:val="0"/>
          <w:i w:val="0"/>
          <w:sz w:val="28"/>
          <w:highlight w:val="yellow"/>
        </w:rPr>
        <w:t>DO PREQUESTIONAMENTO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A embargante pede manifestação expressa quanto aos dispositivos do CDC, do Código Civil e do CPC indicados nos embargos, para fins de prequestionamento (ID 86860672).</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highlight w:val="yellow"/>
        </w:rPr>
        <w:t>Sem razão a embargante.</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Caso o acórdão tenha sido omisso, eivado de erro, contradição ou obscuridade, a arguição da matéria em embargos de declaração é suficiente para caracterizar o prequestionamento ficto.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Sobre o tema, dispõe o art. 1.025 do CPC:</w:t>
      </w:r>
    </w:p>
    <w:p>
      <w:pPr>
        <w:spacing w:line="360" w:lineRule="auto" w:before="0" w:after="0"/>
        <w:ind w:firstLine="2268"/>
      </w:pPr>
      <w:r>
        <w:rPr>
          <w:sz w:val="28"/>
        </w:rPr>
      </w:r>
    </w:p>
    <w:p>
      <w:pPr>
        <w:spacing w:line="360" w:lineRule="auto" w:before="0" w:after="0"/>
        <w:ind w:left="2268"/>
        <w:jc w:val="both"/>
      </w:pPr>
      <w:r>
        <w:rPr>
          <w:rFonts w:ascii="Arial" w:hAnsi="Arial" w:cs="Arial"/>
          <w:b w:val="0"/>
          <w:i/>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before="0" w:after="0"/>
        <w:ind w:firstLine="2268"/>
      </w:pPr>
      <w:r>
        <w:rPr>
          <w:sz w:val="28"/>
        </w:rPr>
      </w:r>
    </w:p>
    <w:p>
      <w:pPr>
        <w:spacing w:line="360" w:lineRule="auto" w:before="0" w:after="0"/>
        <w:jc w:val="center"/>
      </w:pPr>
      <w:r>
        <w:rPr>
          <w:rFonts w:ascii="Arial" w:hAnsi="Arial" w:cs="Arial"/>
          <w:b/>
          <w:i w:val="0"/>
          <w:sz w:val="28"/>
        </w:rPr>
        <w:t>DISPOSITIVO</w:t>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 xml:space="preserve">Ante o exposto, </w:t>
      </w:r>
      <w:r>
        <w:rPr>
          <w:rFonts w:ascii="Arial" w:hAnsi="Arial" w:cs="Arial"/>
          <w:b/>
          <w:i w:val="0"/>
          <w:sz w:val="28"/>
        </w:rPr>
        <w:t>nego provimento</w:t>
      </w:r>
      <w:r>
        <w:rPr>
          <w:rFonts w:ascii="Arial" w:hAnsi="Arial" w:cs="Arial"/>
          <w:b w:val="0"/>
          <w:i w:val="0"/>
          <w:sz w:val="28"/>
        </w:rPr>
        <w:t xml:space="preserve"> aos embargos de declaração opostos pela apelante, Veralucia Silva de Andrade.</w:t>
      </w:r>
    </w:p>
    <w:p>
      <w:pPr>
        <w:spacing w:line="360" w:lineRule="auto" w:before="0" w:after="0"/>
        <w:ind w:firstLine="2268"/>
      </w:pPr>
      <w:r>
        <w:rPr>
          <w:sz w:val="28"/>
        </w:rPr>
      </w:r>
    </w:p>
    <w:p>
      <w:pPr>
        <w:spacing w:line="360" w:lineRule="auto" w:before="0" w:after="0"/>
        <w:ind w:firstLine="2268"/>
        <w:jc w:val="both"/>
      </w:pPr>
      <w:commentRangeStart w:id="6"/>
      <w:r>
        <w:rPr>
          <w:rFonts w:ascii="Arial" w:hAnsi="Arial" w:cs="Arial"/>
          <w:b w:val="0"/>
          <w:i w:val="0"/>
          <w:sz w:val="28"/>
        </w:rPr>
        <w:t>Determino à secretaria da 4ª Turma que registre, para as intimações, exclusivamente o nome do advogado Murilo Martins de Andrade, OAB/DF 84.953, conforme a procuração e a revogação do mandato anterior (ID 86860674 e 86860675).</w:t>
      </w:r>
      <w:commentRangeEnd w:id="6"/>
      <w:r>
        <w:rPr>
          <w:rStyle w:val="CommentReference"/>
        </w:rPr>
        <w:commentReference w:id="6"/>
      </w:r>
    </w:p>
    <w:p>
      <w:pPr>
        <w:spacing w:line="360" w:lineRule="auto" w:before="0" w:after="0"/>
        <w:ind w:firstLine="2268"/>
      </w:pPr>
      <w:r>
        <w:rPr>
          <w:sz w:val="28"/>
        </w:rPr>
      </w:r>
    </w:p>
    <w:p>
      <w:pPr>
        <w:spacing w:line="360" w:lineRule="auto" w:before="0" w:after="0"/>
        <w:ind w:firstLine="2268"/>
        <w:jc w:val="both"/>
      </w:pPr>
      <w:r>
        <w:rPr>
          <w:rFonts w:ascii="Arial" w:hAnsi="Arial" w:cs="Arial"/>
          <w:b w:val="0"/>
          <w:i w:val="0"/>
          <w:sz w:val="28"/>
        </w:rPr>
        <w:t>É como voto.</w:t>
      </w:r>
    </w:p>
    <w:p>
      <w:pPr>
        <w:spacing w:line="360" w:lineRule="auto" w:before="0" w:after="0"/>
        <w:ind w:firstLine="2268"/>
      </w:pPr>
      <w:r>
        <w:rPr>
          <w:sz w:val="28"/>
        </w:rPr>
      </w:r>
    </w:p>
    <w:p>
      <w:pPr>
        <w:spacing w:line="360" w:lineRule="auto" w:before="0" w:after="0"/>
        <w:jc w:val="center"/>
      </w:pPr>
      <w:r>
        <w:rPr>
          <w:rFonts w:ascii="Arial" w:hAnsi="Arial" w:cs="Arial"/>
          <w:b/>
          <w:i w:val="0"/>
          <w:color w:val="00B050"/>
          <w:sz w:val="27"/>
        </w:rPr>
        <w:t>DECISÃO RECORRIDA</w:t>
      </w:r>
    </w:p>
    <w:p>
      <w:pPr>
        <w:spacing w:line="360" w:lineRule="auto" w:before="0" w:after="0"/>
        <w:jc w:val="both"/>
      </w:pPr>
      <w:r>
        <w:rPr>
          <w:rFonts w:ascii="Arial" w:hAnsi="Arial" w:cs="Arial"/>
          <w:b w:val="0"/>
          <w:i w:val="0"/>
          <w:color w:val="00B050"/>
          <w:sz w:val="27"/>
        </w:rPr>
        <w:t>Órgão 4ª Turma Cível</w:t>
      </w:r>
    </w:p>
    <w:p>
      <w:pPr>
        <w:spacing w:line="360" w:lineRule="auto" w:before="0" w:after="0"/>
        <w:jc w:val="both"/>
      </w:pPr>
      <w:r>
        <w:rPr>
          <w:rFonts w:ascii="Arial" w:hAnsi="Arial" w:cs="Arial"/>
          <w:b w:val="0"/>
          <w:i w:val="0"/>
          <w:color w:val="00B050"/>
          <w:sz w:val="27"/>
        </w:rPr>
        <w:t>Processo N. APELAÇÃO CÍVEL 0709120-90.2024.8.07.0009</w:t>
      </w:r>
    </w:p>
    <w:p>
      <w:pPr>
        <w:spacing w:line="360" w:lineRule="auto" w:before="0" w:after="0"/>
        <w:jc w:val="both"/>
      </w:pPr>
      <w:r>
        <w:rPr>
          <w:rFonts w:ascii="Arial" w:hAnsi="Arial" w:cs="Arial"/>
          <w:b w:val="0"/>
          <w:i w:val="0"/>
          <w:color w:val="00B050"/>
          <w:sz w:val="27"/>
        </w:rPr>
        <w:t>APELANTE(S) VERALUCIA SILVA DE ANDRADE</w:t>
      </w:r>
    </w:p>
    <w:p>
      <w:pPr>
        <w:spacing w:line="360" w:lineRule="auto" w:before="0" w:after="0"/>
        <w:jc w:val="both"/>
      </w:pPr>
      <w:r>
        <w:rPr>
          <w:rFonts w:ascii="Arial" w:hAnsi="Arial" w:cs="Arial"/>
          <w:b w:val="0"/>
          <w:i w:val="0"/>
          <w:color w:val="00B050"/>
          <w:sz w:val="27"/>
        </w:rPr>
        <w:t>APELADO(S) MBR ENGENHARIA LTDA</w:t>
      </w:r>
    </w:p>
    <w:p>
      <w:pPr>
        <w:spacing w:line="360" w:lineRule="auto" w:before="0" w:after="0"/>
        <w:jc w:val="both"/>
      </w:pPr>
      <w:r>
        <w:rPr>
          <w:rFonts w:ascii="Arial" w:hAnsi="Arial" w:cs="Arial"/>
          <w:b w:val="0"/>
          <w:i w:val="0"/>
          <w:color w:val="00B050"/>
          <w:sz w:val="27"/>
        </w:rPr>
        <w:t>Relator Desembargador SÉRGIO ROCHA</w:t>
      </w:r>
    </w:p>
    <w:p>
      <w:pPr>
        <w:spacing w:line="360" w:lineRule="auto" w:before="0" w:after="0"/>
        <w:jc w:val="both"/>
      </w:pPr>
      <w:r>
        <w:rPr>
          <w:rFonts w:ascii="Arial" w:hAnsi="Arial" w:cs="Arial"/>
          <w:b w:val="0"/>
          <w:i w:val="0"/>
          <w:color w:val="00B050"/>
          <w:sz w:val="27"/>
        </w:rPr>
        <w:t>Acórdão Nº 2142077</w:t>
      </w:r>
    </w:p>
    <w:p>
      <w:pPr>
        <w:spacing w:line="360" w:lineRule="auto" w:before="0" w:after="0"/>
        <w:jc w:val="both"/>
      </w:pPr>
      <w:r>
        <w:rPr>
          <w:rFonts w:ascii="Arial" w:hAnsi="Arial" w:cs="Arial"/>
          <w:b w:val="0"/>
          <w:i w:val="0"/>
          <w:color w:val="00B050"/>
          <w:sz w:val="27"/>
        </w:rPr>
        <w:t>EMENTA</w:t>
      </w:r>
    </w:p>
    <w:p>
      <w:pPr>
        <w:spacing w:line="360" w:lineRule="auto" w:before="0" w:after="0"/>
        <w:jc w:val="both"/>
      </w:pPr>
      <w:r>
        <w:rPr>
          <w:rFonts w:ascii="Arial" w:hAnsi="Arial" w:cs="Arial"/>
          <w:b w:val="0"/>
          <w:i w:val="0"/>
          <w:color w:val="00B050"/>
          <w:sz w:val="27"/>
        </w:rPr>
        <w:t>APELAÇÃO CÍVEL. DIREITO CIVIL E PROCESSUAL CIVIL. AÇÃO DE COBRANÇA. EMPREENDIMENTO HABITACIONAL. ASSOCIAÇÃO HABITACIONAL. CONTRATO DE EMPREITADA GLOBAL. CORREÇÃO MONETÁRIA PELO ICC/DF. CLÁUSULA COMPROMISSÓRIA DE ARBITRAGEM EM CONTRATO DE ADESÃO. INOVAÇÃO RECURSAL. RECURSO PARCIALMENTE CONHECIDO E NÃO PROVIDO.</w:t>
      </w:r>
    </w:p>
    <w:p>
      <w:pPr>
        <w:spacing w:line="360" w:lineRule="auto" w:before="0" w:after="0"/>
        <w:jc w:val="both"/>
      </w:pPr>
      <w:r>
        <w:rPr>
          <w:rFonts w:ascii="Arial" w:hAnsi="Arial" w:cs="Arial"/>
          <w:b w:val="0"/>
          <w:i w:val="0"/>
          <w:color w:val="00B050"/>
          <w:sz w:val="27"/>
        </w:rPr>
        <w:t>I. Caso em exame</w:t>
      </w:r>
    </w:p>
    <w:p>
      <w:pPr>
        <w:spacing w:line="360" w:lineRule="auto" w:before="0" w:after="0"/>
        <w:jc w:val="both"/>
      </w:pPr>
      <w:r>
        <w:rPr>
          <w:rFonts w:ascii="Arial" w:hAnsi="Arial" w:cs="Arial"/>
          <w:b w:val="0"/>
          <w:i w:val="0"/>
          <w:color w:val="00B050"/>
          <w:sz w:val="27"/>
        </w:rPr>
        <w:t>1. Ação de cobrança ajuizada por MBR Engenharia Ltda. contra Veralucia Silva de Andrade, visando ao pagamento de valores inadimplidos referentes à correção monetária pelo ICC/DF e encargos mensais suportados junto à Caixa Econômica Federal em empreendimento habitacional vinculado a associação.</w:t>
      </w:r>
    </w:p>
    <w:p>
      <w:pPr>
        <w:spacing w:line="360" w:lineRule="auto" w:before="0" w:after="0"/>
        <w:jc w:val="both"/>
      </w:pPr>
      <w:r>
        <w:rPr>
          <w:rFonts w:ascii="Arial" w:hAnsi="Arial" w:cs="Arial"/>
          <w:b w:val="0"/>
          <w:i w:val="0"/>
          <w:color w:val="00B050"/>
          <w:sz w:val="27"/>
        </w:rPr>
        <w:t>2. Sentença que julgou parcialmente procedente o pedido para condenar a ré ao pagamento de R$ 30.760,87, a título de correção monetária pelo ICC/DF, e de R$ 1.336,78 relativos aos encargos mensais, acrescidos de multa e juros, além de custas e honorários fixados em 10% do valor da causa, com exigibilidade suspensa pela gratuidade de justiça.</w:t>
      </w:r>
    </w:p>
    <w:p>
      <w:pPr>
        <w:spacing w:line="360" w:lineRule="auto" w:before="0" w:after="0"/>
        <w:jc w:val="both"/>
      </w:pPr>
      <w:r>
        <w:rPr>
          <w:rFonts w:ascii="Arial" w:hAnsi="Arial" w:cs="Arial"/>
          <w:b w:val="0"/>
          <w:i w:val="0"/>
          <w:color w:val="00B050"/>
          <w:sz w:val="27"/>
        </w:rPr>
        <w:t>3. A ré apelou sustentando incompetência do juízo em razão de cláusula compromissória de arbitragem, abusividade da cobrança do ICC/DF, nulidade do termo aditivo firmado pela associação e inaplicabilidade das obrigações ao adquirente em empreendimento de interesse social.</w:t>
      </w:r>
    </w:p>
    <w:p>
      <w:pPr>
        <w:spacing w:line="360" w:lineRule="auto" w:before="0" w:after="0"/>
        <w:jc w:val="both"/>
      </w:pPr>
      <w:r>
        <w:rPr>
          <w:rFonts w:ascii="Arial" w:hAnsi="Arial" w:cs="Arial"/>
          <w:b w:val="0"/>
          <w:i w:val="0"/>
          <w:color w:val="00B050"/>
          <w:sz w:val="27"/>
        </w:rPr>
        <w:t>II. Questão em discussão</w:t>
      </w:r>
    </w:p>
    <w:p>
      <w:pPr>
        <w:spacing w:line="360" w:lineRule="auto" w:before="0" w:after="0"/>
        <w:jc w:val="both"/>
      </w:pPr>
      <w:r>
        <w:rPr>
          <w:rFonts w:ascii="Arial" w:hAnsi="Arial" w:cs="Arial"/>
          <w:b w:val="0"/>
          <w:i w:val="0"/>
          <w:color w:val="00B050"/>
          <w:sz w:val="27"/>
        </w:rPr>
        <w:t>4. Há três questões em discussão: (i) saber se houve inovação recursal quanto à tese fundada na Lei nº 4.591/1964; (ii) saber se a cláusula compromissória de arbitragem afasta a competência do Poder Judiciário; e (iii) saber se é válida a cobrança de correção monetária pelo ICC/DF e de encargos mensais ao adquirente associado.</w:t>
      </w:r>
    </w:p>
    <w:p>
      <w:pPr>
        <w:spacing w:line="360" w:lineRule="auto" w:before="0" w:after="0"/>
        <w:jc w:val="both"/>
      </w:pPr>
      <w:r>
        <w:rPr>
          <w:rFonts w:ascii="Arial" w:hAnsi="Arial" w:cs="Arial"/>
          <w:b w:val="0"/>
          <w:i w:val="0"/>
          <w:color w:val="00B050"/>
          <w:sz w:val="27"/>
        </w:rPr>
        <w:t>III. Razões de decidir</w:t>
      </w:r>
    </w:p>
    <w:p>
      <w:pPr>
        <w:spacing w:line="360" w:lineRule="auto" w:before="0" w:after="0"/>
        <w:jc w:val="both"/>
      </w:pPr>
      <w:r>
        <w:rPr>
          <w:rFonts w:ascii="Arial" w:hAnsi="Arial" w:cs="Arial"/>
          <w:b w:val="0"/>
          <w:i w:val="0"/>
          <w:color w:val="00B050"/>
          <w:sz w:val="27"/>
        </w:rPr>
        <w:t>5. Configura inovação recursal a invocação, apenas em sede de apelação, de tese autônoma de violação ao regime da incorporação imobiliária, com fundamento específico na Lei nº 4.591/1964, por não submetida ao juízo de origem, o que impede sua análise em grau recursal. 6. Em contrato de adesão, a cláusula compromissória de arbitragem exige anuência expressa e destacada do aderente, com assinatura específica, nos termos do art. 4º, § 2º, da Lei nº 9.307/1996, requisito não atendido no caso concreto, o que mantém a competência da Justiça comum.</w:t>
      </w:r>
    </w:p>
    <w:p>
      <w:pPr>
        <w:spacing w:line="360" w:lineRule="auto" w:before="0" w:after="0"/>
        <w:jc w:val="both"/>
      </w:pPr>
      <w:r>
        <w:rPr>
          <w:rFonts w:ascii="Arial" w:hAnsi="Arial" w:cs="Arial"/>
          <w:b w:val="0"/>
          <w:i w:val="0"/>
          <w:color w:val="00B050"/>
          <w:sz w:val="27"/>
        </w:rPr>
        <w:t>7. A cobrança de correção monetária pelo ICC/DF revela-se válida quando expressamente prevista no arranjo contratual do empreendimento, inclusive no contrato de empreitada global e em seu termo aditivo, aos quais o adquirente aderiu na condição de associado, inexistindo abusividade, nulidade do aditivo ou violação ao dever de informação.</w:t>
      </w:r>
    </w:p>
    <w:p>
      <w:pPr>
        <w:spacing w:line="360" w:lineRule="auto" w:before="0" w:after="0"/>
        <w:jc w:val="both"/>
      </w:pPr>
      <w:r>
        <w:rPr>
          <w:rFonts w:ascii="Arial" w:hAnsi="Arial" w:cs="Arial"/>
          <w:b w:val="0"/>
          <w:i w:val="0"/>
          <w:color w:val="00B050"/>
          <w:sz w:val="27"/>
        </w:rPr>
        <w:t>IV. Dispositivo</w:t>
      </w:r>
    </w:p>
    <w:p>
      <w:pPr>
        <w:spacing w:line="360" w:lineRule="auto" w:before="0" w:after="0"/>
        <w:jc w:val="both"/>
      </w:pPr>
      <w:r>
        <w:rPr>
          <w:rFonts w:ascii="Arial" w:hAnsi="Arial" w:cs="Arial"/>
          <w:b w:val="0"/>
          <w:i w:val="0"/>
          <w:color w:val="00B050"/>
          <w:sz w:val="27"/>
        </w:rPr>
        <w:t>8. Conheceu-se parcialmente do apelo e, na parte conhecida, rejeitou-se a preliminar de incompetência e negou-se-lhe provimento, com majoração dos honorários advocatícios recursais em 2% sobre o valor da causa, somados aos fixados na sentença, com exigibilidade suspensa em razão da gratuidade de justiça.</w:t>
      </w:r>
    </w:p>
    <w:p>
      <w:pPr>
        <w:spacing w:line="360" w:lineRule="auto" w:before="0" w:after="0"/>
        <w:jc w:val="both"/>
      </w:pPr>
      <w:r>
        <w:rPr>
          <w:rFonts w:ascii="Arial" w:hAnsi="Arial" w:cs="Arial"/>
          <w:b w:val="0"/>
          <w:i w:val="0"/>
          <w:color w:val="00B050"/>
          <w:sz w:val="27"/>
        </w:rPr>
        <w:t>__________________________________________</w:t>
      </w:r>
    </w:p>
    <w:p>
      <w:pPr>
        <w:spacing w:line="360" w:lineRule="auto" w:before="0" w:after="0"/>
        <w:jc w:val="both"/>
      </w:pPr>
      <w:r>
        <w:rPr>
          <w:rFonts w:ascii="Arial" w:hAnsi="Arial" w:cs="Arial"/>
          <w:b w:val="0"/>
          <w:i w:val="0"/>
          <w:color w:val="00B050"/>
          <w:sz w:val="27"/>
        </w:rPr>
        <w:t>Dispositivos relevantes citados: CPC, arts. 373, I, 487, I, 85, §§ 1º, 2º e 11, e 86, parágrafo único; CC, arts. 389, parágrafo único, 406, § 1º, e 53, parágrafo único; Lei nº 9.307/1996, arts. 4º, §§ 1º e 2º, e 8º; Lei nº 14.905/2024.</w:t>
      </w:r>
    </w:p>
    <w:p>
      <w:pPr>
        <w:spacing w:line="360" w:lineRule="auto" w:before="0" w:after="0"/>
        <w:jc w:val="both"/>
      </w:pPr>
      <w:r>
        <w:rPr>
          <w:rFonts w:ascii="Arial" w:hAnsi="Arial" w:cs="Arial"/>
          <w:b w:val="0"/>
          <w:i w:val="0"/>
          <w:color w:val="00B050"/>
          <w:sz w:val="27"/>
        </w:rPr>
        <w:t>Jurisprudência relevante citada: TJDFT, Acórdão nº 1975058, Apelação Cível nº 0702533- 52.2024.8.07.0009, Rel. Des. Carlos Alberto Martins Filho, 1ª Turma Cível, j. 26/02/2025, DJe 19/03/2025; TJDFT, Acórdão nº 2090096, Apelação Cível nº 0702564-</w:t>
      </w:r>
    </w:p>
    <w:p>
      <w:pPr>
        <w:spacing w:line="360" w:lineRule="auto" w:before="0" w:after="0"/>
        <w:jc w:val="both"/>
      </w:pPr>
      <w:r>
        <w:rPr>
          <w:rFonts w:ascii="Arial" w:hAnsi="Arial" w:cs="Arial"/>
          <w:b w:val="0"/>
          <w:i w:val="0"/>
          <w:color w:val="00B050"/>
          <w:sz w:val="27"/>
        </w:rPr>
        <w:t>72.2024.8.07.0009, Rel. Des. Robson Barbosa de Azevedo, 7ª Turma Cível, j. 11/02/2026, DJe 03/03/2026.</w:t>
      </w:r>
    </w:p>
    <w:p>
      <w:pPr>
        <w:spacing w:line="360" w:lineRule="auto" w:before="0" w:after="0"/>
        <w:jc w:val="both"/>
      </w:pPr>
      <w:r>
        <w:rPr>
          <w:rFonts w:ascii="Arial" w:hAnsi="Arial" w:cs="Arial"/>
          <w:b w:val="0"/>
          <w:i w:val="0"/>
          <w:color w:val="00B050"/>
          <w:sz w:val="27"/>
        </w:rPr>
        <w:t>ACÓRDÃO</w:t>
      </w:r>
    </w:p>
    <w:p>
      <w:pPr>
        <w:spacing w:line="360" w:lineRule="auto" w:before="0" w:after="0"/>
        <w:jc w:val="both"/>
      </w:pPr>
      <w:r>
        <w:rPr>
          <w:rFonts w:ascii="Arial" w:hAnsi="Arial" w:cs="Arial"/>
          <w:b w:val="0"/>
          <w:i w:val="0"/>
          <w:color w:val="00B050"/>
          <w:sz w:val="27"/>
        </w:rPr>
        <w:t>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CONHECER EM PARTE DO RECURSO E, NA PARTE CONHECIDA, REJEITAR A PRELIMINAR DE INCOMPETÊNCIA E NEGAR-LHE PROVIMENTO. UNÂNIME, de acordo com a ata do julgamento e notas taquigráficas.</w:t>
      </w:r>
    </w:p>
    <w:p>
      <w:pPr>
        <w:spacing w:line="360" w:lineRule="auto" w:before="0" w:after="0"/>
        <w:jc w:val="both"/>
      </w:pPr>
      <w:r>
        <w:rPr>
          <w:rFonts w:ascii="Arial" w:hAnsi="Arial" w:cs="Arial"/>
          <w:b w:val="0"/>
          <w:i w:val="0"/>
          <w:color w:val="00B050"/>
          <w:sz w:val="27"/>
        </w:rPr>
        <w:t>Brasília (DF), 30 de Junho de 2026</w:t>
      </w:r>
    </w:p>
    <w:p>
      <w:pPr>
        <w:spacing w:line="360" w:lineRule="auto" w:before="0" w:after="0"/>
        <w:jc w:val="both"/>
      </w:pPr>
      <w:r>
        <w:rPr>
          <w:rFonts w:ascii="Arial" w:hAnsi="Arial" w:cs="Arial"/>
          <w:b w:val="0"/>
          <w:i w:val="0"/>
          <w:color w:val="00B050"/>
          <w:sz w:val="27"/>
        </w:rPr>
        <w:t>Desembargador SÉRGIO ROCHA Relator</w:t>
      </w:r>
    </w:p>
    <w:p>
      <w:pPr>
        <w:spacing w:line="360" w:lineRule="auto" w:before="0" w:after="0"/>
        <w:jc w:val="both"/>
      </w:pPr>
      <w:r>
        <w:rPr>
          <w:rFonts w:ascii="Arial" w:hAnsi="Arial" w:cs="Arial"/>
          <w:b/>
          <w:i w:val="0"/>
          <w:color w:val="00B050"/>
          <w:sz w:val="27"/>
        </w:rPr>
        <w:t>RELATÓRIO</w:t>
      </w:r>
    </w:p>
    <w:p>
      <w:pPr>
        <w:spacing w:line="360" w:lineRule="auto" w:before="0" w:after="0"/>
        <w:jc w:val="both"/>
      </w:pPr>
      <w:r>
        <w:rPr>
          <w:rFonts w:ascii="Arial" w:hAnsi="Arial" w:cs="Arial"/>
          <w:b w:val="0"/>
          <w:i w:val="0"/>
          <w:color w:val="00B050"/>
          <w:sz w:val="27"/>
        </w:rPr>
        <w:t>Adoto o relatório da r. sentença:</w:t>
      </w:r>
    </w:p>
    <w:p>
      <w:pPr>
        <w:spacing w:line="360" w:lineRule="auto" w:before="0" w:after="0"/>
        <w:jc w:val="both"/>
      </w:pPr>
      <w:r>
        <w:rPr>
          <w:rFonts w:ascii="Arial" w:hAnsi="Arial" w:cs="Arial"/>
          <w:b w:val="0"/>
          <w:i w:val="0"/>
          <w:color w:val="00B050"/>
          <w:sz w:val="27"/>
        </w:rPr>
        <w:t>“(...) Trata-se de ação de cobrança, com pedido de tutela de urgência, ajuizada pela MBR ENGENHARIA LTDA em desfavor de VERALUCIA SILVA DE ANDRADE, partes qualificadas nos autos.</w:t>
      </w:r>
    </w:p>
    <w:p>
      <w:pPr>
        <w:spacing w:line="360" w:lineRule="auto" w:before="0" w:after="0"/>
        <w:jc w:val="both"/>
      </w:pPr>
      <w:r>
        <w:rPr>
          <w:rFonts w:ascii="Arial" w:hAnsi="Arial" w:cs="Arial"/>
          <w:b w:val="0"/>
          <w:i w:val="0"/>
          <w:color w:val="00B050"/>
          <w:sz w:val="27"/>
        </w:rPr>
        <w:t>Narra a parte autora que celebrou um contrato de empreitada global com a ASSOCIAÇÃO DO CONJUNTO FILADELFIA - CF, em razão de sua seleção em Edital de Chamamento nº 01/2017 da CODHAB, para construir um empreendimento vertical na QR 612, Conjunto 05, Lote 02 – Samambaia/DF –, no âmbito do Programa Casa Verde e Amarela, cabendo à associação ofertar e definir os adquirentes para aquisição das unidades.</w:t>
      </w:r>
    </w:p>
    <w:p>
      <w:pPr>
        <w:spacing w:line="360" w:lineRule="auto" w:before="0" w:after="0"/>
        <w:jc w:val="both"/>
      </w:pPr>
      <w:r>
        <w:rPr>
          <w:rFonts w:ascii="Arial" w:hAnsi="Arial" w:cs="Arial"/>
          <w:b w:val="0"/>
          <w:i w:val="0"/>
          <w:color w:val="00B050"/>
          <w:sz w:val="27"/>
        </w:rPr>
        <w:t>Relata que o contrato previa a cobrança de encargos mensais da conta na CAIXA, cujo valor alcança o montante de R$ 1.336,78, além de correção monetária dos valores de obra pelo Índice de Construção Civil - ICC/DF, que perfaz R$ 30.760,87.</w:t>
      </w:r>
    </w:p>
    <w:p>
      <w:pPr>
        <w:spacing w:line="360" w:lineRule="auto" w:before="0" w:after="0"/>
        <w:jc w:val="both"/>
      </w:pPr>
      <w:r>
        <w:rPr>
          <w:rFonts w:ascii="Arial" w:hAnsi="Arial" w:cs="Arial"/>
          <w:b w:val="0"/>
          <w:i w:val="0"/>
          <w:color w:val="00B050"/>
          <w:sz w:val="27"/>
        </w:rPr>
        <w:t>Aduz que a parte ré não efetuou os pagamentos devidos, resultando em um débito de R$ 32.097,65 (trinta e dois mil e noventa e sete reais e sessenta e cinco centavos).</w:t>
      </w:r>
    </w:p>
    <w:p>
      <w:pPr>
        <w:spacing w:line="360" w:lineRule="auto" w:before="0" w:after="0"/>
        <w:jc w:val="both"/>
      </w:pPr>
      <w:r>
        <w:rPr>
          <w:rFonts w:ascii="Arial" w:hAnsi="Arial" w:cs="Arial"/>
          <w:b w:val="0"/>
          <w:i w:val="0"/>
          <w:color w:val="00B050"/>
          <w:sz w:val="27"/>
        </w:rPr>
        <w:t>Apresenta argumentos de direito que entende embasar seu pedido. Ao final, requer: (i) a antecipação dos efeitos da tutela para autorização de retenção das chaves do imóvel enquanto não realizado o pagamento dos valores inadimplidos; (ii) a condenação da parte ré ao pagamento de R$ 32.097,65 (trinta e dois mil e noventa e sete reais e sessenta e cinco centavos), a título de valores inadimplidos corrigidos pelo ICC/DF, bem como de todos os valores vincendos de correção; (iii) a condenação da parte ré ao pagamento das parcelas vincendas de ICC/DF, bem como a todos os encargos mensais da parte ré junto a CAIXA que venham eventualmente a serem descontados da parte autora.</w:t>
      </w:r>
    </w:p>
    <w:p>
      <w:pPr>
        <w:spacing w:line="360" w:lineRule="auto" w:before="0" w:after="0"/>
        <w:jc w:val="both"/>
      </w:pPr>
      <w:r>
        <w:rPr>
          <w:rFonts w:ascii="Arial" w:hAnsi="Arial" w:cs="Arial"/>
          <w:b w:val="0"/>
          <w:i w:val="0"/>
          <w:color w:val="00B050"/>
          <w:sz w:val="27"/>
        </w:rPr>
        <w:t>Deferida a tutela de urgência (Id. 199656678)</w:t>
      </w:r>
    </w:p>
    <w:p>
      <w:pPr>
        <w:spacing w:line="360" w:lineRule="auto" w:before="0" w:after="0"/>
        <w:jc w:val="both"/>
      </w:pPr>
      <w:r>
        <w:rPr>
          <w:rFonts w:ascii="Arial" w:hAnsi="Arial" w:cs="Arial"/>
          <w:b w:val="0"/>
          <w:i w:val="0"/>
          <w:color w:val="00B050"/>
          <w:sz w:val="27"/>
        </w:rPr>
        <w:t>Citada (204630699), a ré apresentou contestação de Id. 206956630. Inicialmente, requereu a concessão de justiça gratuita. Defende, preliminarmente, a incompetência do Juízo, em face da existência de cláusula compromissória de convenção de arbitragem para dirimir quaisquer questões envolvendo o contrato. No mérito, a parte ré afirma que nunca tomou ciência da existência de Contrato de Construção por Empreitada Global, firmado entre a Requerente e a Associação FILADELFIA, ou mesmo de seu termo aditivo. Informa que o único contrato assinado entre a autora e a ré foi o Contrato de Compra e Venda de Terreno e Mútuo Para Construção de Unidade Habitacional, Alienação Fiduciária em Garantia, Fiança e Outras Obrigações, não havendo nenhum outro negócio jurídico que vincule as partes. Afirma, ademais, que sobre o Termo Aditivo assinado pela parte autora e a Associação, não teve ciência, aprovação ou adesão da associada, não podendo lhe ser exigido. Ao final, aduz que a cobrança é indevida e pugnou pela improcedência do pleito autoral.</w:t>
      </w:r>
    </w:p>
    <w:p>
      <w:pPr>
        <w:spacing w:line="360" w:lineRule="auto" w:before="0" w:after="0"/>
        <w:jc w:val="both"/>
      </w:pPr>
      <w:r>
        <w:rPr>
          <w:rFonts w:ascii="Arial" w:hAnsi="Arial" w:cs="Arial"/>
          <w:b w:val="0"/>
          <w:i w:val="0"/>
          <w:color w:val="00B050"/>
          <w:sz w:val="27"/>
        </w:rPr>
        <w:t>Réplica, Id. 208868523.</w:t>
      </w:r>
    </w:p>
    <w:p>
      <w:pPr>
        <w:spacing w:line="360" w:lineRule="auto" w:before="0" w:after="0"/>
        <w:jc w:val="both"/>
      </w:pPr>
      <w:r>
        <w:rPr>
          <w:rFonts w:ascii="Arial" w:hAnsi="Arial" w:cs="Arial"/>
          <w:b w:val="0"/>
          <w:i w:val="0"/>
          <w:color w:val="00B050"/>
          <w:sz w:val="27"/>
        </w:rPr>
        <w:t>Audiência de conciliação infrutífera – ID 229923324.</w:t>
      </w:r>
    </w:p>
    <w:p>
      <w:pPr>
        <w:spacing w:line="360" w:lineRule="auto" w:before="0" w:after="0"/>
        <w:jc w:val="both"/>
      </w:pPr>
      <w:r>
        <w:rPr>
          <w:rFonts w:ascii="Arial" w:hAnsi="Arial" w:cs="Arial"/>
          <w:b w:val="0"/>
          <w:i w:val="0"/>
          <w:color w:val="00B050"/>
          <w:sz w:val="27"/>
        </w:rPr>
        <w:t>Decisão de ID 231489426 determinou a conclusão do feito para julgamento. (...)” (ID 77316086)</w:t>
      </w:r>
    </w:p>
    <w:p>
      <w:pPr>
        <w:spacing w:line="360" w:lineRule="auto" w:before="0" w:after="0"/>
        <w:jc w:val="both"/>
      </w:pPr>
      <w:r>
        <w:rPr>
          <w:rFonts w:ascii="Arial" w:hAnsi="Arial" w:cs="Arial"/>
          <w:b w:val="0"/>
          <w:i w:val="0"/>
          <w:color w:val="00B050"/>
          <w:sz w:val="27"/>
        </w:rPr>
        <w:t>O MM. Juiz sentenciante, Dr. Edson Lima Costa, da 2ª Vara Cível de Samambaia, julgou no seguinte sentido:</w:t>
      </w:r>
    </w:p>
    <w:p>
      <w:pPr>
        <w:spacing w:line="360" w:lineRule="auto" w:before="0" w:after="0"/>
        <w:jc w:val="both"/>
      </w:pPr>
      <w:r>
        <w:rPr>
          <w:rFonts w:ascii="Arial" w:hAnsi="Arial" w:cs="Arial"/>
          <w:b w:val="0"/>
          <w:i w:val="0"/>
          <w:color w:val="00B050"/>
          <w:sz w:val="27"/>
        </w:rPr>
        <w:t>“(...) Ante o exposto, julgo PARCIALMENTE PROCEDENTE o pedido inicial para CONDENAR a parte ré ao pagamento de R$ 30.760,87 (trinta mil setecentos e sessenta reais e oitenta e sete centavos), a título de valores inadimplidos corrigidos pelo ICC/DF, bem como de todos os valores vencidos e não adimplidos ao longo do feito até o término da obra e a multa de 2% sobre o total devido; o referido valor será atualizado e acrescido – salvo a multa contratual – de juros de mora de 1% ao mês a contar do vencimento da obrigação, sem prejuízo dos quantitativos correspondentes aos encargos já aplicados na planilha que acompanha a inicial.</w:t>
      </w:r>
    </w:p>
    <w:p>
      <w:pPr>
        <w:spacing w:line="360" w:lineRule="auto" w:before="0" w:after="0"/>
        <w:jc w:val="both"/>
      </w:pPr>
      <w:r>
        <w:rPr>
          <w:rFonts w:ascii="Arial" w:hAnsi="Arial" w:cs="Arial"/>
          <w:b w:val="0"/>
          <w:i w:val="0"/>
          <w:color w:val="00B050"/>
          <w:sz w:val="27"/>
        </w:rPr>
        <w:t>CONDENAR a parte requerida ao pagamento de R$ 1.336,78 (mil trezentos e trinta e seis reais e setenta e oito centavos), referente aos valores suportados pela autora a título de “Encargo Mensal do Devedor” junto à Caixa Econômica Federal e a multa de 2% sobre esse valor; o referido valor será corrigido monetariamente a partir do vencimento da obrigação, conforme art. 389, parágrafo único, CC, e acrescido – salvo a multa contratual – de juros de mora pela SELIC, na forma do art. 406, § 1º, do CC, a partir da alteração legislativa referida (Lei n.º 14.905/2024);</w:t>
      </w:r>
    </w:p>
    <w:p>
      <w:pPr>
        <w:spacing w:line="360" w:lineRule="auto" w:before="0" w:after="0"/>
        <w:jc w:val="both"/>
      </w:pPr>
      <w:r>
        <w:rPr>
          <w:rFonts w:ascii="Arial" w:hAnsi="Arial" w:cs="Arial"/>
          <w:b w:val="0"/>
          <w:i w:val="0"/>
          <w:color w:val="00B050"/>
          <w:sz w:val="27"/>
        </w:rPr>
        <w:t>Resolvo o mérito, nos termos do artigo 487, inciso I, do CPC.</w:t>
      </w:r>
    </w:p>
    <w:p>
      <w:pPr>
        <w:spacing w:line="360" w:lineRule="auto" w:before="0" w:after="0"/>
        <w:jc w:val="both"/>
      </w:pPr>
      <w:r>
        <w:rPr>
          <w:rFonts w:ascii="Arial" w:hAnsi="Arial" w:cs="Arial"/>
          <w:b w:val="0"/>
          <w:i w:val="0"/>
          <w:color w:val="00B050"/>
          <w:sz w:val="27"/>
        </w:rPr>
        <w:t>Diante da sucumbência mínima da autora, na forma do parágrafo único, do art. 86, do CPC, condeno A ré ao pagamento das custas processuais e dos honorários advocatícios, os quais fixo 10% (dez por cento) sobre o valor da causa, nos termos do art. 85, § 2º, do Código de Processo Civil – CPC, cuja verba restará suspensa, diante do deferimento da justiça gratuita. (...)” (ID 77316086)</w:t>
      </w:r>
    </w:p>
    <w:p>
      <w:pPr>
        <w:spacing w:line="360" w:lineRule="auto" w:before="0" w:after="0"/>
        <w:jc w:val="both"/>
      </w:pPr>
      <w:r>
        <w:rPr>
          <w:rFonts w:ascii="Arial" w:hAnsi="Arial" w:cs="Arial"/>
          <w:b w:val="0"/>
          <w:i w:val="0"/>
          <w:color w:val="00B050"/>
          <w:sz w:val="27"/>
        </w:rPr>
        <w:t>A apelante, Veralucia Silva de Andrade, alega, em síntese, que: 1) a preliminar de incompetência deve ser acolhida, pois o Contrato de Construção por Empreitada Global contém cláusula compromissória de arbitragem, cuja eficácia decorre da manifestação de aceitação do aderente, devendo prevalecer o juízo arbitral à luz do art. 4º, §2º, e art. 8º da Lei 9.307/1996, bem como da jurisprudência do STJ; 2) a relação contratual é regida pela Lei 4.591/1964 e pelo Código de Defesa do Consumidor, por se tratar de aquisição de unidade imobiliária futura em empreendimento habitacional de interesse social, cabendo reconhecer a vulnerabilidade do consumidor e aplicar a inversão do ônus da prova, o dever de informação (art. 6º, III, CDC) e as nulidades previstas no art. 51 do CDC; 3) a sentença contrariou a Lei das Incorporações ao admitir a incidência do ICC/DF no período de 01/01/2021 até a entrega do habite-se, pois o Ato Associativo previa correção monetária apenas entre sua assinatura e a celebração do financiamento com a Caixa Econômica Federal, sendo vedado ao incorporador alterar condições de pagamento ou reajustar preços sem previsão contratual e sem anuência do consumidor (Lei 4.591/1964 43, V); 4) o Termo Aditivo ao Contrato de Empreitada Global, firmado exclusivamente entre a associação e a construtora, não possui validade perante os adquirentes, pois a associação não detém poderes de representação para contrair obrigações financeiras em nome dos associados, conforme parágrafo único do art. 53 do Código Civil e precedentes do STJ que distinguem associações de sociedades; 5) houve indevida equiparação, pela sentença, entre o Ato Associativo e eventual mandato conferido à associação, embora o documento configure promessa de compra e venda e não autorize modificações contratuais posteriores; 6) a decisão recorrida desconsiderou que se trata de empreendimento subsidiado por programas habitacionais (“Casa Verde e Amarela”/“Minha Casa Minha Vida”), nos quais o financiamento da obra é garantido previamente e o incorporador deve apresentar orçamento suficiente para a conclusão da construção, não podendo transferir custos adicionais à adquirente de baixa renda; 7) a cobrança adicional de ICC/DF e encargos viola a boa-fé objetiva, o equilíbrio contratual e a própria lógica dos empreendimentos sociais, nos quais não se admite a prática de preços e reajustes típicos do mercado imobiliário comum (ID 77316089).</w:t>
      </w:r>
    </w:p>
    <w:p>
      <w:pPr>
        <w:spacing w:line="360" w:lineRule="auto" w:before="0" w:after="0"/>
        <w:jc w:val="both"/>
      </w:pPr>
      <w:r>
        <w:rPr>
          <w:rFonts w:ascii="Arial" w:hAnsi="Arial" w:cs="Arial"/>
          <w:b w:val="0"/>
          <w:i w:val="0"/>
          <w:color w:val="00B050"/>
          <w:sz w:val="27"/>
        </w:rPr>
        <w:t>Requer o acolhimento da preliminar para extinguir o processo sem resolução de mérito ou, caso superada, a reforma integral da sentença para julgar improcedente a cobrança de atualização monetária pelo ICC/DF no período de</w:t>
      </w:r>
    </w:p>
    <w:p>
      <w:pPr>
        <w:spacing w:line="360" w:lineRule="auto" w:before="0" w:after="0"/>
        <w:jc w:val="both"/>
      </w:pPr>
      <w:r>
        <w:rPr>
          <w:rFonts w:ascii="Arial" w:hAnsi="Arial" w:cs="Arial"/>
          <w:b w:val="0"/>
          <w:i w:val="0"/>
          <w:color w:val="00B050"/>
          <w:sz w:val="27"/>
        </w:rPr>
        <w:t>01/01/2021 até a entrega do habite-se, bem como a condenação da apelada ao pagamento de custas e honorários sucumbenciais.</w:t>
      </w:r>
    </w:p>
    <w:p>
      <w:pPr>
        <w:spacing w:line="360" w:lineRule="auto" w:before="0" w:after="0"/>
        <w:jc w:val="both"/>
      </w:pPr>
      <w:r>
        <w:rPr>
          <w:rFonts w:ascii="Arial" w:hAnsi="Arial" w:cs="Arial"/>
          <w:b w:val="0"/>
          <w:i w:val="0"/>
          <w:color w:val="00B050"/>
          <w:sz w:val="27"/>
        </w:rPr>
        <w:t>Em contrarrazões, a apelada sustenta que: 1) há inovação recursal quanto à tese de vedação de reajuste a apelação repete argumentos já apreciados, não havendo fundamento capaz de reformar a sentença que reconheceu a validade da cobrança do ICC/DF; 2) é inaplicável a cláusula compromissória, pois inexistente assinatura no campo específico exigido pelo art. 4º, §2º, da Lei 9.307/96; 3) parte das teses recursais configura inovação vedada, por não terem sido submetidas ao juízo de origem; 4) a correção monetária é contratualmente prevista, usual no mercado e reiteradamente reconhecida pela jurisprudência do TJDFT. (ID 77316093)</w:t>
      </w:r>
    </w:p>
    <w:p>
      <w:pPr>
        <w:spacing w:line="360" w:lineRule="auto" w:before="0" w:after="0"/>
        <w:jc w:val="both"/>
      </w:pPr>
      <w:r>
        <w:rPr>
          <w:rFonts w:ascii="Arial" w:hAnsi="Arial" w:cs="Arial"/>
          <w:b w:val="0"/>
          <w:i w:val="0"/>
          <w:color w:val="00B050"/>
          <w:sz w:val="27"/>
        </w:rPr>
        <w:t>A ré/apelante manifestou-se sobre a preliminar de inovação recursal suscitada em contrarrazões (ID 80711288).</w:t>
      </w:r>
    </w:p>
    <w:p>
      <w:pPr>
        <w:spacing w:line="360" w:lineRule="auto" w:before="0" w:after="0"/>
        <w:jc w:val="both"/>
      </w:pPr>
      <w:r>
        <w:rPr>
          <w:rFonts w:ascii="Arial" w:hAnsi="Arial" w:cs="Arial"/>
          <w:b w:val="0"/>
          <w:i w:val="0"/>
          <w:color w:val="00B050"/>
          <w:sz w:val="27"/>
        </w:rPr>
        <w:t>É o relatório.</w:t>
      </w:r>
    </w:p>
    <w:p>
      <w:pPr>
        <w:spacing w:line="360" w:lineRule="auto" w:before="0" w:after="0"/>
        <w:jc w:val="both"/>
      </w:pPr>
      <w:r>
        <w:rPr>
          <w:rFonts w:ascii="Arial" w:hAnsi="Arial" w:cs="Arial"/>
          <w:b w:val="0"/>
          <w:i w:val="0"/>
          <w:color w:val="00B050"/>
          <w:sz w:val="27"/>
        </w:rPr>
        <w:t>VOTOS</w:t>
      </w:r>
    </w:p>
    <w:p>
      <w:pPr>
        <w:spacing w:line="360" w:lineRule="auto" w:before="0" w:after="0"/>
        <w:jc w:val="both"/>
      </w:pPr>
      <w:r>
        <w:rPr>
          <w:rFonts w:ascii="Arial" w:hAnsi="Arial" w:cs="Arial"/>
          <w:b w:val="0"/>
          <w:i w:val="0"/>
          <w:color w:val="00B050"/>
          <w:sz w:val="27"/>
        </w:rPr>
        <w:t>O Senhor Desembargador SÉRGIO ROCHA - Relator</w:t>
      </w:r>
    </w:p>
    <w:p>
      <w:pPr>
        <w:spacing w:line="360" w:lineRule="auto" w:before="0" w:after="0"/>
        <w:jc w:val="both"/>
      </w:pPr>
      <w:r>
        <w:rPr>
          <w:rFonts w:ascii="Arial" w:hAnsi="Arial" w:cs="Arial"/>
          <w:b w:val="0"/>
          <w:i w:val="0"/>
          <w:color w:val="00B050"/>
          <w:sz w:val="27"/>
        </w:rPr>
        <w:t>Ação ajuizada em 06/06/2024. Sentença proferida em 04/08/2025. Recurso interposto em 01/09/2025. Valor da causa 32.097,65.</w:t>
      </w:r>
    </w:p>
    <w:p>
      <w:pPr>
        <w:spacing w:line="360" w:lineRule="auto" w:before="0" w:after="0"/>
        <w:jc w:val="both"/>
      </w:pPr>
      <w:r>
        <w:rPr>
          <w:rFonts w:ascii="Arial" w:hAnsi="Arial" w:cs="Arial"/>
          <w:b w:val="0"/>
          <w:i w:val="0"/>
          <w:color w:val="00B050"/>
          <w:sz w:val="27"/>
        </w:rPr>
        <w:t>DO APELO DA RÉ, VERALUCIA SILVA DE ANDRADE</w:t>
      </w:r>
    </w:p>
    <w:p>
      <w:pPr>
        <w:spacing w:line="360" w:lineRule="auto" w:before="0" w:after="0"/>
        <w:jc w:val="both"/>
      </w:pPr>
      <w:r>
        <w:rPr>
          <w:rFonts w:ascii="Arial" w:hAnsi="Arial" w:cs="Arial"/>
          <w:b w:val="0"/>
          <w:i w:val="0"/>
          <w:color w:val="00B050"/>
          <w:sz w:val="27"/>
        </w:rPr>
        <w:t>DA EXISTÊNCIA DE INOVAÇÃO RECURSAL</w:t>
      </w:r>
    </w:p>
    <w:p>
      <w:pPr>
        <w:spacing w:line="360" w:lineRule="auto" w:before="0" w:after="0"/>
        <w:jc w:val="both"/>
      </w:pPr>
      <w:r>
        <w:rPr>
          <w:rFonts w:ascii="Arial" w:hAnsi="Arial" w:cs="Arial"/>
          <w:b w:val="0"/>
          <w:i w:val="0"/>
          <w:color w:val="00B050"/>
          <w:sz w:val="27"/>
        </w:rPr>
        <w:t>Em contrarrazões, a autora/apelada, MBR Engenharia Ltda., sustenta que parte das teses recursais configura inovação vedada, por não terem sido submetidas ao juízo de origem.</w:t>
      </w:r>
    </w:p>
    <w:p>
      <w:pPr>
        <w:spacing w:line="360" w:lineRule="auto" w:before="0" w:after="0"/>
        <w:jc w:val="both"/>
      </w:pPr>
      <w:r>
        <w:rPr>
          <w:rFonts w:ascii="Arial" w:hAnsi="Arial" w:cs="Arial"/>
          <w:b w:val="0"/>
          <w:i w:val="0"/>
          <w:color w:val="00B050"/>
          <w:sz w:val="27"/>
        </w:rPr>
        <w:t>Com razão</w:t>
      </w:r>
    </w:p>
    <w:p>
      <w:pPr>
        <w:spacing w:line="360" w:lineRule="auto" w:before="0" w:after="0"/>
        <w:jc w:val="both"/>
      </w:pPr>
      <w:r>
        <w:rPr>
          <w:rFonts w:ascii="Arial" w:hAnsi="Arial" w:cs="Arial"/>
          <w:b w:val="0"/>
          <w:i w:val="0"/>
          <w:color w:val="00B050"/>
          <w:sz w:val="27"/>
        </w:rPr>
        <w:t>Verifica-se inovação recursal na medida em que a autora/apelante passou a desenvolver, apenas em sede de apelação, tese autônoma de ofensa ao regime da incorporação imobiliária, com invocação específica da Lei nº 4.591/1964 e da impossibilidade de alteração do preço da unidade.</w:t>
      </w:r>
    </w:p>
    <w:p>
      <w:pPr>
        <w:spacing w:line="360" w:lineRule="auto" w:before="0" w:after="0"/>
        <w:jc w:val="both"/>
      </w:pPr>
      <w:r>
        <w:rPr>
          <w:rFonts w:ascii="Arial" w:hAnsi="Arial" w:cs="Arial"/>
          <w:b w:val="0"/>
          <w:i w:val="0"/>
          <w:color w:val="00B050"/>
          <w:sz w:val="27"/>
        </w:rPr>
        <w:t>Não se trata, portanto, de mero reforço argumentativo, mas de tese jurídica nova, não analisada pelo Juízo a quo, com causa de pedir recursal distinta e potencial aptidão para ampliar o objeto devolvido ao Tribunal, em afronta à vedação de supressão de instância.</w:t>
      </w:r>
    </w:p>
    <w:p>
      <w:pPr>
        <w:spacing w:line="360" w:lineRule="auto" w:before="0" w:after="0"/>
        <w:jc w:val="both"/>
      </w:pPr>
      <w:r>
        <w:rPr>
          <w:rFonts w:ascii="Arial" w:hAnsi="Arial" w:cs="Arial"/>
          <w:b w:val="0"/>
          <w:i w:val="0"/>
          <w:color w:val="00B050"/>
          <w:sz w:val="27"/>
        </w:rPr>
        <w:t>Nesse sentido:</w:t>
      </w:r>
    </w:p>
    <w:p>
      <w:pPr>
        <w:spacing w:line="360" w:lineRule="auto" w:before="0" w:after="0"/>
        <w:jc w:val="both"/>
      </w:pPr>
      <w:r>
        <w:rPr>
          <w:rFonts w:ascii="Arial" w:hAnsi="Arial" w:cs="Arial"/>
          <w:b w:val="0"/>
          <w:i w:val="0"/>
          <w:color w:val="00B050"/>
          <w:sz w:val="27"/>
        </w:rPr>
        <w:t>“(...) 3. O tópico recursal sobre a impossibilidade de alteração do preço de imóvel em construção, afetado pelo regime de incorporação, por suposta violação ao art. 43, inc. V, da Lei nº 4.591/64 (Lei de Incorporação Imobiliária), foi suscitado apenas em sede recursal, ou seja, trata-se de matéria não apreciada pelo juízo de origem. Assim, sua análise por este órgão julgador, que nesta ocasião exerce função revisora, encontra óbice nos limites da devolutividade recursal. Preliminar de inovação recursal acolhida. Recurso conhecido parcialmente.</w:t>
      </w:r>
    </w:p>
    <w:p>
      <w:pPr>
        <w:spacing w:line="360" w:lineRule="auto" w:before="0" w:after="0"/>
        <w:jc w:val="both"/>
      </w:pPr>
      <w:r>
        <w:rPr>
          <w:rFonts w:ascii="Arial" w:hAnsi="Arial" w:cs="Arial"/>
          <w:b w:val="0"/>
          <w:i w:val="0"/>
          <w:color w:val="00B050"/>
          <w:sz w:val="27"/>
        </w:rPr>
        <w:t>4. Por se tratar de contrato de adesão, a cláusula compromissória de arbitragem somente terá eficácia se preenchidos os requisitos constantes na Lei da Arbitragem, o que não foi verificado in casu. Mantida a competência da Justiça comum distrital para o processamento e julgamento do feito.</w:t>
      </w:r>
    </w:p>
    <w:p>
      <w:pPr>
        <w:spacing w:line="360" w:lineRule="auto" w:before="0" w:after="0"/>
        <w:jc w:val="both"/>
      </w:pPr>
      <w:r>
        <w:rPr>
          <w:rFonts w:ascii="Arial" w:hAnsi="Arial" w:cs="Arial"/>
          <w:b w:val="0"/>
          <w:i w:val="0"/>
          <w:color w:val="00B050"/>
          <w:sz w:val="27"/>
        </w:rPr>
        <w:t>5. O Índice de Construção Civil do Distrito Federal – ICC/DF é amplamente utilizado no setor de construção civil e visa preservar o equilíbrio econômico- financeiro do contrato. Destarte, não há óbices para sua utilização no reajuste das obrigações contratuais, desde que previsto no instrumento firmado entre as partes.</w:t>
      </w:r>
    </w:p>
    <w:p>
      <w:pPr>
        <w:spacing w:line="360" w:lineRule="auto" w:before="0" w:after="0"/>
        <w:jc w:val="both"/>
      </w:pPr>
      <w:r>
        <w:rPr>
          <w:rFonts w:ascii="Arial" w:hAnsi="Arial" w:cs="Arial"/>
          <w:b w:val="0"/>
          <w:i w:val="0"/>
          <w:color w:val="00B050"/>
          <w:sz w:val="27"/>
        </w:rPr>
        <w:t>6. A legitimidade da associação habitacional para firmar o termo aditivo, vinculando a parte ré, é plenamente válida e respaldada pelo ato associativo, ao qual o requerido aderiu voluntariamente.</w:t>
      </w:r>
    </w:p>
    <w:p>
      <w:pPr>
        <w:spacing w:line="360" w:lineRule="auto" w:before="0" w:after="0"/>
        <w:jc w:val="both"/>
      </w:pPr>
      <w:r>
        <w:rPr>
          <w:rFonts w:ascii="Arial" w:hAnsi="Arial" w:cs="Arial"/>
          <w:b w:val="0"/>
          <w:i w:val="0"/>
          <w:color w:val="00B050"/>
          <w:sz w:val="27"/>
        </w:rPr>
        <w:t>7. O contrato de construção por empreitada global, firmado antes da adesão do apelante à associação habitacional, já previa o reajuste pelo ICC até a entrega das unidades. Dessa forma, a construtora não pode ser prejudicada por eventual falha da associação em preencher adequadamente os termos do seu ato associativo. (...)” (Grifei)</w:t>
      </w:r>
    </w:p>
    <w:p>
      <w:pPr>
        <w:spacing w:line="360" w:lineRule="auto" w:before="0" w:after="0"/>
        <w:jc w:val="both"/>
      </w:pPr>
      <w:r>
        <w:rPr>
          <w:rFonts w:ascii="Arial" w:hAnsi="Arial" w:cs="Arial"/>
          <w:b w:val="0"/>
          <w:i w:val="0"/>
          <w:color w:val="00B050"/>
          <w:sz w:val="27"/>
        </w:rPr>
        <w:t>(Acórdão 1975058, 0702533-52.2024.8.07.0009, Relator(a): CARLOS ALBERTO MARTINS FILHO, 1ª TURMA CÍVEL, data de julgamento: 26/02/2025, publicado no DJe: 19/03/2025.)</w:t>
      </w:r>
    </w:p>
    <w:p>
      <w:pPr>
        <w:spacing w:line="360" w:lineRule="auto" w:before="0" w:after="0"/>
        <w:jc w:val="both"/>
      </w:pPr>
      <w:r>
        <w:rPr>
          <w:rFonts w:ascii="Arial" w:hAnsi="Arial" w:cs="Arial"/>
          <w:b w:val="0"/>
          <w:i w:val="0"/>
          <w:color w:val="00B050"/>
          <w:sz w:val="27"/>
        </w:rPr>
        <w:t>Assim, acolho a preliminar de inovação recursal neste ponto.</w:t>
      </w:r>
    </w:p>
    <w:p>
      <w:pPr>
        <w:spacing w:line="360" w:lineRule="auto" w:before="0" w:after="0"/>
        <w:jc w:val="both"/>
      </w:pPr>
      <w:r>
        <w:rPr>
          <w:rFonts w:ascii="Arial" w:hAnsi="Arial" w:cs="Arial"/>
          <w:b w:val="0"/>
          <w:i w:val="0"/>
          <w:color w:val="00B050"/>
          <w:sz w:val="27"/>
        </w:rPr>
        <w:t>Presentes os pressupostos de admissibilidade, conheço parcialmente do apelo interposto.</w:t>
      </w:r>
    </w:p>
    <w:p>
      <w:pPr>
        <w:spacing w:line="360" w:lineRule="auto" w:before="0" w:after="0"/>
        <w:jc w:val="both"/>
      </w:pPr>
      <w:r>
        <w:rPr>
          <w:rFonts w:ascii="Arial" w:hAnsi="Arial" w:cs="Arial"/>
          <w:b w:val="0"/>
          <w:i w:val="0"/>
          <w:color w:val="00B050"/>
          <w:sz w:val="27"/>
        </w:rPr>
        <w:t>DA REJEIÇÃO DA PRELIMINAR DE INCOMPETÊNCIA</w:t>
      </w:r>
    </w:p>
    <w:p>
      <w:pPr>
        <w:spacing w:line="360" w:lineRule="auto" w:before="0" w:after="0"/>
        <w:jc w:val="both"/>
      </w:pPr>
      <w:r>
        <w:rPr>
          <w:rFonts w:ascii="Arial" w:hAnsi="Arial" w:cs="Arial"/>
          <w:b w:val="0"/>
          <w:i w:val="0"/>
          <w:color w:val="00B050"/>
          <w:sz w:val="27"/>
        </w:rPr>
        <w:t>A apelante, Veralucia Silva de Andrade, alega, em síntese, que a preliminar de incompetência deve ser acolhida, pois o Contrato de Construção por Empreitada Global contém cláusula compromissória de arbitragem, cuja eficácia decorre da manifestação de aceitação do aderente, devendo prevalecer o juízo arbitral à luz do art. 4º, §2º, e art. 8º da Lei 9.307/1996, (Regula a Arbitagem) bem como da jurisprudência do STJ.</w:t>
      </w:r>
    </w:p>
    <w:p>
      <w:pPr>
        <w:spacing w:line="360" w:lineRule="auto" w:before="0" w:after="0"/>
        <w:jc w:val="both"/>
      </w:pPr>
      <w:r>
        <w:rPr>
          <w:rFonts w:ascii="Arial" w:hAnsi="Arial" w:cs="Arial"/>
          <w:b w:val="0"/>
          <w:i w:val="0"/>
          <w:color w:val="00B050"/>
          <w:sz w:val="27"/>
        </w:rPr>
        <w:t>Sem razão.</w:t>
      </w:r>
    </w:p>
    <w:p>
      <w:pPr>
        <w:spacing w:line="360" w:lineRule="auto" w:before="0" w:after="0"/>
        <w:jc w:val="both"/>
      </w:pPr>
      <w:r>
        <w:rPr>
          <w:rFonts w:ascii="Arial" w:hAnsi="Arial" w:cs="Arial"/>
          <w:b w:val="0"/>
          <w:i w:val="0"/>
          <w:color w:val="00B050"/>
          <w:sz w:val="27"/>
        </w:rPr>
        <w:t>Em contratos de adesão, a cláusula compromissória só produz efeitos se houver anuência expressa e destacada do aderente, com assinatura específica no campo próprio ou em instrumento apartado (Lei 9.307/96):</w:t>
      </w:r>
    </w:p>
    <w:p>
      <w:pPr>
        <w:spacing w:line="360" w:lineRule="auto" w:before="0" w:after="0"/>
        <w:jc w:val="both"/>
      </w:pPr>
      <w:r>
        <w:rPr>
          <w:rFonts w:ascii="Arial" w:hAnsi="Arial" w:cs="Arial"/>
          <w:b w:val="0"/>
          <w:i w:val="0"/>
          <w:color w:val="00B050"/>
          <w:sz w:val="27"/>
        </w:rPr>
        <w:t>“Art. 4º A cláusula compromissória é a convenção através da qual as partes em um contrato comprometem-se a submeter à arbitragem os litígios que possam vir a surgir, relativamente a tal contrato.</w:t>
      </w:r>
    </w:p>
    <w:p>
      <w:pPr>
        <w:spacing w:line="360" w:lineRule="auto" w:before="0" w:after="0"/>
        <w:jc w:val="both"/>
      </w:pPr>
      <w:r>
        <w:rPr>
          <w:rFonts w:ascii="Arial" w:hAnsi="Arial" w:cs="Arial"/>
          <w:b w:val="0"/>
          <w:i w:val="0"/>
          <w:color w:val="00B050"/>
          <w:sz w:val="27"/>
        </w:rPr>
        <w:t>§ 1º A cláusula compromissória deve ser estipulada por escrito, podendo estar inserta no próprio contrato ou em documento apartado que a ele se refira.</w:t>
      </w:r>
    </w:p>
    <w:p>
      <w:pPr>
        <w:spacing w:line="360" w:lineRule="auto" w:before="0" w:after="0"/>
        <w:jc w:val="both"/>
      </w:pPr>
      <w:r>
        <w:rPr>
          <w:rFonts w:ascii="Arial" w:hAnsi="Arial" w:cs="Arial"/>
          <w:b w:val="0"/>
          <w:i w:val="0"/>
          <w:color w:val="00B050"/>
          <w:sz w:val="27"/>
        </w:rPr>
        <w:t>§ 2º Nos contratos de adesão, a cláusula compromissória só terá eficácia se o aderente tomar a iniciativa de instituir a arbitragem ou concordar, expressamente, com a sua instituição, desde que por escrito em documento anexo ou em negrito, com a assinatura ou visto especialmente para essa cláusula.</w:t>
      </w:r>
    </w:p>
    <w:p>
      <w:pPr>
        <w:spacing w:line="360" w:lineRule="auto" w:before="0" w:after="0"/>
        <w:jc w:val="both"/>
      </w:pPr>
      <w:r>
        <w:rPr>
          <w:rFonts w:ascii="Arial" w:hAnsi="Arial" w:cs="Arial"/>
          <w:b w:val="0"/>
          <w:i w:val="0"/>
          <w:color w:val="00B050"/>
          <w:sz w:val="27"/>
        </w:rPr>
        <w:t>(...)</w:t>
      </w:r>
    </w:p>
    <w:p>
      <w:pPr>
        <w:spacing w:line="360" w:lineRule="auto" w:before="0" w:after="0"/>
        <w:jc w:val="both"/>
      </w:pPr>
      <w:r>
        <w:rPr>
          <w:rFonts w:ascii="Arial" w:hAnsi="Arial" w:cs="Arial"/>
          <w:b w:val="0"/>
          <w:i w:val="0"/>
          <w:color w:val="00B050"/>
          <w:sz w:val="27"/>
        </w:rPr>
        <w:t>Art. 8º A cláusula compromissória é autônoma em relação ao contrato em que estiver inserta, de tal sorte que a nulidade deste não implica, necessariamente, a nulidade da cláusula compromissória.</w:t>
      </w:r>
    </w:p>
    <w:p>
      <w:pPr>
        <w:spacing w:line="360" w:lineRule="auto" w:before="0" w:after="0"/>
        <w:jc w:val="both"/>
      </w:pPr>
      <w:r>
        <w:rPr>
          <w:rFonts w:ascii="Arial" w:hAnsi="Arial" w:cs="Arial"/>
          <w:b w:val="0"/>
          <w:i w:val="0"/>
          <w:color w:val="00B050"/>
          <w:sz w:val="27"/>
        </w:rPr>
        <w:t>Parágrafo único. Caberá ao árbitro decidir de ofício, ou por provocação das partes, as questões acerca da existência, validade e eficácia da convenção de arbitragem e do contrato que contenha a cláusula compromissória.”</w:t>
      </w:r>
    </w:p>
    <w:p>
      <w:pPr>
        <w:spacing w:line="360" w:lineRule="auto" w:before="0" w:after="0"/>
        <w:jc w:val="both"/>
      </w:pPr>
      <w:r>
        <w:rPr>
          <w:rFonts w:ascii="Arial" w:hAnsi="Arial" w:cs="Arial"/>
          <w:b w:val="0"/>
          <w:i w:val="0"/>
          <w:color w:val="00B050"/>
          <w:sz w:val="27"/>
        </w:rPr>
        <w:t>No caso, é incontroverso que não houve essa assinatura, mantendo-se a competência do Poder Judiciário.</w:t>
      </w:r>
    </w:p>
    <w:p>
      <w:pPr>
        <w:spacing w:line="360" w:lineRule="auto" w:before="0" w:after="0"/>
        <w:jc w:val="both"/>
      </w:pPr>
      <w:r>
        <w:rPr>
          <w:rFonts w:ascii="Arial" w:hAnsi="Arial" w:cs="Arial"/>
          <w:b w:val="0"/>
          <w:i w:val="0"/>
          <w:color w:val="00B050"/>
          <w:sz w:val="27"/>
        </w:rPr>
        <w:t>A invocação do art. 8º da Lei 9.307/96, supracitado, não supera esse óbice porque aqui não se discute apenas o alcance da convenção, mas a própria eficácia/validade da cláusula em contrato de adesão.</w:t>
      </w:r>
    </w:p>
    <w:p>
      <w:pPr>
        <w:spacing w:line="360" w:lineRule="auto" w:before="0" w:after="0"/>
        <w:jc w:val="both"/>
      </w:pPr>
      <w:r>
        <w:rPr>
          <w:rFonts w:ascii="Arial" w:hAnsi="Arial" w:cs="Arial"/>
          <w:b w:val="0"/>
          <w:i w:val="0"/>
          <w:color w:val="00B050"/>
          <w:sz w:val="27"/>
        </w:rPr>
        <w:t>Assim, rejeito a preliminar de incompetência.</w:t>
      </w:r>
    </w:p>
    <w:p>
      <w:pPr>
        <w:spacing w:line="360" w:lineRule="auto" w:before="0" w:after="0"/>
        <w:jc w:val="both"/>
      </w:pPr>
      <w:r>
        <w:rPr>
          <w:rFonts w:ascii="Arial" w:hAnsi="Arial" w:cs="Arial"/>
          <w:b w:val="0"/>
          <w:i w:val="0"/>
          <w:color w:val="00B050"/>
          <w:sz w:val="27"/>
        </w:rPr>
        <w:t>DA INEXISTÊNCIA DE ABUSIVIDADE NA COBRANÇA DE ICC/DF E DA VINCULAÇÃO DA ADQUIRENTE ÀS CONDIÇÕES CONTRATUAIS</w:t>
      </w:r>
    </w:p>
    <w:p>
      <w:pPr>
        <w:spacing w:line="360" w:lineRule="auto" w:before="0" w:after="0"/>
        <w:jc w:val="both"/>
      </w:pPr>
      <w:r>
        <w:rPr>
          <w:rFonts w:ascii="Arial" w:hAnsi="Arial" w:cs="Arial"/>
          <w:b w:val="0"/>
          <w:i w:val="0"/>
          <w:color w:val="00B050"/>
          <w:sz w:val="27"/>
        </w:rPr>
        <w:t>A ré/apelante, Veralucia Silva de Andrade, alega, em síntese, que: 1) a relação contratual é regida pela Lei 4.591/1964 e pelo Código de Defesa do Consumidor, por se tratar de aquisição de unidade imobiliária futura em empreendimento habitacional de interesse social, cabendo reconhecer a vulnerabilidade do consumidor e aplicar a inversão do ônus da prova, o dever de informação (art. 6º, III, CDC) e as nulidades previstas no art. 51 do CDC; 2) o Termo Aditivo ao Contrato de Empreitada Global, firmado exclusivamente entre a associação e a construtora, não possui validade perante os adquirentes, pois a associação não detém poderes de representação para contrair obrigações financeiras em nome dos associados, conforme parágrafo único do art. 53 do Código Civil e precedentes do STJ que distinguem associações de sociedades; 3) houve indevida equiparação, pela sentença, entre o Ato Associativo e eventual mandato conferido à associação, embora o documento configure promessa de compra e venda e não autorize modificações contratuais posteriores; 4) a decisão recorrida desconsiderou que se trata de empreendimento subsidiado por programas habitacionais (“Casa Verde e Amarela”/“Minha Casa Minha Vida”), nos quais o financiamento da obra é garantido previamente e o incorporador deve apresentar orçamento suficiente para a conclusão da construção, não podendo transferir custos adicionais à adquirente de baixa renda; 5) a cobrança adicional de ICC/DF e encargos viola a boa-fé objetiva, o equilíbrio contratual e a própria lógica dos empreendimentos sociais, nos quais não se admite a prática de preços e reajustes típicos do mercado imobiliário comum.</w:t>
      </w:r>
    </w:p>
    <w:p>
      <w:pPr>
        <w:spacing w:line="360" w:lineRule="auto" w:before="0" w:after="0"/>
        <w:jc w:val="both"/>
      </w:pPr>
      <w:r>
        <w:rPr>
          <w:rFonts w:ascii="Arial" w:hAnsi="Arial" w:cs="Arial"/>
          <w:b w:val="0"/>
          <w:i w:val="0"/>
          <w:color w:val="00B050"/>
          <w:sz w:val="27"/>
        </w:rPr>
        <w:t>Requer a reforma integral da sentença para julgar improcedente a cobrança de atualização monetária pelo ICC/DF no período de 01/01/2021 até a entrega do habite-se, bem como a condenação da apelada ao pagamento de custas e honorários sucumbenciais.</w:t>
      </w:r>
    </w:p>
    <w:p>
      <w:pPr>
        <w:spacing w:line="360" w:lineRule="auto" w:before="0" w:after="0"/>
        <w:jc w:val="both"/>
      </w:pPr>
      <w:r>
        <w:rPr>
          <w:rFonts w:ascii="Arial" w:hAnsi="Arial" w:cs="Arial"/>
          <w:b w:val="0"/>
          <w:i w:val="0"/>
          <w:color w:val="00B050"/>
          <w:sz w:val="27"/>
        </w:rPr>
        <w:t>A r. sentença, cujos argumentos acolho, está bem fundamentada e rebate as alegações do apelo (ID 77316086):</w:t>
      </w:r>
    </w:p>
    <w:p>
      <w:pPr>
        <w:spacing w:line="360" w:lineRule="auto" w:before="0" w:after="0"/>
        <w:jc w:val="both"/>
      </w:pPr>
      <w:r>
        <w:rPr>
          <w:rFonts w:ascii="Arial" w:hAnsi="Arial" w:cs="Arial"/>
          <w:b w:val="0"/>
          <w:i w:val="0"/>
          <w:color w:val="00B050"/>
          <w:sz w:val="27"/>
        </w:rPr>
        <w:t>“(...) A partir da leitura dos autos, inconteste a legalidade e a legitimidade da previsão de cobrança e pagamento da correção monetária do Índice de Construção Civil do Distrito Federal – ICC/DF (FGV).</w:t>
      </w:r>
    </w:p>
    <w:p>
      <w:pPr>
        <w:spacing w:line="360" w:lineRule="auto" w:before="0" w:after="0"/>
        <w:jc w:val="both"/>
      </w:pPr>
      <w:r>
        <w:rPr>
          <w:rFonts w:ascii="Arial" w:hAnsi="Arial" w:cs="Arial"/>
          <w:b w:val="0"/>
          <w:i w:val="0"/>
          <w:color w:val="00B050"/>
          <w:sz w:val="27"/>
        </w:rPr>
        <w:t>Com efeito, a parte autora se desincumbiu do ônus probatório quanto à relação jurídica entre as partes, juntando contrato de compra e venda de terreno e mútuo para construção de unidade habitacional, alienação fiduciária em garantia, fiança e outras obrigações – programa casa verde e amarela (Id. 199208338), no qual a ré consta como devedora e adquirente, e a parte autora como incorporadora e construtora.</w:t>
      </w:r>
    </w:p>
    <w:p>
      <w:pPr>
        <w:spacing w:line="360" w:lineRule="auto" w:before="0" w:after="0"/>
        <w:jc w:val="both"/>
      </w:pPr>
      <w:r>
        <w:rPr>
          <w:rFonts w:ascii="Arial" w:hAnsi="Arial" w:cs="Arial"/>
          <w:b w:val="0"/>
          <w:i w:val="0"/>
          <w:color w:val="00B050"/>
          <w:sz w:val="27"/>
        </w:rPr>
        <w:t>O referido contrato estabelece obrigações da parte ré diretamente com a parte autora, havendo relação jurídica contratual direta entre as partes, conforme pactuado entre elas e com a cooperativa organizadora.</w:t>
      </w:r>
    </w:p>
    <w:p>
      <w:pPr>
        <w:spacing w:line="360" w:lineRule="auto" w:before="0" w:after="0"/>
        <w:jc w:val="both"/>
      </w:pPr>
      <w:r>
        <w:rPr>
          <w:rFonts w:ascii="Arial" w:hAnsi="Arial" w:cs="Arial"/>
          <w:b w:val="0"/>
          <w:i w:val="0"/>
          <w:color w:val="00B050"/>
          <w:sz w:val="27"/>
        </w:rPr>
        <w:t>Ademais, as verbas cobradas estão devidamente discriminadas no contrato de construção por empreitada global pactuado com a Associação (cláusula sexta, parágrafos segundo e terceiro, alíneas a e b – Id. 199208336 - Págs. 7 e 8), bem como no Primeiro Termo Aditivo ao Contrato de empreitada Global de Id. 199216116, na cláusula primeira. A parte ré, por sua vez, adquiriu a unidade na qualidade de associada, aderindo as condições estabelecidas para a construção.</w:t>
      </w:r>
    </w:p>
    <w:p>
      <w:pPr>
        <w:spacing w:line="360" w:lineRule="auto" w:before="0" w:after="0"/>
        <w:jc w:val="both"/>
      </w:pPr>
      <w:r>
        <w:rPr>
          <w:rFonts w:ascii="Arial" w:hAnsi="Arial" w:cs="Arial"/>
          <w:b w:val="0"/>
          <w:i w:val="0"/>
          <w:color w:val="00B050"/>
          <w:sz w:val="27"/>
        </w:rPr>
        <w:t>Assim, a parte autora desincumbiu-se do ônus da prova dos fatos que alega, nos termos do artigo 373, I, do CPC.</w:t>
      </w:r>
    </w:p>
    <w:p>
      <w:pPr>
        <w:spacing w:line="360" w:lineRule="auto" w:before="0" w:after="0"/>
        <w:jc w:val="both"/>
      </w:pPr>
      <w:r>
        <w:rPr>
          <w:rFonts w:ascii="Arial" w:hAnsi="Arial" w:cs="Arial"/>
          <w:b w:val="0"/>
          <w:i w:val="0"/>
          <w:color w:val="00B050"/>
          <w:sz w:val="27"/>
        </w:rPr>
        <w:t>À parte ré, por sua vez, compete demonstrar fatos modificativos, extintivos ou impeditivos do direito autoral. A parte requerida pode alegar e provar em contestação a existência de pagamento, ou qualquer outra forma de adimplemento indireto (compensação, confusão, remissão, dação em pagamento, etc.).</w:t>
      </w:r>
    </w:p>
    <w:p>
      <w:pPr>
        <w:spacing w:line="360" w:lineRule="auto" w:before="0" w:after="0"/>
        <w:jc w:val="both"/>
      </w:pPr>
      <w:r>
        <w:rPr>
          <w:rFonts w:ascii="Arial" w:hAnsi="Arial" w:cs="Arial"/>
          <w:b w:val="0"/>
          <w:i w:val="0"/>
          <w:color w:val="00B050"/>
          <w:sz w:val="27"/>
        </w:rPr>
        <w:t>No caso, não logrou êxito em provar fato que afaste o direito da parte autora.</w:t>
      </w:r>
    </w:p>
    <w:p>
      <w:pPr>
        <w:spacing w:line="360" w:lineRule="auto" w:before="0" w:after="0"/>
        <w:jc w:val="both"/>
      </w:pPr>
      <w:r>
        <w:rPr>
          <w:rFonts w:ascii="Arial" w:hAnsi="Arial" w:cs="Arial"/>
          <w:b w:val="0"/>
          <w:i w:val="0"/>
          <w:color w:val="00B050"/>
          <w:sz w:val="27"/>
        </w:rPr>
        <w:t>Assim não há que se falar que a cobrança é indevida, porquanto é válida a alteração contratual estipulada pelo aludido Termo Aditivo firmado entre a parte autora e a ASSOCIAÇÃO DO CONJUNTO FILADELFIA - CF, em 20/12/2021, – Id. 199216116, a qual, inclusive, encontrava-se já vigente na época da celebração do contrato de financiamento junto à CEF, que ocorreu em 29/03/2022 (ID 199208338).</w:t>
      </w:r>
    </w:p>
    <w:p>
      <w:pPr>
        <w:spacing w:line="360" w:lineRule="auto" w:before="0" w:after="0"/>
        <w:jc w:val="both"/>
      </w:pPr>
      <w:r>
        <w:rPr>
          <w:rFonts w:ascii="Arial" w:hAnsi="Arial" w:cs="Arial"/>
          <w:b w:val="0"/>
          <w:i w:val="0"/>
          <w:color w:val="00B050"/>
          <w:sz w:val="27"/>
        </w:rPr>
        <w:t>(...)</w:t>
      </w:r>
    </w:p>
    <w:p>
      <w:pPr>
        <w:spacing w:line="360" w:lineRule="auto" w:before="0" w:after="0"/>
        <w:jc w:val="both"/>
      </w:pPr>
      <w:r>
        <w:rPr>
          <w:rFonts w:ascii="Arial" w:hAnsi="Arial" w:cs="Arial"/>
          <w:b w:val="0"/>
          <w:i w:val="0"/>
          <w:color w:val="00B050"/>
          <w:sz w:val="27"/>
        </w:rPr>
        <w:t>Ademais, a cobrança da correção monetária do ICC/DF é uma prática legítima e amplamente utilizada no setor de construção civil para ajustar os valores contratados à variação dos custos de insumos e serviços, fitando preservar o equilíbrio econômico-financeiro do contrato. Tal medida é essencial para que o valor pactuado reflita as condições econômicas reais ao longo do tempo, garantindo a justa remuneração do fornecedor e evitando desequilíbrios contratuais.</w:t>
      </w:r>
    </w:p>
    <w:p>
      <w:pPr>
        <w:spacing w:line="360" w:lineRule="auto" w:before="0" w:after="0"/>
        <w:jc w:val="both"/>
      </w:pPr>
      <w:r>
        <w:rPr>
          <w:rFonts w:ascii="Arial" w:hAnsi="Arial" w:cs="Arial"/>
          <w:b w:val="0"/>
          <w:i w:val="0"/>
          <w:color w:val="00B050"/>
          <w:sz w:val="27"/>
        </w:rPr>
        <w:t>Desta forma, denota-se que o reajuste em debate não pode ser traduzido como uma prática abusiva que resulta em um ônus excessivo a ser suportado pelo consumidor, pois é, em verdade, uma medida necessária para garantir que o valor pactuado reflita as condições econômicas reais ao longo do tempo, preservando a manutenção do equilíbrio econômico-financeiro da relação contratual firmada entre as partes.</w:t>
      </w:r>
    </w:p>
    <w:p>
      <w:pPr>
        <w:spacing w:line="360" w:lineRule="auto" w:before="0" w:after="0"/>
        <w:jc w:val="both"/>
      </w:pPr>
      <w:r>
        <w:rPr>
          <w:rFonts w:ascii="Arial" w:hAnsi="Arial" w:cs="Arial"/>
          <w:b w:val="0"/>
          <w:i w:val="0"/>
          <w:color w:val="00B050"/>
          <w:sz w:val="27"/>
        </w:rPr>
        <w:t>No mais, quanto aos encargos mensais cobrados pela construtora autora, diante da previsão contratual de que a construtora responde pela inadimplência do associado adquirente dos valores cobrados a título de “Encargo Mensal do Devedor”, na qualidade de fiadora e, dada a comprovação, mediante planilha dos associados inadimplentes (ID. 199208340), demonstrando que custeou o pagamento de tais encargos, decorrente da inadimplência da parte demandada, aliado ao fato de que não houve prova em sentido contrário, no sentido de a requerida ter feito tais pagamentos – ônus probatório que lhe cabia -, mostra-se, portanto, cabível o ressarcimento de tais quantias conforme pretendido pelo autor.</w:t>
      </w:r>
    </w:p>
    <w:p>
      <w:pPr>
        <w:spacing w:line="360" w:lineRule="auto" w:before="0" w:after="0"/>
        <w:jc w:val="both"/>
      </w:pPr>
      <w:r>
        <w:rPr>
          <w:rFonts w:ascii="Arial" w:hAnsi="Arial" w:cs="Arial"/>
          <w:b w:val="0"/>
          <w:i w:val="0"/>
          <w:color w:val="00B050"/>
          <w:sz w:val="27"/>
        </w:rPr>
        <w:t>Desta forma, uma vez que houve parcelas adimplidas pela autora/fiadora, evidente que a autora deve ser ressarcida pelo pagamento destes encargos mensais. (...)” (Grifei)</w:t>
      </w:r>
    </w:p>
    <w:p>
      <w:pPr>
        <w:spacing w:line="360" w:lineRule="auto" w:before="0" w:after="0"/>
        <w:jc w:val="both"/>
      </w:pPr>
      <w:r>
        <w:rPr>
          <w:rFonts w:ascii="Arial" w:hAnsi="Arial" w:cs="Arial"/>
          <w:b w:val="0"/>
          <w:i w:val="0"/>
          <w:color w:val="00B050"/>
          <w:sz w:val="27"/>
        </w:rPr>
        <w:t>Não prosperam, portanto, as alegações de nulidade do termo aditivo, de ausência de poderes da associação e de abusividade da cobrança do ICC/DF.</w:t>
      </w:r>
    </w:p>
    <w:p>
      <w:pPr>
        <w:spacing w:line="360" w:lineRule="auto" w:before="0" w:after="0"/>
        <w:jc w:val="both"/>
      </w:pPr>
      <w:r>
        <w:rPr>
          <w:rFonts w:ascii="Arial" w:hAnsi="Arial" w:cs="Arial"/>
          <w:b w:val="0"/>
          <w:i w:val="0"/>
          <w:color w:val="00B050"/>
          <w:sz w:val="27"/>
        </w:rPr>
        <w:t>Como assentado na sentença, a ré/apelante, Veralucia Silva de Andrade, aderiu ao arranjo contratual do empreendimento na condição de associada e adquirente, havendo previsão expressa das verbas exigidas, inclusive no contrato de empreitada global e em seu aditivo, já vigente quando da celebração do financiamento com a CEF.</w:t>
      </w:r>
    </w:p>
    <w:p>
      <w:pPr>
        <w:spacing w:line="360" w:lineRule="auto" w:before="0" w:after="0"/>
        <w:jc w:val="both"/>
      </w:pPr>
      <w:r>
        <w:rPr>
          <w:rFonts w:ascii="Arial" w:hAnsi="Arial" w:cs="Arial"/>
          <w:b w:val="0"/>
          <w:i w:val="0"/>
          <w:color w:val="00B050"/>
          <w:sz w:val="27"/>
        </w:rPr>
        <w:t>Nesse contexto, não se evidencia violação ao dever de informação, tampouco desequilíbrio contratual apto a afastar a atualização monetária, a qual se destina à preservação do equilíbrio econômico-financeiro da avença.</w:t>
      </w:r>
    </w:p>
    <w:p>
      <w:pPr>
        <w:spacing w:line="360" w:lineRule="auto" w:before="0" w:after="0"/>
        <w:jc w:val="both"/>
      </w:pPr>
      <w:r>
        <w:rPr>
          <w:rFonts w:ascii="Arial" w:hAnsi="Arial" w:cs="Arial"/>
          <w:b w:val="0"/>
          <w:i w:val="0"/>
          <w:color w:val="00B050"/>
          <w:sz w:val="27"/>
        </w:rPr>
        <w:t>Nesse sentido:</w:t>
      </w:r>
    </w:p>
    <w:p>
      <w:pPr>
        <w:spacing w:line="360" w:lineRule="auto" w:before="0" w:after="0"/>
        <w:jc w:val="both"/>
      </w:pPr>
      <w:r>
        <w:rPr>
          <w:rFonts w:ascii="Arial" w:hAnsi="Arial" w:cs="Arial"/>
          <w:b w:val="0"/>
          <w:i w:val="0"/>
          <w:color w:val="00B050"/>
          <w:sz w:val="27"/>
        </w:rPr>
        <w:t>“(...) 3. Não há qualquer abusividade praticada pela construtora na cobrança de reajuste do valor referente à unidade residencial pelo INDÍCE DE CONSTRUÇÃO CIVIL – ICC, porquanto restou expressamente prevista a sua incidência em contrato e tendo em vista que a Associação tem poderes plenos para firmar o Termo aditivo, ante o ato voluntário da consumidora em associar-se a instituição.(...)”</w:t>
      </w:r>
    </w:p>
    <w:p>
      <w:pPr>
        <w:spacing w:line="360" w:lineRule="auto" w:before="0" w:after="0"/>
        <w:jc w:val="both"/>
      </w:pPr>
      <w:r>
        <w:rPr>
          <w:rFonts w:ascii="Arial" w:hAnsi="Arial" w:cs="Arial"/>
          <w:b w:val="0"/>
          <w:i w:val="0"/>
          <w:color w:val="00B050"/>
          <w:sz w:val="27"/>
        </w:rPr>
        <w:t>(Acórdão 2090096, 0702564-72.2024.8.07.0009, Relator(a): ROBSON BARBOSA DE AZEVEDO, 7ª TURMA CÍVEL, data de julgamento: 11/02/2026, publicado no DJe: 03/03/2026.)</w:t>
      </w:r>
    </w:p>
    <w:p>
      <w:pPr>
        <w:spacing w:line="360" w:lineRule="auto" w:before="0" w:after="0"/>
        <w:jc w:val="both"/>
      </w:pPr>
      <w:r>
        <w:rPr>
          <w:rFonts w:ascii="Arial" w:hAnsi="Arial" w:cs="Arial"/>
          <w:b/>
          <w:i w:val="0"/>
          <w:color w:val="00B050"/>
          <w:sz w:val="27"/>
        </w:rPr>
        <w:t>DISPOSITIVO</w:t>
      </w:r>
    </w:p>
    <w:p>
      <w:pPr>
        <w:spacing w:line="360" w:lineRule="auto" w:before="0" w:after="0"/>
        <w:jc w:val="both"/>
      </w:pPr>
      <w:r>
        <w:rPr>
          <w:rFonts w:ascii="Arial" w:hAnsi="Arial" w:cs="Arial"/>
          <w:b w:val="0"/>
          <w:i w:val="0"/>
          <w:color w:val="00B050"/>
          <w:sz w:val="27"/>
        </w:rPr>
        <w:t>Ante o exposto, conheço parcialmente do apelo interposto pela ré, Veralucia Silva de Andrade, e, na parte conhecida, rejeito a preliminar de incompetência e nego-lhe provimento.</w:t>
      </w:r>
    </w:p>
    <w:p>
      <w:pPr>
        <w:spacing w:line="360" w:lineRule="auto" w:before="0" w:after="0"/>
        <w:jc w:val="both"/>
      </w:pPr>
      <w:r>
        <w:rPr>
          <w:rFonts w:ascii="Arial" w:hAnsi="Arial" w:cs="Arial"/>
          <w:b w:val="0"/>
          <w:i w:val="0"/>
          <w:color w:val="00B050"/>
          <w:sz w:val="27"/>
        </w:rPr>
        <w:t>Fixo os honorários advocatícios recursais em 2% do valor da causa (CPC 85 §§ 1º 11), somando-se ao percentual fixado na r. sentença, os quais suspendo devido à gratuidade de justiça concedida.</w:t>
      </w:r>
    </w:p>
    <w:p>
      <w:pPr>
        <w:spacing w:line="360" w:lineRule="auto" w:before="0" w:after="0"/>
        <w:jc w:val="both"/>
      </w:pPr>
      <w:r>
        <w:rPr>
          <w:rFonts w:ascii="Arial" w:hAnsi="Arial" w:cs="Arial"/>
          <w:b w:val="0"/>
          <w:i w:val="0"/>
          <w:color w:val="00B050"/>
          <w:sz w:val="27"/>
        </w:rPr>
        <w:t>É como voto.</w:t>
      </w:r>
    </w:p>
    <w:p>
      <w:pPr>
        <w:spacing w:line="360" w:lineRule="auto" w:before="0" w:after="0"/>
        <w:jc w:val="both"/>
      </w:pPr>
      <w:r>
        <w:rPr>
          <w:rFonts w:ascii="Arial" w:hAnsi="Arial" w:cs="Arial"/>
          <w:b w:val="0"/>
          <w:i w:val="0"/>
          <w:color w:val="00B050"/>
          <w:sz w:val="27"/>
        </w:rPr>
        <w:t>O Senhor Desembargador MARIO-ZAM BELMIRO - 1º Vogal Com o(a) relator(a) O Senhor Desembargador ROBERVAL CASEMIRO BELINATI - 2º Vogal Com o(a) relator(a)</w:t>
      </w:r>
    </w:p>
    <w:p>
      <w:pPr>
        <w:spacing w:line="360" w:lineRule="auto" w:before="0" w:after="0"/>
        <w:jc w:val="both"/>
      </w:pPr>
      <w:r>
        <w:rPr>
          <w:rFonts w:ascii="Arial" w:hAnsi="Arial" w:cs="Arial"/>
          <w:b w:val="0"/>
          <w:i w:val="0"/>
          <w:color w:val="00B050"/>
          <w:sz w:val="27"/>
        </w:rPr>
        <w:t>DECISÃO</w:t>
      </w:r>
    </w:p>
    <w:p>
      <w:pPr>
        <w:spacing w:line="360" w:lineRule="auto" w:before="0" w:after="0"/>
        <w:jc w:val="both"/>
      </w:pPr>
      <w:r>
        <w:rPr>
          <w:rFonts w:ascii="Arial" w:hAnsi="Arial" w:cs="Arial"/>
          <w:b w:val="0"/>
          <w:i w:val="0"/>
          <w:color w:val="00B050"/>
          <w:sz w:val="27"/>
        </w:rPr>
        <w:t>CONHECER EM PARTE DO RECURSO E, NA PARTE CONHECIDA, REJEITAR A PRELIMINAR DE INCOMPETÊNCIA E NEGAR-LHE PROVIMENTO. UNÂNIME</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inuta GDSXSR" w:initials="MG" w:date="2026-10-30T16:48:20Z">
    <w:p>
      <w:pPr>
        <w:pStyle w:val="CommentText"/>
      </w:pPr>
      <w:r>
        <w:rPr>
          <w:rStyle w:val="CommentReference"/>
        </w:rPr>
        <w:annotationRef/>
      </w:r>
      <w:r>
        <w:t>MINUTA GDSXSR — Classe real conferida nos autos: EMD contra o acórdão 2142077 (ID 86261818). Autos completos, sem peça faltante. Embargos (ID 86860672) e contrarrazões (ID 87774886) tempestivos, conforme a certidão e o despacho dos autos. Modelos consultados: EMD 0702574-19, 0720510-92, 0707086-22 e 0703926-84. C-73: como não há tese nova além do pedido de IRDR, EMD mais leve poderia servir de modelo; a escolha é de Marcos.</w:t>
      </w:r>
    </w:p>
  </w:comment>
  <w:comment w:id="1" w:author="Minuta GDSXSR" w:initials="MG" w:date="2026-10-30T16:48:20Z">
    <w:p>
      <w:pPr>
        <w:pStyle w:val="CommentText"/>
      </w:pPr>
      <w:r>
        <w:rPr>
          <w:rStyle w:val="CommentReference"/>
        </w:rPr>
        <w:annotationRef/>
      </w:r>
      <w:r>
        <w:t>MINUTA GDSXSR — Processo, relator, turma e data de julgamento dos Acórdãos 1975058 e 2090096 foram conferidos no iajus. O DJe foi extraído do acórdão embargado e não foi conferido na fonte oficial. Pendência: Marcos confere o DJe no JurisDF.</w:t>
      </w:r>
    </w:p>
  </w:comment>
  <w:comment w:id="2" w:author="Minuta GDSXSR" w:initials="MG" w:date="2026-10-30T16:48:20Z">
    <w:p>
      <w:pPr>
        <w:pStyle w:val="CommentText"/>
      </w:pPr>
      <w:r>
        <w:rPr>
          <w:rStyle w:val="CommentReference"/>
        </w:rPr>
        <w:annotationRef/>
      </w:r>
      <w:r>
        <w:t>MINUTA GDSXSR — Texto literal (C-63). CDC 2: "Consumidor é toda pessoa física ou jurídica que adquire ou utiliza produto ou serviço como destinatário final." CDC 3: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 CDC 29: "Para os fins deste Capítulo e do seguinte, equiparam-se aos consumidores todas as pessoas determináveis ou não, expostas às práticas nele previstas." CDC 39, V: "exigir do consumidor vantagem manifestamente excessiva". CDC 42, parágrafo único: "O consumidor cobrado em quantia indevida tem direito à repetição do indébito, por valor igual ao dobro do que pagou em excesso, acrescido de correção monetária e juros legais, salvo hipótese de engano justificável."</w:t>
      </w:r>
    </w:p>
  </w:comment>
  <w:comment w:id="3" w:author="Minuta GDSXSR" w:initials="MG" w:date="2026-10-30T16:48:20Z">
    <w:p>
      <w:pPr>
        <w:pStyle w:val="CommentText"/>
      </w:pPr>
      <w:r>
        <w:rPr>
          <w:rStyle w:val="CommentReference"/>
        </w:rPr>
        <w:annotationRef/>
      </w:r>
      <w:r>
        <w:t>MINUTA GDSXSR — Conferido nos autos: o apelo (ID 77316089) invoca CDC 2, 3, 6 III e 51; os arts. 29, 39 V e 42 parágrafo único do CDC e os acórdãos divergentes só aparecem nos embargos. Texto literal do CPC 489 § 1º, IV: "não enfrentar todos os argumentos deduzidos no processo capazes de, em tese, infirmar a conclusão adotada pelo julgador"; VI: "deixar de seguir enunciado de súmula, jurisprudência ou precedente invocado pela parte, sem demonstrar a existência de distinção no caso em julgamento ou a superação do entendimento".</w:t>
      </w:r>
    </w:p>
  </w:comment>
  <w:comment w:id="4" w:author="Minuta GDSXSR" w:initials="MG" w:date="2026-10-30T16:48:20Z">
    <w:p>
      <w:pPr>
        <w:pStyle w:val="CommentText"/>
      </w:pPr>
      <w:r>
        <w:rPr>
          <w:rStyle w:val="CommentReference"/>
        </w:rPr>
        <w:annotationRef/>
      </w:r>
      <w:r>
        <w:t>MINUTA GDSXSR — Texto literal do CPC 926: "Os tribunais devem uniformizar sua jurisprudência e mantê-la estável, íntegra e coerente." Pendência: os Acórdãos 2112724 (3ª Turma, proc. 0709838-87) e 2138044 (2ª Turma, proc. 0709134-74) indicados nos embargos não foram localizados no iajus após as tentativas de C-72; por isso o voto os trata só pela descrição dos embargos. Os julgados verificados (0714331-10 e 0710747-32) tratam de terreno e energia. Possível precedente contrário (CC 53, parágrafo único) não foi incluído por falta de conferência.</w:t>
      </w:r>
    </w:p>
  </w:comment>
  <w:comment w:id="5" w:author="Minuta GDSXSR" w:initials="MG" w:date="2026-10-30T16:48:20Z">
    <w:p>
      <w:pPr>
        <w:pStyle w:val="CommentText"/>
      </w:pPr>
      <w:r>
        <w:rPr>
          <w:rStyle w:val="CommentReference"/>
        </w:rPr>
        <w:annotationRef/>
      </w:r>
      <w:r>
        <w:t>MINUTA GDSXSR — Não há padrão de IRDR em EMD nos modelos do Drive; a redação deste capítulo é a mínima que decorre do CPC e precisa de decisão de Marcos. Texto literal do CPC 976: "É cabível a instauração do incidente de resolução de demandas repetitivas quando houver, simultaneamente: I - efetiva repetição de processos que contenham controvérsia sobre a mesma questão unicamente de direito; II - risco de ofensa à isonomia e à segurança jurídica." CPC 977: "O pedido de instauração do incidente será dirigido ao presidente de tribunal: I - pelo juiz ou relator, por ofício; II - pelas partes, por petição; III - pelo Ministério Público ou pela Defensoria Pública, por petição." Fundamento adotado: o pedido não é hipótese do CPC 1.022 e não se justifica de ofício, pois a repetição de processos sobre a mesma questão não foi demonstrada.</w:t>
      </w:r>
    </w:p>
  </w:comment>
  <w:comment w:id="6" w:author="Minuta GDSXSR" w:initials="MG" w:date="2026-10-30T16:48:20Z">
    <w:p>
      <w:pPr>
        <w:pStyle w:val="CommentText"/>
      </w:pPr>
      <w:r>
        <w:rPr>
          <w:rStyle w:val="CommentReference"/>
        </w:rPr>
        <w:annotationRef/>
      </w:r>
      <w:r>
        <w:t>MINUTA GDSXSR — A determinação à secretaria segue a fórmula do modelo EMD 0702574-19. A procuração (ID 86860674) e a revogação (ID 86860675) não alcançam o advogado Brendol Furletti (OAB/DF 71.776); por isso o voto manda registrar só o nome de Murilo Martins de Andrade. Marcos confirma. O prefixo "10" do nome do arquivo é suposição.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2"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