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asks.xml" ContentType="application/vnd.ms-office.documenttask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xmlns:wp14="http://schemas.microsoft.com/office/word/2010/wordml" w:rsidTr="7A6EA4F2" w14:paraId="32AA7D4D" wp14:textId="77777777">
        <w:tc>
          <w:tcPr>
            <w:tcW w:w="2608" w:type="dxa"/>
            <w:tcMar/>
            <w:vAlign w:val="center"/>
          </w:tcPr>
          <w:p w14:paraId="672A6659" wp14:textId="77777777">
            <w:pPr>
              <w:spacing w:line="240" w:lineRule="auto"/>
              <w:jc w:val="center"/>
            </w:pPr>
            <w:r w:rsidR="7A6EA4F2">
              <w:drawing>
                <wp:inline xmlns:wp14="http://schemas.microsoft.com/office/word/2010/wordprocessingDrawing" wp14:editId="3625830C" wp14:anchorId="7C4C8523">
                  <wp:extent cx="1512000" cy="426918"/>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timbre.png"/>
                          <pic:cNvPicPr/>
                        </pic:nvPicPr>
                        <pic:blipFill>
                          <a:blip xmlns:r="http://schemas.openxmlformats.org/officeDocument/2006/relationships" r:embed="rId10"/>
                          <a:stretch>
                            <a:fillRect/>
                          </a:stretch>
                        </pic:blipFill>
                        <pic:spPr>
                          <a:xfrm>
                            <a:off x="0" y="0"/>
                            <a:ext cx="1512000" cy="426918"/>
                          </a:xfrm>
                          <a:prstGeom prst="rect"/>
                        </pic:spPr>
                      </pic:pic>
                    </a:graphicData>
                  </a:graphic>
                </wp:inline>
              </w:drawing>
            </w:r>
          </w:p>
        </w:tc>
        <w:tc>
          <w:tcPr>
            <w:tcW w:w="5896" w:type="dxa"/>
            <w:tcMar/>
            <w:vAlign w:val="center"/>
          </w:tcPr>
          <w:p w14:paraId="056807CB" wp14:textId="77777777">
            <w:pPr>
              <w:spacing w:before="0" w:after="0" w:line="240" w:lineRule="auto"/>
              <w:jc w:val="left"/>
            </w:pPr>
            <w:r>
              <w:rPr>
                <w:b/>
                <w:color w:val="000000"/>
                <w:sz w:val="24"/>
              </w:rPr>
              <w:t>Poder Judiciário da União</w:t>
            </w:r>
          </w:p>
          <w:p w14:paraId="0C21EA25" wp14:textId="77777777">
            <w:pPr>
              <w:spacing w:before="0" w:after="0" w:line="240" w:lineRule="auto"/>
              <w:jc w:val="left"/>
            </w:pPr>
            <w:r>
              <w:rPr>
                <w:b w:val="0"/>
                <w:color w:val="000000"/>
                <w:sz w:val="22"/>
              </w:rPr>
              <w:t>Tribunal de Justiça do Distrito Federal e dos Territórios</w:t>
            </w:r>
          </w:p>
          <w:p w14:paraId="5F994615" wp14:textId="77777777">
            <w:pPr>
              <w:spacing w:before="0" w:after="0" w:line="240" w:lineRule="auto"/>
              <w:jc w:val="left"/>
            </w:pPr>
            <w:r>
              <w:rPr>
                <w:b w:val="0"/>
                <w:color w:val="000000"/>
                <w:sz w:val="22"/>
              </w:rPr>
              <w:t>GDSXSR</w:t>
            </w:r>
          </w:p>
          <w:p w14:paraId="51F8A651" wp14:textId="77777777">
            <w:pPr>
              <w:spacing w:before="0" w:after="0" w:line="240" w:lineRule="auto"/>
              <w:jc w:val="left"/>
            </w:pPr>
            <w:r>
              <w:rPr>
                <w:b w:val="0"/>
                <w:color w:val="000000"/>
                <w:sz w:val="22"/>
              </w:rPr>
              <w:t>GABINETE DO DESEMBARGADOR SÉRGIO ROCHA</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5839"/>
      </w:tblGrid>
      <w:tr xmlns:wp14="http://schemas.microsoft.com/office/word/2010/wordml" w:rsidTr="7A6EA4F2" w14:paraId="443659CF" wp14:textId="77777777">
        <w:tc>
          <w:tcPr>
            <w:tcW w:w="2268" w:type="dxa"/>
            <w:tcMar/>
          </w:tcPr>
          <w:p w14:paraId="6F66D78F" wp14:textId="77777777">
            <w:pPr>
              <w:spacing w:before="0" w:after="0" w:line="360" w:lineRule="auto"/>
              <w:jc w:val="left"/>
            </w:pPr>
            <w:r>
              <w:rPr>
                <w:b w:val="0"/>
                <w:i w:val="0"/>
                <w:color w:val="000000"/>
                <w:sz w:val="24"/>
              </w:rPr>
              <w:t>Órgão</w:t>
            </w:r>
          </w:p>
        </w:tc>
        <w:tc>
          <w:tcPr>
            <w:tcW w:w="397" w:type="dxa"/>
            <w:tcMar/>
          </w:tcPr>
          <w:p w14:paraId="2127E81B"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7BC8F9EF" wp14:textId="77777777">
            <w:pPr>
              <w:spacing w:before="0" w:after="0" w:line="360" w:lineRule="auto"/>
              <w:jc w:val="left"/>
            </w:pPr>
            <w:commentRangeStart w:id="0"/>
            <w:commentRangeStart w:id="295744808"/>
            <w:commentRangeStart w:id="2008684976"/>
            <w:r>
              <w:rPr>
                <w:b w:val="0"/>
                <w:i w:val="0"/>
                <w:color w:val="000000"/>
                <w:sz w:val="24"/>
              </w:rPr>
              <w:t>4ª Turma Cível</w:t>
            </w:r>
            <w:commentRangeEnd w:id="0"/>
            <w:r>
              <w:rPr>
                <w:rStyle w:val="CommentReference"/>
              </w:rPr>
              <w:commentReference w:id="0"/>
            </w:r>
            <w:commentRangeEnd w:id="295744808"/>
            <w:r>
              <w:rPr>
                <w:rStyle w:val="CommentReference"/>
              </w:rPr>
              <w:commentReference w:id="295744808"/>
            </w:r>
            <w:commentRangeEnd w:id="2008684976"/>
            <w:r>
              <w:rPr>
                <w:rStyle w:val="CommentReference"/>
              </w:rPr>
              <w:commentReference w:id="2008684976"/>
            </w:r>
          </w:p>
        </w:tc>
      </w:tr>
      <w:tr xmlns:wp14="http://schemas.microsoft.com/office/word/2010/wordml" w:rsidTr="7A6EA4F2" w14:paraId="2314F5FD" wp14:textId="77777777">
        <w:tc>
          <w:tcPr>
            <w:tcW w:w="2268" w:type="dxa"/>
            <w:tcMar/>
          </w:tcPr>
          <w:p w14:paraId="671FE9FF" wp14:textId="77777777">
            <w:pPr>
              <w:spacing w:before="0" w:after="0" w:line="360" w:lineRule="auto"/>
              <w:jc w:val="left"/>
            </w:pPr>
            <w:r>
              <w:rPr>
                <w:b w:val="0"/>
                <w:i w:val="0"/>
                <w:color w:val="000000"/>
                <w:sz w:val="24"/>
              </w:rPr>
              <w:t>Classe</w:t>
            </w:r>
          </w:p>
        </w:tc>
        <w:tc>
          <w:tcPr>
            <w:tcW w:w="397" w:type="dxa"/>
            <w:tcMar/>
          </w:tcPr>
          <w:p w14:paraId="67A8245E"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45598A79" wp14:textId="77777777">
            <w:pPr>
              <w:spacing w:before="0" w:after="0" w:line="360" w:lineRule="auto"/>
              <w:jc w:val="left"/>
            </w:pPr>
            <w:r w:rsidRPr="7A6EA4F2" w:rsidR="7A6EA4F2">
              <w:rPr>
                <w:b w:val="0"/>
                <w:bCs w:val="0"/>
                <w:i w:val="0"/>
                <w:iCs w:val="0"/>
                <w:color w:val="000000" w:themeColor="text1" w:themeTint="FF" w:themeShade="FF"/>
                <w:sz w:val="24"/>
                <w:szCs w:val="24"/>
              </w:rPr>
              <w:t>Agravo de Instrumento</w:t>
            </w:r>
          </w:p>
        </w:tc>
      </w:tr>
      <w:tr xmlns:wp14="http://schemas.microsoft.com/office/word/2010/wordml" w:rsidTr="7A6EA4F2" w14:paraId="5BDF8430" wp14:textId="77777777">
        <w:tc>
          <w:tcPr>
            <w:tcW w:w="2268" w:type="dxa"/>
            <w:tcMar/>
          </w:tcPr>
          <w:p w14:paraId="7386709D" wp14:textId="77777777">
            <w:pPr>
              <w:spacing w:before="0" w:after="0" w:line="360" w:lineRule="auto"/>
              <w:jc w:val="left"/>
            </w:pPr>
            <w:r>
              <w:rPr>
                <w:b w:val="0"/>
                <w:i w:val="0"/>
                <w:color w:val="000000"/>
                <w:sz w:val="24"/>
              </w:rPr>
              <w:t>Processo nº</w:t>
            </w:r>
          </w:p>
        </w:tc>
        <w:tc>
          <w:tcPr>
            <w:tcW w:w="397" w:type="dxa"/>
            <w:tcMar/>
          </w:tcPr>
          <w:p w14:paraId="56A8759A"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762AC99E" wp14:textId="77777777">
            <w:pPr>
              <w:spacing w:before="0" w:after="0" w:line="360" w:lineRule="auto"/>
              <w:jc w:val="left"/>
            </w:pPr>
            <w:r w:rsidRPr="7A6EA4F2" w:rsidR="7A6EA4F2">
              <w:rPr>
                <w:b w:val="0"/>
                <w:bCs w:val="0"/>
                <w:i w:val="0"/>
                <w:iCs w:val="0"/>
                <w:color w:val="000000" w:themeColor="text1" w:themeTint="FF" w:themeShade="FF"/>
                <w:sz w:val="24"/>
                <w:szCs w:val="24"/>
              </w:rPr>
              <w:t>0735769-51.2026.8.07.0000</w:t>
            </w:r>
          </w:p>
        </w:tc>
      </w:tr>
      <w:tr xmlns:wp14="http://schemas.microsoft.com/office/word/2010/wordml" w:rsidTr="7A6EA4F2" w14:paraId="09A71FFC" wp14:textId="77777777">
        <w:tc>
          <w:tcPr>
            <w:tcW w:w="2268" w:type="dxa"/>
            <w:tcMar/>
          </w:tcPr>
          <w:p w14:paraId="15901F2C" wp14:textId="77777777">
            <w:pPr>
              <w:spacing w:before="0" w:after="0" w:line="360" w:lineRule="auto"/>
              <w:jc w:val="left"/>
            </w:pPr>
            <w:r>
              <w:rPr>
                <w:b w:val="0"/>
                <w:i w:val="0"/>
                <w:color w:val="000000"/>
                <w:sz w:val="24"/>
              </w:rPr>
              <w:t>Agravante (s)</w:t>
            </w:r>
          </w:p>
        </w:tc>
        <w:tc>
          <w:tcPr>
            <w:tcW w:w="397" w:type="dxa"/>
            <w:tcMar/>
          </w:tcPr>
          <w:p w14:paraId="18329EB3"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692CFCBD" wp14:textId="77777777">
            <w:pPr>
              <w:spacing w:before="0" w:after="0" w:line="360" w:lineRule="auto"/>
              <w:jc w:val="left"/>
            </w:pPr>
            <w:commentRangeStart w:id="3"/>
            <w:r>
              <w:rPr>
                <w:b w:val="0"/>
                <w:i w:val="0"/>
                <w:color w:val="000000"/>
                <w:sz w:val="24"/>
              </w:rPr>
              <w:t>DANILO RAFAEL DE SOUZA MORAES</w:t>
            </w:r>
            <w:commentRangeEnd w:id="3"/>
            <w:r>
              <w:rPr>
                <w:rStyle w:val="CommentReference"/>
              </w:rPr>
              <w:commentReference w:id="3"/>
            </w:r>
          </w:p>
        </w:tc>
      </w:tr>
      <w:tr xmlns:wp14="http://schemas.microsoft.com/office/word/2010/wordml" w:rsidTr="7A6EA4F2" w14:paraId="404FA486" wp14:textId="77777777">
        <w:tc>
          <w:tcPr>
            <w:tcW w:w="2268" w:type="dxa"/>
            <w:tcMar/>
          </w:tcPr>
          <w:p w14:paraId="384CDB1A" wp14:textId="77777777">
            <w:pPr>
              <w:spacing w:before="0" w:after="0" w:line="360" w:lineRule="auto"/>
              <w:jc w:val="left"/>
            </w:pPr>
            <w:r>
              <w:rPr>
                <w:b w:val="0"/>
                <w:i w:val="0"/>
                <w:color w:val="000000"/>
                <w:sz w:val="24"/>
              </w:rPr>
              <w:t>Agravado (a)(s)</w:t>
            </w:r>
          </w:p>
        </w:tc>
        <w:tc>
          <w:tcPr>
            <w:tcW w:w="397" w:type="dxa"/>
            <w:tcMar/>
          </w:tcPr>
          <w:p w14:paraId="370CD116"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415C7692" wp14:textId="77777777">
            <w:pPr>
              <w:spacing w:before="0" w:after="0" w:line="360" w:lineRule="auto"/>
              <w:jc w:val="left"/>
            </w:pPr>
            <w:r>
              <w:rPr>
                <w:b w:val="0"/>
                <w:i w:val="0"/>
                <w:color w:val="000000"/>
                <w:sz w:val="24"/>
              </w:rPr>
              <w:t>ALESSANDRA BOMFIM LUGON MORAES</w:t>
            </w:r>
          </w:p>
        </w:tc>
      </w:tr>
      <w:tr xmlns:wp14="http://schemas.microsoft.com/office/word/2010/wordml" w:rsidTr="7A6EA4F2" w14:paraId="3D9F16A8" wp14:textId="77777777">
        <w:tc>
          <w:tcPr>
            <w:tcW w:w="2268" w:type="dxa"/>
            <w:tcMar/>
          </w:tcPr>
          <w:p w14:paraId="42E49AD6" wp14:textId="77777777">
            <w:pPr>
              <w:spacing w:before="0" w:after="0" w:line="360" w:lineRule="auto"/>
              <w:jc w:val="left"/>
            </w:pPr>
            <w:r>
              <w:rPr>
                <w:b w:val="0"/>
                <w:i w:val="0"/>
                <w:color w:val="000000"/>
                <w:sz w:val="24"/>
              </w:rPr>
              <w:t>Relator(a)</w:t>
            </w:r>
          </w:p>
        </w:tc>
        <w:tc>
          <w:tcPr>
            <w:tcW w:w="397" w:type="dxa"/>
            <w:tcMar/>
          </w:tcPr>
          <w:p w14:paraId="69B263F4"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2DE0CA21" wp14:textId="77777777">
            <w:pPr>
              <w:spacing w:before="0" w:after="0" w:line="360" w:lineRule="auto"/>
              <w:jc w:val="left"/>
            </w:pPr>
            <w:r>
              <w:rPr>
                <w:b/>
                <w:i w:val="0"/>
                <w:color w:val="000000"/>
                <w:sz w:val="24"/>
              </w:rPr>
              <w:t>Des. Sérgio Rocha</w:t>
            </w:r>
          </w:p>
        </w:tc>
      </w:tr>
    </w:tbl>
    <w:p>
      <w:pPr>
        <w:spacing w:line="360" w:lineRule="auto" w:after="0" w:before="0"/>
        <w:jc w:val="left"/>
      </w:pPr>
      <w:r>
        <w:rPr>
          <w:rFonts w:ascii="Arial" w:hAnsi="Arial" w:cs="Arial"/>
          <w:b/>
          <w:i w:val="0"/>
          <w:color w:val="000000"/>
          <w:sz w:val="28"/>
        </w:rPr>
        <w:t>EMENTA</w:t>
      </w:r>
    </w:p>
    <w:p>
      <w:pPr>
        <w:spacing w:line="360" w:lineRule="auto" w:after="0" w:before="0"/>
        <w:jc w:val="both"/>
      </w:pPr>
      <w:commentRangeStart w:id="0"/>
      <w:r>
        <w:rPr>
          <w:rFonts w:ascii="Arial" w:hAnsi="Arial" w:cs="Arial"/>
          <w:b w:val="0"/>
          <w:i w:val="0"/>
          <w:color w:val="000000"/>
          <w:sz w:val="28"/>
        </w:rPr>
        <w:t>AGRAVO DE INSTRUMENTO. DIREITO PROCESSUAL CIVIL. DIVÓRCIO CUMULADO COM PARTILHA DE BENS. GRATUIDADE DE JUSTIÇA. PESSOA NATURAL. AUSÊNCIA DE COMPROVAÇÃO ATUAL DA RENDA E DAS DESPESAS. RECURSO NÃO PROVIDO.</w:t>
      </w:r>
      <w:commentRangeEnd w:id="0"/>
      <w:r>
        <w:rPr>
          <w:rStyle w:val="CommentReference"/>
        </w:rPr>
        <w:commentReference w:id="0"/>
      </w:r>
    </w:p>
    <w:p>
      <w:pPr>
        <w:spacing w:line="360" w:lineRule="auto" w:after="0" w:before="0"/>
        <w:jc w:val="both"/>
      </w:pPr>
      <w:r>
        <w:rPr>
          <w:rFonts w:ascii="Arial" w:hAnsi="Arial" w:cs="Arial"/>
          <w:b/>
          <w:i w:val="0"/>
          <w:color w:val="000000"/>
          <w:sz w:val="28"/>
        </w:rPr>
        <w:t>I. Caso em exame</w:t>
      </w:r>
    </w:p>
    <w:p>
      <w:pPr>
        <w:spacing w:line="360" w:lineRule="auto" w:after="0" w:before="0"/>
        <w:jc w:val="both"/>
      </w:pPr>
      <w:commentRangeStart w:id="1"/>
      <w:r>
        <w:rPr>
          <w:rFonts w:ascii="Arial" w:hAnsi="Arial" w:cs="Arial"/>
          <w:b w:val="0"/>
          <w:i w:val="0"/>
          <w:color w:val="000000"/>
          <w:sz w:val="28"/>
        </w:rPr>
        <w:t>1. Ação de divórcio litigioso cumulada com partilha de bens proposta por cônjuge virago, pessoa natural, contra cônjuge varão, pessoa natural, que requereu a gratuidade de justiça.</w:t>
      </w:r>
      <w:commentRangeEnd w:id="1"/>
      <w:r>
        <w:rPr>
          <w:rStyle w:val="CommentReference"/>
        </w:rPr>
        <w:commentReference w:id="1"/>
      </w:r>
    </w:p>
    <w:p>
      <w:pPr>
        <w:spacing w:line="360" w:lineRule="auto" w:after="0" w:before="0"/>
        <w:jc w:val="both"/>
      </w:pPr>
      <w:r>
        <w:rPr>
          <w:rFonts w:ascii="Arial" w:hAnsi="Arial" w:cs="Arial"/>
          <w:b w:val="0"/>
          <w:i w:val="0"/>
          <w:color w:val="000000"/>
          <w:sz w:val="28"/>
        </w:rPr>
        <w:t>2. A decisão agravada indeferiu a gratuidade de justiça ao réu, ao fundamento de que sua renda líquida supera o parâmetro de cinco salários mínimos e de que não há documentos das despesas alegadas com pensão alimentícia e saúde dos filhos.</w:t>
      </w:r>
    </w:p>
    <w:p>
      <w:pPr>
        <w:spacing w:line="360" w:lineRule="auto" w:after="0" w:before="0"/>
        <w:jc w:val="both"/>
      </w:pPr>
      <w:r>
        <w:rPr>
          <w:rFonts w:ascii="Arial" w:hAnsi="Arial" w:cs="Arial"/>
          <w:b w:val="0"/>
          <w:i w:val="0"/>
          <w:color w:val="000000"/>
          <w:sz w:val="28"/>
        </w:rPr>
        <w:t>3. O réu agrava requerendo a gratuidade de justiça, sob o argumento de que a pensão alimentícia, o plano de saúde e as despesas médicas dos filhos comprometem sua renda.</w:t>
      </w:r>
    </w:p>
    <w:p>
      <w:pPr>
        <w:spacing w:line="360" w:lineRule="auto" w:after="0" w:before="0"/>
        <w:jc w:val="both"/>
      </w:pPr>
      <w:r>
        <w:rPr>
          <w:rFonts w:ascii="Arial" w:hAnsi="Arial" w:cs="Arial"/>
          <w:b/>
          <w:i w:val="0"/>
          <w:color w:val="000000"/>
          <w:sz w:val="28"/>
        </w:rPr>
        <w:t>II. Questão em discussão</w:t>
      </w:r>
    </w:p>
    <w:p>
      <w:pPr>
        <w:spacing w:line="360" w:lineRule="auto" w:after="0" w:before="0"/>
        <w:jc w:val="both"/>
      </w:pPr>
      <w:r>
        <w:rPr>
          <w:rFonts w:ascii="Arial" w:hAnsi="Arial" w:cs="Arial"/>
          <w:b w:val="0"/>
          <w:i w:val="0"/>
          <w:color w:val="000000"/>
          <w:sz w:val="28"/>
        </w:rPr>
        <w:t>4. A questão em discussão consiste em saber se a documentação juntada comprova a hipossuficiência do réu, pessoa natural, para a concessão da gratuidade de justiça (CPC 99 § 2º; Tema 1.178/STJ).</w:t>
      </w:r>
    </w:p>
    <w:p>
      <w:pPr>
        <w:spacing w:line="360" w:lineRule="auto" w:after="0" w:before="0"/>
        <w:jc w:val="both"/>
      </w:pPr>
      <w:r>
        <w:rPr>
          <w:rFonts w:ascii="Arial" w:hAnsi="Arial" w:cs="Arial"/>
          <w:b/>
          <w:i w:val="0"/>
          <w:color w:val="000000"/>
          <w:sz w:val="28"/>
        </w:rPr>
        <w:t>III. Razões de decidir</w:t>
      </w:r>
    </w:p>
    <w:p>
      <w:pPr>
        <w:spacing w:line="360" w:lineRule="auto" w:after="0" w:before="0"/>
        <w:jc w:val="both"/>
      </w:pPr>
      <w:r>
        <w:rPr>
          <w:rFonts w:ascii="Arial" w:hAnsi="Arial" w:cs="Arial"/>
          <w:b w:val="0"/>
          <w:i w:val="0"/>
          <w:color w:val="000000"/>
          <w:sz w:val="28"/>
        </w:rPr>
        <w:t>5. A declaração de hipossuficiência da pessoa natural tem presunção relativa de veracidade, que pode ser afastada por elementos concretos dos autos; nesse caso, o juiz deve determinar a comprovação da condição do requerente, e o parâmetro objetivo de renda só serve de forma suplementar (CPC 99 §§ 2º e 3º; Tema 1.178/STJ).</w:t>
      </w:r>
    </w:p>
    <w:p>
      <w:pPr>
        <w:spacing w:line="360" w:lineRule="auto" w:after="0" w:before="0"/>
        <w:jc w:val="both"/>
      </w:pPr>
      <w:r>
        <w:rPr>
          <w:rFonts w:ascii="Arial" w:hAnsi="Arial" w:cs="Arial"/>
          <w:b w:val="0"/>
          <w:i w:val="0"/>
          <w:color w:val="000000"/>
          <w:sz w:val="28"/>
        </w:rPr>
        <w:t>6. A decisão agravada não se fundou apenas no parâmetro de renda: considerou também a falta de documentos das despesas alegadas com pensão alimentícia e saúde dos filhos.</w:t>
      </w:r>
    </w:p>
    <w:p>
      <w:pPr>
        <w:spacing w:line="360" w:lineRule="auto" w:after="0" w:before="0"/>
        <w:jc w:val="both"/>
      </w:pPr>
      <w:r>
        <w:rPr>
          <w:rFonts w:ascii="Arial" w:hAnsi="Arial" w:cs="Arial"/>
          <w:b w:val="0"/>
          <w:i w:val="0"/>
          <w:color w:val="000000"/>
          <w:sz w:val="28"/>
        </w:rPr>
        <w:t>7. O único contracheque juntado é de julho de 2025, e as planilhas e os comprovantes de repasses de 2026 não demonstram a renda atual do réu, o que não comprova a insuficiência de recursos, ainda que a liminar já tenha apontado a falta de documentação atual.</w:t>
      </w:r>
    </w:p>
    <w:p>
      <w:pPr>
        <w:spacing w:line="360" w:lineRule="auto" w:after="0" w:before="0"/>
        <w:jc w:val="both"/>
      </w:pPr>
      <w:r>
        <w:rPr>
          <w:rFonts w:ascii="Arial" w:hAnsi="Arial" w:cs="Arial"/>
          <w:b w:val="0"/>
          <w:i w:val="0"/>
          <w:color w:val="000000"/>
          <w:sz w:val="28"/>
        </w:rPr>
        <w:t>8. O valor de R$ 3.888,21 apresentado pelo réu aplica a pensão de 30% e as despesas de 2026 sobre o contracheque de 2025, combinando períodos distintos, e não demonstra a renda disponível atual.</w:t>
      </w:r>
    </w:p>
    <w:p>
      <w:pPr>
        <w:spacing w:line="360" w:lineRule="auto" w:after="0" w:before="0"/>
        <w:jc w:val="both"/>
      </w:pPr>
      <w:r>
        <w:rPr>
          <w:rFonts w:ascii="Arial" w:hAnsi="Arial" w:cs="Arial"/>
          <w:b/>
          <w:i w:val="0"/>
          <w:color w:val="000000"/>
          <w:sz w:val="28"/>
        </w:rPr>
        <w:t>IV. Dispositivo</w:t>
      </w:r>
    </w:p>
    <w:p>
      <w:pPr>
        <w:spacing w:line="360" w:lineRule="auto" w:after="0" w:before="0"/>
        <w:jc w:val="both"/>
      </w:pPr>
      <w:r>
        <w:rPr>
          <w:rFonts w:ascii="Arial" w:hAnsi="Arial" w:cs="Arial"/>
          <w:b w:val="0"/>
          <w:i w:val="0"/>
          <w:color w:val="000000"/>
          <w:sz w:val="28"/>
        </w:rPr>
        <w:t>9. Negou-se provimento ao agravo de instrumento do réu.</w:t>
      </w:r>
    </w:p>
    <w:p>
      <w:pPr>
        <w:spacing w:line="360" w:lineRule="auto" w:after="0" w:before="0"/>
        <w:jc w:val="both"/>
      </w:pPr>
      <w:r>
        <w:rPr>
          <w:rFonts w:ascii="Arial" w:hAnsi="Arial" w:cs="Arial"/>
          <w:b w:val="0"/>
          <w:i w:val="0"/>
          <w:color w:val="000000"/>
          <w:sz w:val="28"/>
        </w:rPr>
        <w:t>________</w:t>
      </w:r>
    </w:p>
    <w:p>
      <w:pPr>
        <w:spacing w:line="360" w:lineRule="auto" w:after="0" w:before="0"/>
        <w:jc w:val="both"/>
      </w:pPr>
      <w:r>
        <w:rPr>
          <w:rFonts w:ascii="Arial" w:hAnsi="Arial" w:cs="Arial"/>
          <w:b w:val="0"/>
          <w:i/>
          <w:color w:val="000000"/>
          <w:sz w:val="26"/>
        </w:rPr>
        <w:t>Dispositivos relevantes citados:</w:t>
      </w:r>
      <w:r>
        <w:rPr>
          <w:rFonts w:ascii="Arial" w:hAnsi="Arial" w:cs="Arial"/>
          <w:b w:val="0"/>
          <w:i w:val="0"/>
          <w:color w:val="000000"/>
          <w:sz w:val="26"/>
        </w:rPr>
        <w:t xml:space="preserve"> CPC, art. 99, §§ 2º e 3º.</w:t>
      </w:r>
    </w:p>
    <w:p>
      <w:pPr>
        <w:spacing w:line="360" w:lineRule="auto" w:after="0" w:before="0"/>
        <w:jc w:val="both"/>
      </w:pPr>
      <w:commentRangeStart w:id="2"/>
      <w:r>
        <w:rPr>
          <w:rFonts w:ascii="Arial" w:hAnsi="Arial" w:cs="Arial"/>
          <w:b w:val="0"/>
          <w:i/>
          <w:color w:val="000000"/>
          <w:sz w:val="26"/>
        </w:rPr>
        <w:t>Jurisprudência relevante citada:</w:t>
      </w:r>
      <w:r>
        <w:rPr>
          <w:rFonts w:ascii="Arial" w:hAnsi="Arial" w:cs="Arial"/>
          <w:b w:val="0"/>
          <w:i w:val="0"/>
          <w:color w:val="000000"/>
          <w:sz w:val="26"/>
        </w:rPr>
        <w:t xml:space="preserve"> STJ, REsp nº 1.988.686/RJ, Rel. Min. Og Fernandes, Corte Especial, j. 17/09/2025, DJEN 18/03/2026, Tema Repetitivo nº 1.178; TJDFT, Acórdão nº 2148763, Processo nº 0721614-43.2026.8.07.0000, Rel. Des. Leonor Aguena, 5ª Turma Cível, j. 16/07/2026, DJe 22/07/2026.</w:t>
      </w:r>
      <w:commentRangeEnd w:id="2"/>
      <w:r>
        <w:rPr>
          <w:rStyle w:val="CommentReference"/>
        </w:rPr>
        <w:commentReference w:id="2"/>
      </w:r>
    </w:p>
    <w:p>
      <w:pPr>
        <w:spacing w:line="360" w:lineRule="auto" w:after="0"/>
        <w:ind w:firstLine="2268"/>
      </w:pPr>
      <w:r>
        <w:rPr>
          <w:color w:val="000000"/>
          <w:sz w:val="28"/>
        </w:rPr>
      </w:r>
    </w:p>
    <w:p>
      <w:pPr>
        <w:spacing w:line="360" w:lineRule="auto" w:after="0"/>
        <w:ind w:firstLine="2268"/>
      </w:pPr>
      <w:r>
        <w:rPr>
          <w:color w:val="000000"/>
          <w:sz w:val="28"/>
        </w:rPr>
      </w:r>
    </w:p>
    <w:p>
      <w:pPr>
        <w:spacing w:line="360" w:lineRule="auto" w:after="0" w:before="0"/>
        <w:jc w:val="both"/>
      </w:pPr>
      <w:commentRangeStart w:id="3"/>
      <w:r>
        <w:rPr>
          <w:rFonts w:ascii="Arial" w:hAnsi="Arial" w:cs="Arial"/>
          <w:b/>
          <w:i w:val="0"/>
          <w:color w:val="EE0000"/>
          <w:sz w:val="28"/>
          <w:highlight w:val="yellow"/>
        </w:rPr>
        <w:t>RESUMO DO AGRAVO EM SENTIDO CONTRÁRIO AO VOTO</w:t>
      </w:r>
      <w:commentRangeEnd w:id="3"/>
      <w:r>
        <w:rPr>
          <w:rStyle w:val="CommentReference"/>
        </w:rPr>
        <w:commentReference w:id="3"/>
      </w:r>
    </w:p>
    <w:p>
      <w:pPr>
        <w:spacing w:line="360" w:lineRule="auto" w:after="0" w:before="0"/>
        <w:jc w:val="both"/>
      </w:pPr>
      <w:r>
        <w:rPr>
          <w:rFonts w:ascii="Arial" w:hAnsi="Arial" w:cs="Arial"/>
          <w:b/>
          <w:i w:val="0"/>
          <w:color w:val="EE0000"/>
          <w:sz w:val="28"/>
        </w:rPr>
        <w:t>I. RAZÕES RECURSAIS</w:t>
      </w:r>
    </w:p>
    <w:p>
      <w:pPr>
        <w:spacing w:line="360" w:lineRule="auto" w:after="0" w:before="0"/>
        <w:jc w:val="both"/>
      </w:pPr>
      <w:r>
        <w:rPr>
          <w:rFonts w:ascii="Arial" w:hAnsi="Arial" w:cs="Arial"/>
          <w:b/>
          <w:i w:val="0"/>
          <w:color w:val="EE0000"/>
          <w:sz w:val="28"/>
        </w:rPr>
        <w:t>1. Critério exclusivamente objetivo de renda</w:t>
      </w:r>
    </w:p>
    <w:p>
      <w:pPr>
        <w:spacing w:line="360" w:lineRule="auto" w:after="0" w:before="0"/>
        <w:ind w:hanging="357" w:left="720"/>
        <w:jc w:val="both"/>
      </w:pPr>
      <w:r>
        <w:rPr>
          <w:rFonts w:ascii="Arial" w:hAnsi="Arial" w:cs="Arial"/>
          <w:b w:val="0"/>
          <w:i w:val="0"/>
          <w:color w:val="EE0000"/>
          <w:sz w:val="28"/>
        </w:rPr>
        <w:t>O agravante sustenta que a decisão indeferiu a gratuidade com base apenas na renda líquida superior a cinco salários mínimos, o que o STJ veda (REsp 1.988.686/RJ), pois a hipossuficiência decorre da escassez de recursos depois das despesas básicas.</w:t>
      </w:r>
    </w:p>
    <w:p>
      <w:pPr>
        <w:spacing w:line="360" w:lineRule="auto" w:after="0" w:before="0"/>
        <w:jc w:val="both"/>
      </w:pPr>
      <w:r>
        <w:rPr>
          <w:rFonts w:ascii="Arial" w:hAnsi="Arial" w:cs="Arial"/>
          <w:b/>
          <w:i w:val="0"/>
          <w:color w:val="EE0000"/>
          <w:sz w:val="28"/>
        </w:rPr>
        <w:t>2. Comprometimento da renda com as obrigações familiares</w:t>
      </w:r>
    </w:p>
    <w:p>
      <w:pPr>
        <w:spacing w:line="360" w:lineRule="auto" w:after="0" w:before="0"/>
        <w:ind w:hanging="357" w:left="720"/>
        <w:jc w:val="both"/>
      </w:pPr>
      <w:r>
        <w:rPr>
          <w:rFonts w:ascii="Arial" w:hAnsi="Arial" w:cs="Arial"/>
          <w:b w:val="0"/>
          <w:i w:val="0"/>
          <w:color w:val="EE0000"/>
          <w:sz w:val="28"/>
        </w:rPr>
        <w:t>Alega que arca com aluguel e condomínio, pensão de 30% de seus rendimentos líquidos, 50% do plano de saúde e das coparticipações e 50% dos medicamentos dos filhos, o que reduz a renda líquida a R$ 5.795,32 só com a pensão e a R$ 3.888,21 com os demais gastos.</w:t>
      </w:r>
    </w:p>
    <w:p>
      <w:pPr>
        <w:spacing w:line="360" w:lineRule="auto" w:after="0" w:before="0"/>
        <w:jc w:val="both"/>
      </w:pPr>
      <w:r>
        <w:rPr>
          <w:rFonts w:ascii="Arial" w:hAnsi="Arial" w:cs="Arial"/>
          <w:b/>
          <w:i w:val="0"/>
          <w:color w:val="EE0000"/>
          <w:sz w:val="28"/>
        </w:rPr>
        <w:t>3. Oportunidade de comprovação (CPC 99 § 2º)</w:t>
      </w:r>
    </w:p>
    <w:p>
      <w:pPr>
        <w:spacing w:line="360" w:lineRule="auto" w:after="0" w:before="0"/>
        <w:ind w:hanging="357" w:left="720"/>
        <w:jc w:val="both"/>
      </w:pPr>
      <w:r>
        <w:rPr>
          <w:rFonts w:ascii="Arial" w:hAnsi="Arial" w:cs="Arial"/>
          <w:b w:val="0"/>
          <w:i w:val="0"/>
          <w:color w:val="EE0000"/>
          <w:sz w:val="28"/>
        </w:rPr>
        <w:t>Afirma que, havendo dúvida, o Juízo devia ter oportunizado a comprovação da condição econômica, e que a hipossuficiência pode ser demonstrada a qualquer tempo; junta decisão de alimentos, planilha de gastos e comprovantes de repasses.</w:t>
      </w:r>
    </w:p>
    <w:p>
      <w:pPr>
        <w:spacing w:line="360" w:lineRule="auto" w:after="0" w:before="0"/>
        <w:jc w:val="both"/>
      </w:pPr>
      <w:r>
        <w:rPr>
          <w:rFonts w:ascii="Arial" w:hAnsi="Arial" w:cs="Arial"/>
          <w:b/>
          <w:i w:val="0"/>
          <w:color w:val="EE0000"/>
          <w:sz w:val="28"/>
        </w:rPr>
        <w:t>4. Prova testemunhal e ofícios (não conhecidos na liminar)</w:t>
      </w:r>
    </w:p>
    <w:p>
      <w:pPr>
        <w:spacing w:line="360" w:lineRule="auto" w:after="0" w:before="0"/>
        <w:ind w:hanging="357" w:left="720"/>
        <w:jc w:val="both"/>
      </w:pPr>
      <w:r>
        <w:rPr>
          <w:rFonts w:ascii="Arial" w:hAnsi="Arial" w:cs="Arial"/>
          <w:b w:val="0"/>
          <w:i w:val="0"/>
          <w:color w:val="EE0000"/>
          <w:sz w:val="28"/>
        </w:rPr>
        <w:t>Sustenta cerceamento de defesa pelo indeferimento da oitiva de seu genitor sobre a doação de R$ 100.000,00 e pelo indeferimento dos ofícios à Receita Federal e à SUSEP; informa depois que o ofício à SUSEP foi deferido na origem (ID 89964757).</w:t>
      </w:r>
    </w:p>
    <w:p>
      <w:pPr>
        <w:spacing w:line="360" w:lineRule="auto" w:after="0" w:before="0"/>
        <w:jc w:val="both"/>
      </w:pPr>
      <w:r>
        <w:rPr>
          <w:rFonts w:ascii="Arial" w:hAnsi="Arial" w:cs="Arial"/>
          <w:b/>
          <w:i w:val="0"/>
          <w:color w:val="EE0000"/>
          <w:sz w:val="28"/>
        </w:rPr>
        <w:t>II. PEDIDO</w:t>
      </w:r>
    </w:p>
    <w:p>
      <w:pPr>
        <w:spacing w:line="360" w:lineRule="auto" w:after="0" w:before="0"/>
        <w:ind w:hanging="357" w:left="720"/>
        <w:jc w:val="both"/>
      </w:pPr>
      <w:r>
        <w:rPr>
          <w:rFonts w:ascii="Arial" w:hAnsi="Arial" w:cs="Arial"/>
          <w:b w:val="0"/>
          <w:i w:val="0"/>
          <w:color w:val="EE0000"/>
          <w:sz w:val="28"/>
        </w:rPr>
        <w:t>Requer a reforma da decisão para conceder-lhe a gratuidade de justiça, admitir a prova testemunhal e a expedição dos ofícios, com tutela recursal para a produção da prova testemunhal.</w:t>
      </w:r>
    </w:p>
    <w:p>
      <w:pPr>
        <w:pageBreakBefore/>
        <w:spacing w:line="360" w:lineRule="auto" w:after="0" w:before="0"/>
        <w:jc w:val="center"/>
      </w:pPr>
      <w:r>
        <w:rPr>
          <w:rFonts w:ascii="Arial" w:hAnsi="Arial" w:cs="Arial"/>
          <w:b/>
          <w:i w:val="0"/>
          <w:color w:val="000000"/>
          <w:sz w:val="28"/>
        </w:rPr>
        <w:t>RELATÓRIO</w:t>
      </w:r>
    </w:p>
    <w:p>
      <w:pPr>
        <w:spacing w:line="360" w:lineRule="auto" w:after="0"/>
        <w:ind w:firstLine="2268"/>
      </w:pPr>
      <w:r>
        <w:rPr>
          <w:color w:val="000000"/>
          <w:sz w:val="28"/>
        </w:rPr>
      </w:r>
    </w:p>
    <w:p>
      <w:pPr>
        <w:spacing w:line="360" w:lineRule="auto" w:after="0" w:before="0"/>
        <w:ind w:firstLine="2268"/>
        <w:jc w:val="both"/>
      </w:pPr>
      <w:commentRangeStart w:id="4"/>
      <w:r>
        <w:rPr>
          <w:rFonts w:ascii="Arial" w:hAnsi="Arial" w:cs="Arial"/>
          <w:b w:val="0"/>
          <w:i w:val="0"/>
          <w:color w:val="000000"/>
          <w:sz w:val="28"/>
        </w:rPr>
        <w:t>Adoto o relatório da liminar (ID 87961812):</w:t>
      </w:r>
      <w:commentRangeEnd w:id="4"/>
      <w:r>
        <w:rPr>
          <w:rStyle w:val="CommentReference"/>
        </w:rPr>
        <w:commentReference w:id="4"/>
      </w:r>
    </w:p>
    <w:p>
      <w:pPr>
        <w:spacing w:line="360" w:lineRule="auto" w:after="0"/>
        <w:ind w:firstLine="2268"/>
      </w:pPr>
      <w:r>
        <w:rPr>
          <w:color w:val="000000"/>
          <w:sz w:val="28"/>
        </w:rPr>
      </w:r>
    </w:p>
    <w:p>
      <w:pPr>
        <w:spacing w:line="360" w:lineRule="auto" w:after="0" w:before="0"/>
        <w:ind w:firstLine="1134" w:left="2268"/>
        <w:jc w:val="both"/>
      </w:pPr>
      <w:r>
        <w:rPr>
          <w:rFonts w:ascii="Arial" w:hAnsi="Arial" w:cs="Arial"/>
          <w:b w:val="0"/>
          <w:i/>
          <w:color w:val="000000"/>
          <w:sz w:val="26"/>
        </w:rPr>
        <w:t>“Trata-se de ação de família ajuizada por A. B. L. M. em face de D. R. D. S. M., tendo por objeto divórcio litigioso cumulado com partilha de bens (R$ 1.326.500,00).</w:t>
      </w:r>
    </w:p>
    <w:p>
      <w:pPr>
        <w:spacing w:line="360" w:lineRule="auto" w:after="0" w:before="0"/>
        <w:ind w:firstLine="1134" w:left="2268"/>
        <w:jc w:val="both"/>
      </w:pPr>
      <w:r>
        <w:rPr>
          <w:rFonts w:ascii="Arial" w:hAnsi="Arial" w:cs="Arial"/>
          <w:b w:val="0"/>
          <w:i/>
          <w:color w:val="000000"/>
          <w:sz w:val="26"/>
        </w:rPr>
        <w:t>O Juízo de origem indeferiu o pedido de gratuidade de justiça formulado pelo réu/agravante e indeferiu, também, a produção do depoimento pessoal das partes e da oitiva de testemunhas.</w:t>
      </w:r>
    </w:p>
    <w:p>
      <w:pPr>
        <w:spacing w:line="360" w:lineRule="auto" w:after="0" w:before="0"/>
        <w:ind w:firstLine="1134" w:left="2268"/>
        <w:jc w:val="both"/>
      </w:pPr>
      <w:r>
        <w:rPr>
          <w:rFonts w:ascii="Arial" w:hAnsi="Arial" w:cs="Arial"/>
          <w:b w:val="0"/>
          <w:i/>
          <w:color w:val="000000"/>
          <w:sz w:val="26"/>
        </w:rPr>
        <w:t>Além disso, delimitou o acervo patrimonial litigioso e deferiu o pedido de quebra de sigilo bancários das partes (ID 283224346, processo de origem).</w:t>
      </w:r>
    </w:p>
    <w:p>
      <w:pPr>
        <w:spacing w:line="360" w:lineRule="auto" w:after="0" w:before="0"/>
        <w:ind w:firstLine="1134" w:left="2268"/>
        <w:jc w:val="both"/>
      </w:pPr>
      <w:r>
        <w:rPr>
          <w:rFonts w:ascii="Arial" w:hAnsi="Arial" w:cs="Arial"/>
          <w:b w:val="0"/>
          <w:i/>
          <w:color w:val="000000"/>
          <w:sz w:val="26"/>
        </w:rPr>
        <w:t xml:space="preserve">Inconformado, o réu/agravante interpõe o presente agravo de instrumento, sustentando, em síntese, que: </w:t>
      </w:r>
      <w:r>
        <w:rPr>
          <w:rFonts w:ascii="Arial" w:hAnsi="Arial" w:cs="Arial"/>
          <w:b/>
          <w:i/>
          <w:color w:val="000000"/>
          <w:sz w:val="26"/>
        </w:rPr>
        <w:t>1)</w:t>
      </w:r>
      <w:r>
        <w:rPr>
          <w:rFonts w:ascii="Arial" w:hAnsi="Arial" w:cs="Arial"/>
          <w:b w:val="0"/>
          <w:i/>
          <w:color w:val="000000"/>
          <w:sz w:val="26"/>
        </w:rPr>
        <w:t xml:space="preserve"> a decisão negou a gratuidade de justiça com base apenas no critério objetivo de renda, sem considerar os descontos com pensão alimentícia, plano de saúde dos filhos e medicamentos; </w:t>
      </w:r>
      <w:r>
        <w:rPr>
          <w:rFonts w:ascii="Arial" w:hAnsi="Arial" w:cs="Arial"/>
          <w:b/>
          <w:i/>
          <w:color w:val="000000"/>
          <w:sz w:val="26"/>
        </w:rPr>
        <w:t>2)</w:t>
      </w:r>
      <w:r>
        <w:rPr>
          <w:rFonts w:ascii="Arial" w:hAnsi="Arial" w:cs="Arial"/>
          <w:b w:val="0"/>
          <w:i/>
          <w:color w:val="000000"/>
          <w:sz w:val="26"/>
        </w:rPr>
        <w:t xml:space="preserve"> o indeferimento da prova testemunhal configura cerceamento de defesa, pois o depoimento de seu genitor é o meio apto a esclarecer a origem e a destinação da doação de R$ 100.000,00; </w:t>
      </w:r>
      <w:r>
        <w:rPr>
          <w:rFonts w:ascii="Arial" w:hAnsi="Arial" w:cs="Arial"/>
          <w:b/>
          <w:i/>
          <w:color w:val="000000"/>
          <w:sz w:val="26"/>
        </w:rPr>
        <w:t>3)</w:t>
      </w:r>
      <w:r>
        <w:rPr>
          <w:rFonts w:ascii="Arial" w:hAnsi="Arial" w:cs="Arial"/>
          <w:b w:val="0"/>
          <w:i/>
          <w:color w:val="000000"/>
          <w:sz w:val="26"/>
        </w:rPr>
        <w:t xml:space="preserve"> a decisão agravada incorre em contradição, pois reconhece a necessidade de complementação da instrução por prova documental e, ao mesmo tempo, afasta a prova oral sob o fundamento de que a controvérsia já estaria esclarecida; e </w:t>
      </w:r>
      <w:r>
        <w:rPr>
          <w:rFonts w:ascii="Arial" w:hAnsi="Arial" w:cs="Arial"/>
          <w:b/>
          <w:i/>
          <w:color w:val="000000"/>
          <w:sz w:val="26"/>
        </w:rPr>
        <w:t>4)</w:t>
      </w:r>
      <w:r>
        <w:rPr>
          <w:rFonts w:ascii="Arial" w:hAnsi="Arial" w:cs="Arial"/>
          <w:b w:val="0"/>
          <w:i/>
          <w:color w:val="000000"/>
          <w:sz w:val="26"/>
        </w:rPr>
        <w:t xml:space="preserve"> o indeferimento dos ofícios à Receita Federal e à SUSEP carece de fundamentação idônea, porque o SISBAJUD não abrange as informações fiscais e de previdência privada necessárias à apuração do patrimônio comunicável.</w:t>
      </w:r>
    </w:p>
    <w:p>
      <w:pPr>
        <w:spacing w:line="360" w:lineRule="auto" w:after="0" w:before="0"/>
        <w:ind w:firstLine="1134" w:left="2268"/>
        <w:jc w:val="both"/>
      </w:pPr>
      <w:r>
        <w:rPr>
          <w:rFonts w:ascii="Arial" w:hAnsi="Arial" w:cs="Arial"/>
          <w:b w:val="0"/>
          <w:i/>
          <w:color w:val="000000"/>
          <w:sz w:val="26"/>
        </w:rPr>
        <w:t>Requer o agravante a concessão da antecipação de tutela para determinar, desde logo, a produção da prova testemunhal. No mérito, postula o provimento do recurso para reforma da decisão agravada, com a concessão da gratuidade de justiça, a admissão da prova testemunhal e a expedição dos ofícios à Secretaria da Receita Federal do Brasil, à SUSEP e ‘aos demais órgãos requeridos’.”</w:t>
      </w:r>
    </w:p>
    <w:p>
      <w:pPr>
        <w:spacing w:line="360" w:lineRule="auto" w:after="0"/>
        <w:ind w:firstLine="2268"/>
      </w:pPr>
      <w:r>
        <w:rPr>
          <w:color w:val="000000"/>
          <w:sz w:val="28"/>
        </w:rPr>
      </w:r>
    </w:p>
    <w:p>
      <w:pPr>
        <w:spacing w:line="360" w:lineRule="auto" w:after="0" w:before="0"/>
        <w:ind w:firstLine="2268"/>
        <w:jc w:val="both"/>
      </w:pPr>
      <w:r>
        <w:rPr>
          <w:rFonts w:ascii="Arial" w:hAnsi="Arial" w:cs="Arial"/>
          <w:b w:val="0"/>
          <w:i w:val="0"/>
          <w:color w:val="000000"/>
          <w:sz w:val="28"/>
        </w:rPr>
        <w:t>Não conheci do agravo de instrumento quanto ao indeferimento da prova oral e dos ofícios à Receita Federal e a outros órgãos e quanto à omissão sobre o ofício à SUSEP e indeferi a antecipação da tutela recursal quanto à gratuidade de justiça (CPC 932 III; ID 87961812).</w:t>
      </w:r>
    </w:p>
    <w:p>
      <w:pPr>
        <w:spacing w:line="360" w:lineRule="auto" w:after="0"/>
        <w:ind w:firstLine="2268"/>
      </w:pPr>
      <w:r>
        <w:rPr>
          <w:color w:val="000000"/>
          <w:sz w:val="28"/>
        </w:rPr>
      </w:r>
    </w:p>
    <w:p>
      <w:pPr>
        <w:spacing w:line="360" w:lineRule="auto" w:after="0" w:before="0"/>
        <w:ind w:firstLine="2268"/>
        <w:jc w:val="both"/>
      </w:pPr>
      <w:r>
        <w:rPr>
          <w:rFonts w:ascii="Arial" w:hAnsi="Arial" w:cs="Arial"/>
          <w:b w:val="0"/>
          <w:i w:val="0"/>
          <w:color w:val="000000"/>
          <w:sz w:val="28"/>
        </w:rPr>
        <w:t>Foram rejeitados os embargos de declaração do agravante (ID 88433605 e 89114203).</w:t>
      </w:r>
    </w:p>
    <w:p>
      <w:pPr>
        <w:spacing w:line="360" w:lineRule="auto" w:after="0"/>
        <w:ind w:firstLine="2268"/>
      </w:pPr>
      <w:r>
        <w:rPr>
          <w:color w:val="000000"/>
          <w:sz w:val="28"/>
        </w:rPr>
      </w:r>
    </w:p>
    <w:p>
      <w:pPr>
        <w:spacing w:line="360" w:lineRule="auto" w:after="0" w:before="0"/>
        <w:ind w:firstLine="2268"/>
        <w:jc w:val="both"/>
      </w:pPr>
      <w:r>
        <w:rPr>
          <w:rFonts w:ascii="Arial" w:hAnsi="Arial" w:cs="Arial"/>
          <w:b w:val="0"/>
          <w:i w:val="0"/>
          <w:color w:val="000000"/>
          <w:sz w:val="28"/>
        </w:rPr>
        <w:t xml:space="preserve">Em contrarrazões, a agravada, ALESSANDRA BOMFIM LUGON MORAES, sustenta que: </w:t>
      </w:r>
      <w:r>
        <w:rPr>
          <w:rFonts w:ascii="Arial" w:hAnsi="Arial" w:cs="Arial"/>
          <w:b/>
          <w:i w:val="0"/>
          <w:color w:val="000000"/>
          <w:sz w:val="28"/>
        </w:rPr>
        <w:t>1)</w:t>
      </w:r>
      <w:r>
        <w:rPr>
          <w:rFonts w:ascii="Arial" w:hAnsi="Arial" w:cs="Arial"/>
          <w:b w:val="0"/>
          <w:i w:val="0"/>
          <w:color w:val="000000"/>
          <w:sz w:val="28"/>
        </w:rPr>
        <w:t xml:space="preserve"> o agravo não deve ser conhecido quanto à prova oral e aos ofícios, que não estão no rol do CPC 1.015 nem envolvem urgência (Tema 988/STJ); </w:t>
      </w:r>
      <w:r>
        <w:rPr>
          <w:rFonts w:ascii="Arial" w:hAnsi="Arial" w:cs="Arial"/>
          <w:b/>
          <w:i w:val="0"/>
          <w:color w:val="000000"/>
          <w:sz w:val="28"/>
        </w:rPr>
        <w:t>2)</w:t>
      </w:r>
      <w:r>
        <w:rPr>
          <w:rFonts w:ascii="Arial" w:hAnsi="Arial" w:cs="Arial"/>
          <w:b w:val="0"/>
          <w:i w:val="0"/>
          <w:color w:val="000000"/>
          <w:sz w:val="28"/>
        </w:rPr>
        <w:t xml:space="preserve"> a prova testemunhal não supriria a ausência de lastro documental da doação de R$ 100.000,00; </w:t>
      </w:r>
      <w:r>
        <w:rPr>
          <w:rFonts w:ascii="Arial" w:hAnsi="Arial" w:cs="Arial"/>
          <w:b/>
          <w:i w:val="0"/>
          <w:color w:val="000000"/>
          <w:sz w:val="28"/>
        </w:rPr>
        <w:t>3)</w:t>
      </w:r>
      <w:r>
        <w:rPr>
          <w:rFonts w:ascii="Arial" w:hAnsi="Arial" w:cs="Arial"/>
          <w:b w:val="0"/>
          <w:i w:val="0"/>
          <w:color w:val="000000"/>
          <w:sz w:val="28"/>
        </w:rPr>
        <w:t xml:space="preserve"> o indeferimento da gratuidade não decorreu de critério exclusivamente objetivo, mas da renda líquida superior ao parâmetro de cinco salários mínimos e da ausência de documentos das despesas alegadas; e </w:t>
      </w:r>
      <w:r>
        <w:rPr>
          <w:rFonts w:ascii="Arial" w:hAnsi="Arial" w:cs="Arial"/>
          <w:b/>
          <w:i w:val="0"/>
          <w:color w:val="000000"/>
          <w:sz w:val="28"/>
        </w:rPr>
        <w:t>4)</w:t>
      </w:r>
      <w:r>
        <w:rPr>
          <w:rFonts w:ascii="Arial" w:hAnsi="Arial" w:cs="Arial"/>
          <w:b w:val="0"/>
          <w:i w:val="0"/>
          <w:color w:val="000000"/>
          <w:sz w:val="28"/>
        </w:rPr>
        <w:t xml:space="preserve"> em ação de alimentos anterior o agravante teve o mesmo pedido indeferido e recolheu as custas (ID 88854284).</w:t>
      </w:r>
    </w:p>
    <w:p>
      <w:pPr>
        <w:spacing w:line="360" w:lineRule="auto" w:after="0"/>
        <w:ind w:firstLine="2268"/>
      </w:pPr>
      <w:r>
        <w:rPr>
          <w:color w:val="000000"/>
          <w:sz w:val="28"/>
        </w:rPr>
      </w:r>
    </w:p>
    <w:p>
      <w:pPr>
        <w:spacing w:line="360" w:lineRule="auto" w:after="0" w:before="0"/>
        <w:ind w:firstLine="2268"/>
        <w:jc w:val="both"/>
      </w:pPr>
      <w:r>
        <w:rPr>
          <w:rFonts w:ascii="Arial" w:hAnsi="Arial" w:cs="Arial"/>
          <w:b w:val="0"/>
          <w:i w:val="0"/>
          <w:color w:val="000000"/>
          <w:sz w:val="28"/>
        </w:rPr>
        <w:t>Em petição, o agravante requer o conhecimento do agravo quanto à prova oral e a concessão da gratuidade de justiça, ao argumento de que, descontadas a pensão alimentícia e as despesas de saúde dos filhos, sua renda líquida é de R$ 3.888,21, e informa que o Juízo de origem deferiu a expedição de ofício à SUSEP (ID 89964753 e 89964757).</w:t>
      </w:r>
    </w:p>
    <w:p>
      <w:pPr>
        <w:spacing w:line="360" w:lineRule="auto" w:after="0"/>
        <w:ind w:firstLine="2268"/>
      </w:pPr>
      <w:r>
        <w:rPr>
          <w:color w:val="000000"/>
          <w:sz w:val="28"/>
        </w:rPr>
      </w:r>
    </w:p>
    <w:p>
      <w:pPr>
        <w:spacing w:line="360" w:lineRule="auto" w:after="0" w:before="0"/>
        <w:ind w:firstLine="2268"/>
        <w:jc w:val="both"/>
      </w:pPr>
      <w:r>
        <w:rPr>
          <w:rFonts w:ascii="Arial" w:hAnsi="Arial" w:cs="Arial"/>
          <w:b w:val="0"/>
          <w:i w:val="0"/>
          <w:color w:val="000000"/>
          <w:sz w:val="28"/>
        </w:rPr>
        <w:t>É o relatório.</w:t>
      </w:r>
    </w:p>
    <w:p>
      <w:pPr>
        <w:spacing w:line="360" w:lineRule="auto" w:after="0"/>
        <w:ind w:firstLine="2268"/>
      </w:pPr>
      <w:r>
        <w:rPr>
          <w:color w:val="000000"/>
          <w:sz w:val="28"/>
        </w:rPr>
      </w:r>
    </w:p>
    <w:p>
      <w:pPr>
        <w:pageBreakBefore/>
        <w:spacing w:line="360" w:lineRule="auto" w:after="0" w:before="0"/>
        <w:jc w:val="center"/>
      </w:pPr>
      <w:r>
        <w:rPr>
          <w:rFonts w:ascii="Arial" w:hAnsi="Arial" w:cs="Arial"/>
          <w:b/>
          <w:i w:val="0"/>
          <w:color w:val="000000"/>
          <w:sz w:val="28"/>
        </w:rPr>
        <w:t>VOTO</w:t>
      </w:r>
    </w:p>
    <w:p>
      <w:pPr>
        <w:spacing w:line="360" w:lineRule="auto" w:after="0"/>
        <w:ind w:firstLine="2268"/>
      </w:pPr>
      <w:r>
        <w:rPr>
          <w:color w:val="000000"/>
          <w:sz w:val="28"/>
        </w:rPr>
      </w:r>
    </w:p>
    <w:p>
      <w:pPr>
        <w:spacing w:line="360" w:lineRule="auto" w:after="0" w:before="0"/>
        <w:jc w:val="both"/>
      </w:pPr>
      <w:r>
        <w:rPr>
          <w:rFonts w:ascii="Arial" w:hAnsi="Arial" w:cs="Arial"/>
          <w:b/>
          <w:i w:val="0"/>
          <w:color w:val="000000"/>
          <w:sz w:val="28"/>
        </w:rPr>
        <w:t>O Senhor Desembargador SÉRGIO ROCHA – Relator.</w:t>
      </w:r>
    </w:p>
    <w:p>
      <w:pPr>
        <w:spacing w:line="360" w:lineRule="auto" w:after="0"/>
        <w:ind w:firstLine="2268"/>
      </w:pPr>
      <w:r>
        <w:rPr>
          <w:color w:val="000000"/>
          <w:sz w:val="28"/>
        </w:rPr>
      </w:r>
    </w:p>
    <w:p>
      <w:pPr>
        <w:spacing w:line="360" w:lineRule="auto" w:after="0" w:before="0"/>
        <w:jc w:val="center"/>
      </w:pPr>
      <w:r>
        <w:rPr>
          <w:rFonts w:ascii="Arial" w:hAnsi="Arial" w:cs="Arial"/>
          <w:b/>
          <w:i w:val="0"/>
          <w:color w:val="000000"/>
          <w:sz w:val="28"/>
        </w:rPr>
        <w:t>AGRAVO DE INSTRUMENTO DO RÉU, DANILO RAFAEL DE SOUZA MORAES</w:t>
      </w:r>
    </w:p>
    <w:p>
      <w:pPr>
        <w:spacing w:line="360" w:lineRule="auto" w:after="0"/>
        <w:ind w:firstLine="2268"/>
      </w:pPr>
      <w:r>
        <w:rPr>
          <w:color w:val="000000"/>
          <w:sz w:val="28"/>
        </w:rPr>
      </w:r>
    </w:p>
    <w:p>
      <w:pPr>
        <w:spacing w:line="360" w:lineRule="auto" w:after="0" w:before="0"/>
        <w:ind w:firstLine="2268"/>
        <w:jc w:val="both"/>
      </w:pPr>
      <w:commentRangeStart w:id="5"/>
      <w:r>
        <w:rPr>
          <w:rFonts w:ascii="Arial" w:hAnsi="Arial" w:cs="Arial"/>
          <w:b w:val="0"/>
          <w:i w:val="0"/>
          <w:color w:val="000000"/>
          <w:sz w:val="28"/>
        </w:rPr>
        <w:t>Presentes os pressupostos de admissibilidade, conheço do agravo de instrumento.</w:t>
      </w:r>
      <w:commentRangeEnd w:id="5"/>
      <w:r>
        <w:rPr>
          <w:rStyle w:val="CommentReference"/>
        </w:rPr>
        <w:commentReference w:id="5"/>
      </w:r>
    </w:p>
    <w:p>
      <w:pPr>
        <w:spacing w:line="360" w:lineRule="auto" w:after="0"/>
        <w:ind w:firstLine="2268"/>
      </w:pPr>
      <w:r>
        <w:rPr>
          <w:color w:val="000000"/>
          <w:sz w:val="28"/>
        </w:rPr>
      </w:r>
    </w:p>
    <w:p>
      <w:pPr>
        <w:spacing w:line="360" w:lineRule="auto" w:after="0" w:before="0"/>
        <w:jc w:val="center"/>
      </w:pPr>
      <w:r>
        <w:rPr>
          <w:rFonts w:ascii="Arial" w:hAnsi="Arial" w:cs="Arial"/>
          <w:b w:val="0"/>
          <w:i w:val="0"/>
          <w:color w:val="000000"/>
          <w:sz w:val="28"/>
          <w:highlight w:val="yellow"/>
        </w:rPr>
        <w:t>DA AUSÊNCIA DE COMPROVAÇÃO DA HIPOSSUFICIÊNCIA PARA A CONCESSÃO DA GRATUIDADE DE JUSTIÇA</w:t>
      </w:r>
    </w:p>
    <w:p>
      <w:pPr>
        <w:spacing w:line="360" w:lineRule="auto" w:after="0"/>
        <w:ind w:firstLine="2268"/>
      </w:pPr>
      <w:r>
        <w:rPr>
          <w:color w:val="000000"/>
          <w:sz w:val="28"/>
        </w:rPr>
      </w:r>
    </w:p>
    <w:p>
      <w:pPr>
        <w:spacing w:line="360" w:lineRule="auto" w:after="0" w:before="0"/>
        <w:ind w:firstLine="2268"/>
        <w:jc w:val="both"/>
      </w:pPr>
      <w:r>
        <w:rPr>
          <w:rFonts w:ascii="Arial" w:hAnsi="Arial" w:cs="Arial"/>
          <w:b w:val="0"/>
          <w:i w:val="0"/>
          <w:color w:val="000000"/>
          <w:sz w:val="28"/>
        </w:rPr>
        <w:t xml:space="preserve">O réu/agravante alega que: </w:t>
      </w:r>
      <w:r>
        <w:rPr>
          <w:rFonts w:ascii="Arial" w:hAnsi="Arial" w:cs="Arial"/>
          <w:b/>
          <w:i w:val="0"/>
          <w:color w:val="000000"/>
          <w:sz w:val="28"/>
        </w:rPr>
        <w:t>1)</w:t>
      </w:r>
      <w:r>
        <w:rPr>
          <w:rFonts w:ascii="Arial" w:hAnsi="Arial" w:cs="Arial"/>
          <w:b w:val="0"/>
          <w:i w:val="0"/>
          <w:color w:val="000000"/>
          <w:sz w:val="28"/>
        </w:rPr>
        <w:t xml:space="preserve"> a r. decisão indeferiu a gratuidade de justiça com base em critério exclusivamente objetivo de renda, vedado pelo STJ, quando a hipossuficiência decorre da escassez de recursos depois das despesas básicas; </w:t>
      </w:r>
      <w:r>
        <w:rPr>
          <w:rFonts w:ascii="Arial" w:hAnsi="Arial" w:cs="Arial"/>
          <w:b/>
          <w:i w:val="0"/>
          <w:color w:val="000000"/>
          <w:sz w:val="28"/>
        </w:rPr>
        <w:t>2)</w:t>
      </w:r>
      <w:r>
        <w:rPr>
          <w:rFonts w:ascii="Arial" w:hAnsi="Arial" w:cs="Arial"/>
          <w:b w:val="0"/>
          <w:i w:val="0"/>
          <w:color w:val="000000"/>
          <w:sz w:val="28"/>
        </w:rPr>
        <w:t xml:space="preserve"> arca com aluguel e condomínio, pensão alimentícia de 30% de seus rendimentos líquidos, 50% do plano de saúde e das coparticipações e 50% dos medicamentos dos filhos, o que reduz a renda líquida a R$ 5.795,32 só com a pensão e a R$ 3.888,21 com os demais gastos; e </w:t>
      </w:r>
      <w:r>
        <w:rPr>
          <w:rFonts w:ascii="Arial" w:hAnsi="Arial" w:cs="Arial"/>
          <w:b/>
          <w:i w:val="0"/>
          <w:color w:val="000000"/>
          <w:sz w:val="28"/>
        </w:rPr>
        <w:t>3)</w:t>
      </w:r>
      <w:r>
        <w:rPr>
          <w:rFonts w:ascii="Arial" w:hAnsi="Arial" w:cs="Arial"/>
          <w:b w:val="0"/>
          <w:i w:val="0"/>
          <w:color w:val="000000"/>
          <w:sz w:val="28"/>
        </w:rPr>
        <w:t xml:space="preserve"> havendo dúvida, o Juízo devia ter oportunizado a comprovação (CPC 99 § 2º), e a hipossuficiência pode ser demonstrada a qualquer tempo (ID 87871317, 88433605 e 89964753).</w:t>
      </w:r>
    </w:p>
    <w:p>
      <w:pPr>
        <w:spacing w:line="360" w:lineRule="auto" w:after="0"/>
        <w:ind w:firstLine="2268"/>
      </w:pPr>
      <w:r>
        <w:rPr>
          <w:color w:val="000000"/>
          <w:sz w:val="28"/>
        </w:rPr>
      </w:r>
    </w:p>
    <w:p>
      <w:pPr>
        <w:spacing w:line="360" w:lineRule="auto" w:after="0" w:before="0"/>
        <w:ind w:firstLine="2268"/>
        <w:jc w:val="both"/>
      </w:pPr>
      <w:r>
        <w:rPr>
          <w:rFonts w:ascii="Arial" w:hAnsi="Arial" w:cs="Arial"/>
          <w:b w:val="0"/>
          <w:i w:val="0"/>
          <w:color w:val="000000"/>
          <w:sz w:val="28"/>
        </w:rPr>
        <w:t>Requer a reforma da r. decisão para que lhe seja concedida a gratuidade de justiça.</w:t>
      </w:r>
    </w:p>
    <w:p>
      <w:pPr>
        <w:spacing w:line="360" w:lineRule="auto" w:after="0"/>
        <w:ind w:firstLine="2268"/>
      </w:pPr>
      <w:r>
        <w:rPr>
          <w:color w:val="000000"/>
          <w:sz w:val="28"/>
        </w:rPr>
      </w:r>
    </w:p>
    <w:p>
      <w:pPr>
        <w:spacing w:line="360" w:lineRule="auto" w:after="0" w:before="0"/>
        <w:ind w:firstLine="2268"/>
        <w:jc w:val="both"/>
      </w:pPr>
      <w:commentRangeStart w:id="6"/>
      <w:r>
        <w:rPr>
          <w:rFonts w:ascii="Arial" w:hAnsi="Arial" w:cs="Arial"/>
          <w:b w:val="0"/>
          <w:i w:val="0"/>
          <w:color w:val="000000"/>
          <w:sz w:val="28"/>
          <w:highlight w:val="yellow"/>
        </w:rPr>
        <w:t>Sem razão.</w:t>
      </w:r>
      <w:commentRangeEnd w:id="6"/>
      <w:r>
        <w:rPr>
          <w:rStyle w:val="CommentReference"/>
        </w:rPr>
        <w:commentReference w:id="6"/>
      </w:r>
    </w:p>
    <w:p>
      <w:pPr>
        <w:spacing w:line="360" w:lineRule="auto" w:after="0"/>
        <w:ind w:firstLine="2268"/>
      </w:pPr>
      <w:r>
        <w:rPr>
          <w:color w:val="000000"/>
          <w:sz w:val="28"/>
        </w:rPr>
      </w:r>
    </w:p>
    <w:p>
      <w:pPr>
        <w:spacing w:line="360" w:lineRule="auto" w:after="0" w:before="0"/>
        <w:ind w:firstLine="2268"/>
        <w:jc w:val="both"/>
      </w:pPr>
      <w:commentRangeStart w:id="7"/>
      <w:r>
        <w:rPr>
          <w:rFonts w:ascii="Arial" w:hAnsi="Arial" w:cs="Arial"/>
          <w:b w:val="0"/>
          <w:i w:val="0"/>
          <w:color w:val="000000"/>
          <w:sz w:val="28"/>
        </w:rPr>
        <w:t>Mantenho as razões expostas na decisão liminar que indeferiu a antecipação da tutela recursal (ID 87961812):</w:t>
      </w:r>
      <w:commentRangeEnd w:id="7"/>
      <w:r>
        <w:rPr>
          <w:rStyle w:val="CommentReference"/>
        </w:rPr>
        <w:commentReference w:id="7"/>
      </w:r>
    </w:p>
    <w:p>
      <w:pPr>
        <w:spacing w:line="360" w:lineRule="auto" w:after="0"/>
        <w:ind w:firstLine="2268"/>
      </w:pPr>
      <w:r>
        <w:rPr>
          <w:color w:val="000000"/>
          <w:sz w:val="28"/>
        </w:rPr>
      </w:r>
    </w:p>
    <w:p>
      <w:pPr>
        <w:spacing w:line="360" w:lineRule="auto" w:after="0" w:before="0"/>
        <w:ind w:firstLine="1134" w:left="2268"/>
        <w:jc w:val="both"/>
      </w:pPr>
      <w:r>
        <w:rPr>
          <w:rFonts w:ascii="Arial" w:hAnsi="Arial" w:cs="Arial"/>
          <w:b w:val="0"/>
          <w:i/>
          <w:color w:val="000000"/>
          <w:sz w:val="26"/>
        </w:rPr>
        <w:t>“Não vislumbro a probabilidade do direito alegado, ao menos nesta sede de cognição sumária.</w:t>
      </w:r>
    </w:p>
    <w:p>
      <w:pPr>
        <w:spacing w:line="360" w:lineRule="auto" w:after="0" w:before="0"/>
        <w:ind w:firstLine="1134" w:left="2268"/>
        <w:jc w:val="both"/>
      </w:pPr>
      <w:r>
        <w:rPr>
          <w:rFonts w:ascii="Arial" w:hAnsi="Arial" w:cs="Arial"/>
          <w:b w:val="0"/>
          <w:i/>
          <w:color w:val="000000"/>
          <w:sz w:val="26"/>
        </w:rPr>
        <w:t>Conforme constou da r. decisão agravada:</w:t>
      </w:r>
    </w:p>
    <w:p>
      <w:pPr>
        <w:spacing w:line="360" w:lineRule="auto" w:after="0" w:before="0"/>
        <w:ind w:left="3402"/>
        <w:jc w:val="both"/>
      </w:pPr>
      <w:r>
        <w:rPr>
          <w:rFonts w:ascii="Arial" w:hAnsi="Arial" w:cs="Arial"/>
          <w:b w:val="0"/>
          <w:i/>
          <w:color w:val="000000"/>
          <w:sz w:val="26"/>
        </w:rPr>
        <w:t>‘(...) O réu renovou o pedido de concessão dos benefícios da gratuidade de justiça, sustentando que sua renda disponível seria insuficiente para suportar as despesas processuais.</w:t>
      </w:r>
    </w:p>
    <w:p>
      <w:pPr>
        <w:spacing w:line="360" w:lineRule="auto" w:after="0" w:before="0"/>
        <w:ind w:left="3402"/>
        <w:jc w:val="both"/>
      </w:pPr>
      <w:r>
        <w:rPr>
          <w:rFonts w:ascii="Arial" w:hAnsi="Arial" w:cs="Arial"/>
          <w:b w:val="0"/>
          <w:i/>
          <w:color w:val="000000"/>
          <w:sz w:val="26"/>
        </w:rPr>
        <w:t>Nos termos dos arts. 98 e 99 do Código de Processo Civil, a pessoa natural faz jus à gratuidade de justiça quando demonstrar insuficiência de recursos para arcar com as despesas processuais sem prejuízo do próprio sustento ou de sua família. A declaração de hipossuficiência goza de presunção relativa de veracidade, podendo ser afastada quando existirem elementos concretos que evidenciem capacidade financeira incompatível com o benefício.</w:t>
      </w:r>
    </w:p>
    <w:p>
      <w:pPr>
        <w:spacing w:line="360" w:lineRule="auto" w:after="0" w:before="0"/>
        <w:ind w:left="3402"/>
        <w:jc w:val="both"/>
      </w:pPr>
      <w:r>
        <w:rPr>
          <w:rFonts w:ascii="Arial" w:hAnsi="Arial" w:cs="Arial"/>
          <w:b w:val="0"/>
          <w:i/>
          <w:color w:val="000000"/>
          <w:sz w:val="26"/>
        </w:rPr>
        <w:t>No âmbito deste Tribunal, adota-se, como critério objetivo de aferição da hipossuficiência econômica, o parâmetro atualmente previsto na Resolução nº 271/2023 do Conselho Superior da Defensoria Pública do Distrito Federal, correspondente à renda líquida mensal de até cinco salários-mínimos, entendimento que vem sendo prestigiado pela jurisprudência do TJDFT.</w:t>
      </w:r>
    </w:p>
    <w:p>
      <w:pPr>
        <w:spacing w:line="360" w:lineRule="auto" w:after="0" w:before="0"/>
        <w:ind w:left="3402"/>
        <w:jc w:val="both"/>
      </w:pPr>
      <w:r>
        <w:rPr>
          <w:rFonts w:ascii="Arial" w:hAnsi="Arial" w:cs="Arial"/>
          <w:b w:val="0"/>
          <w:i/>
          <w:color w:val="000000"/>
          <w:sz w:val="26"/>
        </w:rPr>
        <w:t>No caso, a autora juntou contracheque do requerido (ID 274557593), bem como decisão proferida em ação de alimentos (ID 274557594), na qual foi reconhecido que sua remuneração supera o parâmetro normalmente adotado por este Tribunal para aferição da hipossuficiência financeira.</w:t>
      </w:r>
    </w:p>
    <w:p>
      <w:pPr>
        <w:spacing w:line="360" w:lineRule="auto" w:after="0" w:before="0"/>
        <w:ind w:left="3402"/>
        <w:jc w:val="both"/>
      </w:pPr>
      <w:r>
        <w:rPr>
          <w:rFonts w:ascii="Arial" w:hAnsi="Arial" w:cs="Arial"/>
          <w:b w:val="0"/>
          <w:i/>
          <w:color w:val="000000"/>
          <w:sz w:val="26"/>
        </w:rPr>
        <w:t>Embora alegue o requerido que demonstrou que arca com o pagamento de pensão alimentícia fixada no importe de 30% de seus rendimentos, bem como com o pagamento de 50% do plano de saúde dos filhos, além das despesas de coparticipação referentes a consultas, exames e demais procedimentos médicos a eles destinados, não constam nos presentes autos quaisquer documentos comprobatórios das aludidas despesas.</w:t>
      </w:r>
    </w:p>
    <w:p>
      <w:pPr>
        <w:spacing w:line="360" w:lineRule="auto" w:after="0" w:before="0"/>
        <w:ind w:left="3402"/>
        <w:jc w:val="both"/>
      </w:pPr>
      <w:r>
        <w:rPr>
          <w:rFonts w:ascii="Arial" w:hAnsi="Arial" w:cs="Arial"/>
          <w:b w:val="0"/>
          <w:i/>
          <w:color w:val="000000"/>
          <w:sz w:val="26"/>
        </w:rPr>
        <w:t>Assim, inexistindo demonstração objetiva da impossibilidade de arcar com as despesas do processo, indefiro o pedido de gratuidade de justiça do requerido. (...)’ (ID 283224346, processo de origem) – Grifei</w:t>
      </w:r>
    </w:p>
    <w:p>
      <w:pPr>
        <w:spacing w:line="360" w:lineRule="auto" w:after="0" w:before="0"/>
        <w:ind w:firstLine="1134" w:left="2268"/>
        <w:jc w:val="both"/>
      </w:pPr>
      <w:r>
        <w:rPr>
          <w:rFonts w:ascii="Arial" w:hAnsi="Arial" w:cs="Arial"/>
          <w:b w:val="0"/>
          <w:i/>
          <w:color w:val="000000"/>
          <w:sz w:val="26"/>
        </w:rPr>
        <w:t>Nesse contexto, verifica-se que o contracheque juntado aos autos (ID 87871319) é de julho de 2025, com renda líquida indicada de R$ 8.279,04, acrescida de benefícios adicionais no valor de R$ 1.693,04.</w:t>
      </w:r>
    </w:p>
    <w:p>
      <w:pPr>
        <w:spacing w:line="360" w:lineRule="auto" w:after="0" w:before="0"/>
        <w:ind w:firstLine="1134" w:left="2268"/>
        <w:jc w:val="both"/>
      </w:pPr>
      <w:r>
        <w:rPr>
          <w:rFonts w:ascii="Arial" w:hAnsi="Arial" w:cs="Arial"/>
          <w:b w:val="0"/>
          <w:i/>
          <w:color w:val="000000"/>
          <w:sz w:val="26"/>
        </w:rPr>
        <w:t>Dessa forma, não se desconsideram os descontos supervenientes com os alimentos fixados em favor dos filhos (ID 87871320), tampouco os demais repasses indicados (ID 87871321), mas, em análise preliminar, não se verifica documentação atual apta a corroborar com a alegada hipossuficiência do réu/agravante.</w:t>
      </w:r>
    </w:p>
    <w:p>
      <w:pPr>
        <w:spacing w:line="360" w:lineRule="auto" w:after="0" w:before="0"/>
        <w:ind w:firstLine="1134" w:left="2268"/>
        <w:jc w:val="both"/>
      </w:pPr>
      <w:r>
        <w:rPr>
          <w:rFonts w:ascii="Arial" w:hAnsi="Arial" w:cs="Arial"/>
          <w:b w:val="0"/>
          <w:i/>
          <w:color w:val="000000"/>
          <w:sz w:val="26"/>
        </w:rPr>
        <w:t>Nesse sentido:</w:t>
      </w:r>
    </w:p>
    <w:p>
      <w:pPr>
        <w:spacing w:line="360" w:lineRule="auto" w:after="0" w:before="0"/>
        <w:ind w:left="3402"/>
        <w:jc w:val="both"/>
      </w:pPr>
      <w:r>
        <w:rPr>
          <w:rFonts w:ascii="Arial" w:hAnsi="Arial" w:cs="Arial"/>
          <w:b w:val="0"/>
          <w:i/>
          <w:color w:val="000000"/>
          <w:sz w:val="26"/>
        </w:rPr>
        <w:t>‘(...) Tese de julgamento: “1. A presunção de veracidade da declaração de hipossuficiência prevista no art. 99, § 3º, do CPC é relativa e pode ser afastada por elementos concretos que demonstrem capacidade financeira da parte. 2. A percepção de renda mensal superior a cinco salários-mínimos, desacompanhada de prova de circunstâncias excepcionais que comprometam o mínimo existencial, afasta o direito à gratuidade de justiça.” (...) (Acórdão 2148763, 0721614-43.2026.8.07.0000, Relator(a): LEONOR AGUENA, 5ª TURMA CÍVEL, data de julgamento: 16/07/2026, publicado no DJe: 22/07/2026.)’ – Grifei”</w:t>
      </w:r>
    </w:p>
    <w:p>
      <w:pPr>
        <w:spacing w:line="360" w:lineRule="auto" w:after="0"/>
        <w:ind w:firstLine="2268"/>
      </w:pPr>
      <w:r>
        <w:rPr>
          <w:color w:val="000000"/>
          <w:sz w:val="28"/>
        </w:rPr>
      </w:r>
    </w:p>
    <w:p>
      <w:pPr>
        <w:spacing w:line="360" w:lineRule="auto" w:after="0" w:before="0"/>
        <w:ind w:firstLine="2268"/>
        <w:jc w:val="both"/>
      </w:pPr>
      <w:r>
        <w:rPr>
          <w:rFonts w:ascii="Arial" w:hAnsi="Arial" w:cs="Arial"/>
          <w:b w:val="0"/>
          <w:i w:val="0"/>
          <w:color w:val="000000"/>
          <w:sz w:val="28"/>
        </w:rPr>
        <w:t>O art. 99, §§ 2º e 3º, do CPC, ao qual a liminar remeteu, dispõe:</w:t>
      </w:r>
    </w:p>
    <w:p>
      <w:pPr>
        <w:spacing w:line="360" w:lineRule="auto" w:after="0"/>
        <w:ind w:firstLine="2268"/>
      </w:pPr>
      <w:r>
        <w:rPr>
          <w:color w:val="000000"/>
          <w:sz w:val="28"/>
        </w:rPr>
      </w:r>
    </w:p>
    <w:p>
      <w:pPr>
        <w:spacing w:line="360" w:lineRule="auto" w:after="0" w:before="0"/>
        <w:ind w:left="2268"/>
        <w:jc w:val="both"/>
      </w:pPr>
      <w:r>
        <w:rPr>
          <w:rFonts w:ascii="Arial" w:hAnsi="Arial" w:cs="Arial"/>
          <w:b w:val="0"/>
          <w:i/>
          <w:color w:val="000000"/>
          <w:sz w:val="26"/>
        </w:rPr>
        <w:t>“Art. 99. O pedido de gratuidade da justiça pode ser formulado na petição inicial, na contestação, na petição para ingresso de terceiro no processo ou em recurso.</w:t>
      </w:r>
    </w:p>
    <w:p>
      <w:pPr>
        <w:spacing w:line="360" w:lineRule="auto" w:after="0" w:before="0"/>
        <w:ind w:left="2268"/>
        <w:jc w:val="both"/>
      </w:pPr>
      <w:r>
        <w:rPr>
          <w:rFonts w:ascii="Arial" w:hAnsi="Arial" w:cs="Arial"/>
          <w:b w:val="0"/>
          <w:i/>
          <w:color w:val="000000"/>
          <w:sz w:val="26"/>
        </w:rPr>
        <w:t>(...)</w:t>
      </w:r>
    </w:p>
    <w:p>
      <w:pPr>
        <w:spacing w:line="360" w:lineRule="auto" w:after="0" w:before="0"/>
        <w:ind w:left="2268"/>
        <w:jc w:val="both"/>
      </w:pPr>
      <w:r>
        <w:rPr>
          <w:rFonts w:ascii="Arial" w:hAnsi="Arial" w:cs="Arial"/>
          <w:b w:val="0"/>
          <w:i/>
          <w:color w:val="000000"/>
          <w:sz w:val="26"/>
        </w:rPr>
        <w:t xml:space="preserve">§ 2º O juiz somente poderá indeferir o pedido se houver nos autos elementos que evidenciem a falta dos pressupostos legais para a concessão de gratuidade, devendo, antes de indeferir o pedido, </w:t>
      </w:r>
      <w:r>
        <w:rPr>
          <w:rFonts w:ascii="Arial" w:hAnsi="Arial" w:cs="Arial"/>
          <w:b w:val="0"/>
          <w:i/>
          <w:color w:val="000000"/>
          <w:sz w:val="26"/>
          <w:u w:val="single"/>
        </w:rPr>
        <w:t>determinar à parte a comprovação do preenchimento dos referidos pressupostos</w:t>
      </w:r>
      <w:r>
        <w:rPr>
          <w:rFonts w:ascii="Arial" w:hAnsi="Arial" w:cs="Arial"/>
          <w:b w:val="0"/>
          <w:i/>
          <w:color w:val="000000"/>
          <w:sz w:val="26"/>
        </w:rPr>
        <w:t>.</w:t>
      </w:r>
    </w:p>
    <w:p>
      <w:pPr>
        <w:spacing w:line="360" w:lineRule="auto" w:after="0" w:before="0"/>
        <w:ind w:left="2268"/>
        <w:jc w:val="both"/>
      </w:pPr>
      <w:r>
        <w:rPr>
          <w:rFonts w:ascii="Arial" w:hAnsi="Arial" w:cs="Arial"/>
          <w:b w:val="0"/>
          <w:i/>
          <w:color w:val="000000"/>
          <w:sz w:val="26"/>
        </w:rPr>
        <w:t>§ 3º Presume-se verdadeira a alegação de insuficiência deduzida exclusivamente por pessoa natural.” – Grifei</w:t>
      </w:r>
    </w:p>
    <w:p>
      <w:pPr>
        <w:spacing w:line="360" w:lineRule="auto" w:after="0"/>
        <w:ind w:firstLine="2268"/>
      </w:pPr>
      <w:r>
        <w:rPr>
          <w:color w:val="000000"/>
          <w:sz w:val="28"/>
        </w:rPr>
      </w:r>
    </w:p>
    <w:p>
      <w:pPr>
        <w:spacing w:line="360" w:lineRule="auto" w:after="0" w:before="0"/>
        <w:ind w:firstLine="2268"/>
        <w:jc w:val="both"/>
      </w:pPr>
      <w:commentRangeStart w:id="8"/>
      <w:r>
        <w:rPr>
          <w:rFonts w:ascii="Arial" w:hAnsi="Arial" w:cs="Arial"/>
          <w:b w:val="0"/>
          <w:i w:val="0"/>
          <w:color w:val="000000"/>
          <w:sz w:val="28"/>
        </w:rPr>
        <w:t>Sobre a alegação de critério exclusivamente objetivo, o c. STJ, no julgamento do Tema Repetitivo 1.178, fixou as seguintes teses:</w:t>
      </w:r>
      <w:commentRangeEnd w:id="8"/>
      <w:r>
        <w:rPr>
          <w:rStyle w:val="CommentReference"/>
        </w:rPr>
        <w:commentReference w:id="8"/>
      </w:r>
    </w:p>
    <w:p>
      <w:pPr>
        <w:spacing w:line="360" w:lineRule="auto" w:after="0"/>
        <w:ind w:firstLine="2268"/>
      </w:pPr>
      <w:r>
        <w:rPr>
          <w:color w:val="000000"/>
          <w:sz w:val="28"/>
        </w:rPr>
      </w:r>
    </w:p>
    <w:p>
      <w:pPr>
        <w:spacing w:line="360" w:lineRule="auto" w:after="0" w:before="0"/>
        <w:ind w:firstLine="1134" w:left="2268"/>
        <w:jc w:val="both"/>
      </w:pPr>
      <w:r>
        <w:rPr>
          <w:rFonts w:ascii="Arial" w:hAnsi="Arial" w:cs="Arial"/>
          <w:b w:val="0"/>
          <w:i/>
          <w:color w:val="000000"/>
          <w:sz w:val="26"/>
        </w:rPr>
        <w:t>“i) É vedado o uso de critérios objetivos para o indeferimento imediato da gratuidade judiciária requerida por pessoa natural.</w:t>
      </w:r>
    </w:p>
    <w:p>
      <w:pPr>
        <w:spacing w:line="360" w:lineRule="auto" w:after="0" w:before="0"/>
        <w:ind w:firstLine="1134" w:left="2268"/>
        <w:jc w:val="both"/>
      </w:pPr>
      <w:r>
        <w:rPr>
          <w:rFonts w:ascii="Arial" w:hAnsi="Arial" w:cs="Arial"/>
          <w:b w:val="0"/>
          <w:i/>
          <w:color w:val="000000"/>
          <w:sz w:val="26"/>
        </w:rPr>
        <w:t xml:space="preserve">ii) </w:t>
      </w:r>
      <w:r>
        <w:rPr>
          <w:rFonts w:ascii="Arial" w:hAnsi="Arial" w:cs="Arial"/>
          <w:b w:val="0"/>
          <w:i/>
          <w:color w:val="000000"/>
          <w:sz w:val="26"/>
          <w:u w:val="single"/>
        </w:rPr>
        <w:t>Verificada a existência nos autos de elementos aptos a afastar a presunção de hipossuficiência econômica da pessoa natural, o juiz deverá determinar ao requerente a comprovação de sua condição, indicando de modo preciso as razões que justificam tal afastamento</w:t>
      </w:r>
      <w:r>
        <w:rPr>
          <w:rFonts w:ascii="Arial" w:hAnsi="Arial" w:cs="Arial"/>
          <w:b w:val="0"/>
          <w:i/>
          <w:color w:val="000000"/>
          <w:sz w:val="26"/>
        </w:rPr>
        <w:t>, nos termos do art. 99, § 2º, do CPC.</w:t>
      </w:r>
    </w:p>
    <w:p>
      <w:pPr>
        <w:spacing w:line="360" w:lineRule="auto" w:after="0" w:before="0"/>
        <w:ind w:firstLine="1134" w:left="2268"/>
        <w:jc w:val="both"/>
      </w:pPr>
      <w:r>
        <w:rPr>
          <w:rFonts w:ascii="Arial" w:hAnsi="Arial" w:cs="Arial"/>
          <w:b w:val="0"/>
          <w:i/>
          <w:color w:val="000000"/>
          <w:sz w:val="26"/>
        </w:rPr>
        <w:t>iii) Cumprida a diligência, a adoção de parâmetros objetivos pelo magistrado pode ser realizada em caráter meramente suplementar e desde que não sirva como fundamento exclusivo para o indeferimento do pedido de gratuidade.” (REsp n. 1.988.686/RJ, relator Ministro Og Fernandes, Corte Especial, julgado em 17/9/2025, DJEN de 18/3/2026.) – Grifei</w:t>
      </w:r>
    </w:p>
    <w:p>
      <w:pPr>
        <w:spacing w:line="360" w:lineRule="auto" w:after="0"/>
        <w:ind w:firstLine="2268"/>
      </w:pPr>
      <w:r>
        <w:rPr>
          <w:color w:val="000000"/>
          <w:sz w:val="28"/>
        </w:rPr>
      </w:r>
    </w:p>
    <w:p>
      <w:pPr>
        <w:spacing w:line="360" w:lineRule="auto" w:after="0" w:before="0"/>
        <w:ind w:firstLine="2268"/>
        <w:jc w:val="both"/>
      </w:pPr>
      <w:r>
        <w:rPr>
          <w:rFonts w:ascii="Arial" w:hAnsi="Arial" w:cs="Arial"/>
          <w:b w:val="0"/>
          <w:i w:val="0"/>
          <w:color w:val="000000"/>
          <w:sz w:val="28"/>
        </w:rPr>
        <w:t xml:space="preserve">No caso, a r. decisão agravada não se limitou ao parâmetro de renda: </w:t>
      </w:r>
      <w:r>
        <w:rPr>
          <w:rFonts w:ascii="Arial" w:hAnsi="Arial" w:cs="Arial"/>
          <w:b w:val="0"/>
          <w:i w:val="0"/>
          <w:color w:val="000000"/>
          <w:sz w:val="28"/>
          <w:highlight w:val="yellow"/>
        </w:rPr>
        <w:t>considerou as despesas alegadas e a ausência de documentos que as comprovassem (ID 283224346, processo de origem)</w:t>
      </w:r>
      <w:r>
        <w:rPr>
          <w:rFonts w:ascii="Arial" w:hAnsi="Arial" w:cs="Arial"/>
          <w:b w:val="0"/>
          <w:i w:val="0"/>
          <w:color w:val="000000"/>
          <w:sz w:val="28"/>
        </w:rPr>
        <w:t>.</w:t>
      </w:r>
    </w:p>
    <w:p>
      <w:pPr>
        <w:spacing w:line="360" w:lineRule="auto" w:after="0"/>
        <w:ind w:firstLine="2268"/>
      </w:pPr>
      <w:r>
        <w:rPr>
          <w:color w:val="000000"/>
          <w:sz w:val="28"/>
        </w:rPr>
      </w:r>
    </w:p>
    <w:p>
      <w:pPr>
        <w:spacing w:line="360" w:lineRule="auto" w:after="0" w:before="0"/>
        <w:ind w:firstLine="2268"/>
        <w:jc w:val="both"/>
      </w:pPr>
      <w:r>
        <w:rPr>
          <w:rFonts w:ascii="Arial" w:hAnsi="Arial" w:cs="Arial"/>
          <w:b w:val="0"/>
          <w:i w:val="0"/>
          <w:color w:val="000000"/>
          <w:sz w:val="28"/>
        </w:rPr>
        <w:t xml:space="preserve">Os documentos do agravo e dos embargos de declaração não suprem essa lacuna, pois </w:t>
      </w:r>
      <w:r>
        <w:rPr>
          <w:rFonts w:ascii="Arial" w:hAnsi="Arial" w:cs="Arial"/>
          <w:b w:val="0"/>
          <w:i w:val="0"/>
          <w:color w:val="000000"/>
          <w:sz w:val="28"/>
          <w:highlight w:val="yellow"/>
        </w:rPr>
        <w:t>o único contracheque é de julho de 2025 e os comprovantes de repasses e as planilhas de gastos referem-se a despesas de 2026, sem a prova da renda atual do agravante (ID 87871319, 87871321, 87871323 e 88433606)</w:t>
      </w:r>
      <w:r>
        <w:rPr>
          <w:rFonts w:ascii="Arial" w:hAnsi="Arial" w:cs="Arial"/>
          <w:b w:val="0"/>
          <w:i w:val="0"/>
          <w:color w:val="000000"/>
          <w:sz w:val="28"/>
        </w:rPr>
        <w:t>.</w:t>
      </w:r>
    </w:p>
    <w:p>
      <w:pPr>
        <w:spacing w:line="360" w:lineRule="auto" w:after="0"/>
        <w:ind w:firstLine="2268"/>
      </w:pPr>
      <w:r>
        <w:rPr>
          <w:color w:val="000000"/>
          <w:sz w:val="28"/>
        </w:rPr>
      </w:r>
    </w:p>
    <w:p>
      <w:pPr>
        <w:spacing w:line="360" w:lineRule="auto" w:after="0" w:before="0"/>
        <w:ind w:firstLine="2268"/>
        <w:jc w:val="both"/>
      </w:pPr>
      <w:r>
        <w:rPr>
          <w:rFonts w:ascii="Arial" w:hAnsi="Arial" w:cs="Arial"/>
          <w:b w:val="0"/>
          <w:i w:val="0"/>
          <w:color w:val="000000"/>
          <w:sz w:val="28"/>
        </w:rPr>
        <w:t>O valor de R$ 3.888,21 que o agravante apresenta aplica a pensão de 30% e as despesas de 2026 sobre o contracheque de 2025, isto é, combina períodos distintos e não demonstra a renda disponível atual (ID 88433605 e 89964753).</w:t>
      </w:r>
    </w:p>
    <w:p>
      <w:pPr>
        <w:spacing w:line="360" w:lineRule="auto" w:after="0"/>
        <w:ind w:firstLine="2268"/>
      </w:pPr>
      <w:r>
        <w:rPr>
          <w:color w:val="000000"/>
          <w:sz w:val="28"/>
        </w:rPr>
      </w:r>
    </w:p>
    <w:p>
      <w:pPr>
        <w:spacing w:line="360" w:lineRule="auto" w:after="0" w:before="0"/>
        <w:ind w:firstLine="2268"/>
        <w:jc w:val="both"/>
      </w:pPr>
      <w:commentRangeStart w:id="9"/>
      <w:r>
        <w:rPr>
          <w:rFonts w:ascii="Arial" w:hAnsi="Arial" w:cs="Arial"/>
          <w:b w:val="0"/>
          <w:i w:val="0"/>
          <w:color w:val="000000"/>
          <w:sz w:val="28"/>
        </w:rPr>
        <w:t>A liminar já apontara a falta de documentação atual, e o agravante, nos embargos de declaração e na petição posterior, manteve o mesmo contracheque (ID 87961812, 88433605 e 89964753).</w:t>
      </w:r>
      <w:commentRangeEnd w:id="9"/>
      <w:r>
        <w:rPr>
          <w:rStyle w:val="CommentReference"/>
        </w:rPr>
        <w:commentReference w:id="9"/>
      </w:r>
    </w:p>
    <w:p>
      <w:pPr>
        <w:spacing w:line="360" w:lineRule="auto" w:after="0"/>
        <w:ind w:firstLine="2268"/>
      </w:pPr>
      <w:r>
        <w:rPr>
          <w:color w:val="000000"/>
          <w:sz w:val="28"/>
        </w:rPr>
      </w:r>
    </w:p>
    <w:p>
      <w:pPr>
        <w:spacing w:line="360" w:lineRule="auto" w:after="0" w:before="0"/>
        <w:ind w:firstLine="2268"/>
        <w:jc w:val="both"/>
      </w:pPr>
      <w:commentRangeStart w:id="10"/>
      <w:r>
        <w:rPr>
          <w:rFonts w:ascii="Arial" w:hAnsi="Arial" w:cs="Arial"/>
          <w:b w:val="0"/>
          <w:i w:val="0"/>
          <w:color w:val="000000"/>
          <w:sz w:val="28"/>
        </w:rPr>
        <w:t xml:space="preserve">Desse modo, ausente elemento novo capaz de infirmar os fundamentos já expostos, </w:t>
      </w:r>
      <w:r>
        <w:rPr>
          <w:rFonts w:ascii="Arial" w:hAnsi="Arial" w:cs="Arial"/>
          <w:b w:val="0"/>
          <w:i w:val="0"/>
          <w:color w:val="000000"/>
          <w:sz w:val="28"/>
          <w:highlight w:val="yellow"/>
        </w:rPr>
        <w:t>deve ser mantida a r. decisão agravada que indeferiu a gratuidade de justiça ao réu (ID 283224346, processo de origem)</w:t>
      </w:r>
      <w:r>
        <w:rPr>
          <w:rFonts w:ascii="Arial" w:hAnsi="Arial" w:cs="Arial"/>
          <w:b w:val="0"/>
          <w:i w:val="0"/>
          <w:color w:val="000000"/>
          <w:sz w:val="28"/>
        </w:rPr>
        <w:t>.</w:t>
      </w:r>
      <w:commentRangeEnd w:id="10"/>
      <w:r>
        <w:rPr>
          <w:rStyle w:val="CommentReference"/>
        </w:rPr>
        <w:commentReference w:id="10"/>
      </w:r>
    </w:p>
    <w:p>
      <w:pPr>
        <w:spacing w:line="360" w:lineRule="auto" w:after="0"/>
        <w:ind w:firstLine="2268"/>
      </w:pPr>
      <w:r>
        <w:rPr>
          <w:color w:val="000000"/>
          <w:sz w:val="28"/>
        </w:rPr>
      </w:r>
    </w:p>
    <w:p>
      <w:pPr>
        <w:spacing w:line="360" w:lineRule="auto" w:after="0" w:before="0"/>
        <w:jc w:val="center"/>
      </w:pPr>
      <w:r>
        <w:rPr>
          <w:rFonts w:ascii="Arial" w:hAnsi="Arial" w:cs="Arial"/>
          <w:b/>
          <w:i w:val="0"/>
          <w:color w:val="000000"/>
          <w:sz w:val="28"/>
        </w:rPr>
        <w:t>DISPOSITIVO</w:t>
      </w:r>
    </w:p>
    <w:p>
      <w:pPr>
        <w:spacing w:line="360" w:lineRule="auto" w:after="0"/>
        <w:ind w:firstLine="2268"/>
      </w:pPr>
      <w:r>
        <w:rPr>
          <w:color w:val="000000"/>
          <w:sz w:val="28"/>
        </w:rPr>
      </w:r>
    </w:p>
    <w:p>
      <w:pPr>
        <w:spacing w:line="360" w:lineRule="auto" w:after="0" w:before="0"/>
        <w:ind w:firstLine="2268"/>
        <w:jc w:val="both"/>
      </w:pPr>
      <w:commentRangeStart w:id="11"/>
      <w:r>
        <w:rPr>
          <w:rFonts w:ascii="Arial" w:hAnsi="Arial" w:cs="Arial"/>
          <w:b w:val="0"/>
          <w:i w:val="0"/>
          <w:color w:val="000000"/>
          <w:sz w:val="28"/>
        </w:rPr>
        <w:t xml:space="preserve">Ante o exposto, </w:t>
      </w:r>
      <w:r>
        <w:rPr>
          <w:rFonts w:ascii="Arial" w:hAnsi="Arial" w:cs="Arial"/>
          <w:b/>
          <w:i w:val="0"/>
          <w:color w:val="000000"/>
          <w:sz w:val="28"/>
        </w:rPr>
        <w:t>nego provimento</w:t>
      </w:r>
      <w:r>
        <w:rPr>
          <w:rFonts w:ascii="Arial" w:hAnsi="Arial" w:cs="Arial"/>
          <w:b w:val="0"/>
          <w:i w:val="0"/>
          <w:color w:val="000000"/>
          <w:sz w:val="28"/>
        </w:rPr>
        <w:t xml:space="preserve"> ao agravo de instrumento do réu, DANILO RAFAEL DE SOUZA MORAES.</w:t>
      </w:r>
      <w:commentRangeEnd w:id="11"/>
      <w:r>
        <w:rPr>
          <w:rStyle w:val="CommentReference"/>
        </w:rPr>
        <w:commentReference w:id="11"/>
      </w:r>
    </w:p>
    <w:p>
      <w:pPr>
        <w:spacing w:line="360" w:lineRule="auto" w:after="0"/>
        <w:ind w:firstLine="2268"/>
      </w:pPr>
      <w:r>
        <w:rPr>
          <w:color w:val="000000"/>
          <w:sz w:val="28"/>
        </w:rPr>
      </w:r>
    </w:p>
    <w:p>
      <w:pPr>
        <w:spacing w:line="360" w:lineRule="auto" w:after="0" w:before="0"/>
        <w:ind w:firstLine="2268"/>
        <w:jc w:val="both"/>
      </w:pPr>
      <w:commentRangeStart w:id="12"/>
      <w:r>
        <w:rPr>
          <w:rFonts w:ascii="Arial" w:hAnsi="Arial" w:cs="Arial"/>
          <w:b w:val="0"/>
          <w:i w:val="0"/>
          <w:color w:val="000000"/>
          <w:sz w:val="28"/>
        </w:rPr>
        <w:t>É como voto.</w:t>
      </w:r>
      <w:commentRangeEnd w:id="12"/>
      <w:r>
        <w:rPr>
          <w:rStyle w:val="CommentReference"/>
        </w:rPr>
        <w:commentReference w:id="12"/>
      </w:r>
    </w:p>
    <w:sectPr w:rsidRPr="0006063C" w:rsidR="00FC693F" w:rsidSect="00034616">
      <w:footerReference w:type="default" r:id="rId9"/>
      <w:pgSz w:w="11906" w:h="16838" w:orient="portrait"/>
      <w:pgMar w:top="1417" w:right="1701" w:bottom="1417" w:left="1701"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Minuta GDSXSR" w:initials="MG" w:date="2026-10-29T18:34:15Z">
    <w:p>
      <w:pPr>
        <w:pStyle w:val="CommentText"/>
      </w:pPr>
      <w:r>
        <w:rPr>
          <w:rStyle w:val="CommentReference"/>
        </w:rPr>
        <w:annotationRef/>
      </w:r>
      <w:r>
        <w:t>MINUTA GDSXSR — Ementa conforme C-3E (cabeçalho fecha em fórmula curta), C-37 (sem tese de julgamento) e C-3T v46: o não conhecimento parcial já decidido na liminar (prova oral e ofícios, CPC 1.015) não aparece no cabeçalho nem em item próprio.</w:t>
      </w:r>
    </w:p>
  </w:comment>
  <w:comment w:id="1" w:author="Minuta GDSXSR" w:initials="MG" w:date="2026-10-29T18:34:15Z">
    <w:p>
      <w:pPr>
        <w:pStyle w:val="CommentText"/>
      </w:pPr>
      <w:r>
        <w:rPr>
          <w:rStyle w:val="CommentReference"/>
        </w:rPr>
        <w:annotationRef/>
      </w:r>
      <w:r>
        <w:t>MINUTA GDSXSR — Item 1 conforme C-34, C-34A e C-3C (abre pela ação de origem e nomeia os papéis; partes são pessoas naturais). O valor da causa ficou de fora de propósito: a decisão liminar e a capa do AGI indicam R$ 1.326.500,00, mas a capa do processo de origem (PJe, 21/09/2026) mostra R$ 1.512,00. PENDÊNCIA (C-52): conferir o valor da causa no processo de origem antes de incluí-lo.</w:t>
      </w:r>
    </w:p>
  </w:comment>
  <w:comment w:id="2" w:author="Minuta GDSXSR" w:initials="MG" w:date="2026-10-29T18:34:15Z">
    <w:p>
      <w:pPr>
        <w:pStyle w:val="CommentText"/>
      </w:pPr>
      <w:r>
        <w:rPr>
          <w:rStyle w:val="CommentReference"/>
        </w:rPr>
        <w:annotationRef/>
      </w:r>
      <w:r>
        <w:t>MINUTA GDSXSR — PENDÊNCIA (C-52, C-72): (1) Tema 1.178/STJ conferido no iajus (tese vigente, julgado em 17/09/2025); o REsp 1.988.686/RJ, relator, órgão, data e DJEN 18/03/2026 vêm de acórdão do STJ que o cita (AREsp 2.168.799, Quarta Turma, j. 01/06/2026); conferir a publicação no SCON/STJ. Os REsp 1.988.687/RJ e 1.988.697/RJ, que o modelo AGI 0742524-91 também lista, não foram localizados no iajus e ficaram fora. (2) Acórdão 2148763 (5ª Turma, Des. Leonor Aguena) consta da liminar do Relator, mas não foi localizado no iajus pelo número CNJ; mantido por constar da liminar (C-72 v46), a conferir no JurisDF.</w:t>
      </w:r>
    </w:p>
  </w:comment>
  <w:comment w:id="3" w:author="Minuta GDSXSR" w:initials="MG" w:date="2026-10-29T18:34:15Z">
    <w:p>
      <w:pPr>
        <w:pStyle w:val="CommentText"/>
      </w:pPr>
      <w:r>
        <w:rPr>
          <w:rStyle w:val="CommentReference"/>
        </w:rPr>
        <w:annotationRef/>
      </w:r>
      <w:r>
        <w:t>MINUTA GDSXSR — Resumo de trabalho (C-39), feito das razões do agravo (ID 87871317), dos embargos de declaração (ID 88433605) e da petição de ID 89964753; é o melhor argumento contrário ao voto.</w:t>
      </w:r>
    </w:p>
  </w:comment>
  <w:comment w:id="4" w:author="Minuta GDSXSR" w:initials="MG" w:date="2026-10-29T18:34:15Z">
    <w:p>
      <w:pPr>
        <w:pStyle w:val="CommentText"/>
      </w:pPr>
      <w:r>
        <w:rPr>
          <w:rStyle w:val="CommentReference"/>
        </w:rPr>
        <w:annotationRef/>
      </w:r>
      <w:r>
        <w:t>MINUTA GDSXSR — Relatório da liminar adotado (C-3S): transcrito o relatório da decisão do Relator de 12/08/2026 (ID 87961812). Como em C-3S v46 e C-3T, a transcrição termina na descrição do pedido; a frase de decisão da liminar ficou fora das aspas e vai logo abaixo, em primeira pessoa. Depois seguem só os atos posteriores. Texto literal da liminar, inclusive "sigilo bancários".</w:t>
      </w:r>
    </w:p>
  </w:comment>
  <w:comment w:id="5" w:author="Minuta GDSXSR" w:initials="MG" w:date="2026-10-29T18:34:15Z">
    <w:p>
      <w:pPr>
        <w:pStyle w:val="CommentText"/>
      </w:pPr>
      <w:r>
        <w:rPr>
          <w:rStyle w:val="CommentReference"/>
        </w:rPr>
        <w:annotationRef/>
      </w:r>
      <w:r>
        <w:t>MINUTA GDSXSR — Admissibilidade direta (C-3T v46): o não conhecimento parcial (prova oral e ofícios, CPC 1.015 e Tema 988/STJ) já foi decidido na liminar (ID 87961812) e mantido ao rejeitar os embargos (ID 89114203); por isso não há capítulo sobre ele, nem na ementa nem no dispositivo, e a petição de ID 89964753, que pede o conhecimento da prova oral, não gerou capítulo. O pedido de exclusão do ofício à SUSEP perdeu o objeto sem necessidade de decisão (a liminar não conheceu desse ponto). Mantido sem capítulo, como na AGI 0738032-56 (C-3T v46).</w:t>
      </w:r>
    </w:p>
  </w:comment>
  <w:comment w:id="6" w:author="Minuta GDSXSR" w:initials="MG" w:date="2026-10-29T18:34:15Z">
    <w:p>
      <w:pPr>
        <w:pStyle w:val="CommentText"/>
      </w:pPr>
      <w:r>
        <w:rPr>
          <w:rStyle w:val="CommentReference"/>
        </w:rPr>
        <w:annotationRef/>
      </w:r>
      <w:r>
        <w:t>MINUTA GDSXSR — RESULTADO (C-53): voto NP, na linha da liminar (ID 87961812) e da decisão dos embargos (ID 89114203), em que o Relator já apontou a falta de documentação atual da renda. ATENÇÃO à linha do Gabinete: em AGI de gratuidade a tendência é DP quando a renda líquida, depois de descontos e despesas, fica abaixo de cinco salários mínimos (p. ex., 4ª TCiv, 0748654-34, j. 12/02/2026, e 0744271-13, j. 22/01/2026, Des. Sérgio Rocha; modelo AGI 0742524-91). Aqui o que decide é a prova: o contracheque é de julho/2025 (renda líquida de R$ 8.279,04), a pensão de 30% (decisão de alimentos, ID 87871320, imagem sem texto no arquivo recebido) e as despesas de 2026 não foram combinadas com renda atual. Se a origem não tiver intimado o réu para comprovar antes de indeferir (CPC 99 § 2º; Tema 1.178/STJ, item ii), a saída alternativa é DPP: reformar para determinar essa intimação. Isso depende de peças da origem que não vieram (ver o comentário final).</w:t>
      </w:r>
    </w:p>
  </w:comment>
  <w:comment w:id="7" w:author="Minuta GDSXSR" w:initials="MG" w:date="2026-10-29T18:34:15Z">
    <w:p>
      <w:pPr>
        <w:pStyle w:val="CommentText"/>
      </w:pPr>
      <w:r>
        <w:rPr>
          <w:rStyle w:val="CommentReference"/>
        </w:rPr>
        <w:annotationRef/>
      </w:r>
      <w:r>
        <w:t>MINUTA GDSXSR — Transcrição integral da fundamentação da liminar sobre a gratuidade (C-17 v42, C-3S): o corpo da liminar não é abreviado além do que ela própria fez; as citações internas passam a aspas simples e mantêm "– Grifei". Ficaram de fora só o parágrafo de não conhecimento parcial (C-3T) e as ordens finais (preparo, comunicação e contrarrazões), que não respondem ao agravo. Texto literal conferido com o ID 87961812, págs. 2 a 4.</w:t>
      </w:r>
    </w:p>
  </w:comment>
  <w:comment w:id="8" w:author="Minuta GDSXSR" w:initials="MG" w:date="2026-10-29T18:34:15Z">
    <w:p>
      <w:pPr>
        <w:pStyle w:val="CommentText"/>
      </w:pPr>
      <w:r>
        <w:rPr>
          <w:rStyle w:val="CommentReference"/>
        </w:rPr>
        <w:annotationRef/>
      </w:r>
      <w:r>
        <w:t>MINUTA GDSXSR — Texto literal (C-61, C-66 d): tese do Tema Repetitivo 1.178/STJ transcrita da base do iajus (registro vigente, julgado em 17/09/2025). Tese integral transcrita, porque a liminar não a trouxe e os embargos e o agravo a invocam. Fonte oficial a conferir no SCON/STJ (C-60).</w:t>
      </w:r>
    </w:p>
  </w:comment>
  <w:comment w:id="9" w:author="Minuta GDSXSR" w:initials="MG" w:date="2026-10-29T18:34:15Z">
    <w:p>
      <w:pPr>
        <w:pStyle w:val="CommentText"/>
      </w:pPr>
      <w:r>
        <w:rPr>
          <w:rStyle w:val="CommentReference"/>
        </w:rPr>
        <w:annotationRef/>
      </w:r>
      <w:r>
        <w:t>MINUTA GDSXSR — Fatos conferidos nos autos: os embargos (ID 88433605) juntaram apenas a planilha de gastos (ID 88433606) e repetiram o cálculo sobre o contracheque de julho/2025; a petição de ID 89964753 não veio com documentos novos (o ID 89964757 é a decisão dos embargos da origem). A rejeição dos embargos (ID 89114203) já registrou que o embargante mantém só a planilha de gastos "sem a correspondente comprovação dos seus rendimentos atuais".</w:t>
      </w:r>
    </w:p>
  </w:comment>
  <w:comment w:id="10" w:author="Minuta GDSXSR" w:initials="MG" w:date="2026-10-29T18:34:15Z">
    <w:p>
      <w:pPr>
        <w:pStyle w:val="CommentText"/>
      </w:pPr>
      <w:r>
        <w:rPr>
          <w:rStyle w:val="CommentReference"/>
        </w:rPr>
        <w:annotationRef/>
      </w:r>
      <w:r>
        <w:t>MINUTA GDSXSR — Fecho conforme C-17 e o perfil AGI 2.4. Não criei capítulo para o argumento de que o Juízo devia ter oportunizado a comprovação: respondi com a tese transcrita e com os fatos (a decisão examinou as despesas alegadas e o réu pôde suprir a lacuna após a liminar). Não usei o patrimônio da partilha (R$ 1.326.500,00 em discussão) como fundamento novo, por não constar da liminar (C-17, C-53). Observação: o acórdão que o próprio agravo cita (Acórdão 2152441, 1ª TCiv, 15/07/2026) mantém o indeferimento de gratuidade com renda superior a cinco salários mínimos mais patrimônio vultoso partilhado; não entrou no voto (C-65: um precedente por tese).</w:t>
      </w:r>
    </w:p>
  </w:comment>
  <w:comment w:id="11" w:author="Minuta GDSXSR" w:initials="MG" w:date="2026-10-29T18:34:15Z">
    <w:p>
      <w:pPr>
        <w:pStyle w:val="CommentText"/>
      </w:pPr>
      <w:r>
        <w:rPr>
          <w:rStyle w:val="CommentReference"/>
        </w:rPr>
        <w:annotationRef/>
      </w:r>
      <w:r>
        <w:t>MINUTA GDSXSR — Sem honorários recursais, em regra no AGI (perfil AGI, 3). Não há agravo interno pendente (a liminar foi atacada só por embargos de declaração, rejeitados).</w:t>
      </w:r>
    </w:p>
  </w:comment>
  <w:comment w:id="12" w:author="Minuta GDSXSR" w:initials="MG" w:date="2026-10-29T18:34:15Z">
    <w:p>
      <w:pPr>
        <w:pStyle w:val="CommentText"/>
      </w:pPr>
      <w:r>
        <w:rPr>
          <w:rStyle w:val="CommentReference"/>
        </w:rPr>
        <w:annotationRef/>
      </w:r>
      <w:r>
        <w:t>MINUTA GDSXSR — PENDÊNCIAS (C-52, C-24): (1) a decisão agravada integral (decisão saneadora, ID 283224346, do processo de origem) não veio nos autos recebidos, só os trechos que a liminar transcreve; por isso não há o anexo em verde (C-45). (2) O conteúdo da decisão de alimentos (ID 87871320) está em imagem sem texto; não pude conferir a data, a base da pensão de 30% e se o desconto já incide em folha. (3) Falta saber se a origem intimou o réu a comprovar a renda antes de indeferir (CPC 99 § 2º; Tema 1.178/STJ, item ii): a decisão em que o pedido foi "renovado" e as manifestações anteriores sobre a gratuidade (contestação, réplica ID 274557592, contracheque ID 274557593 e decisão de alimentos ID 274557594, do processo de origem) não vieram. O voto não afirma nem nega essa intimação.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33EDD17" wp14:textId="77777777">
    <w:pPr>
      <w:pStyle w:val="Footer"/>
      <w:jc w:val="right"/>
    </w:pPr>
    <w:r w:rsidRPr="7A6EA4F2">
      <w:rPr>
        <w:sz w:val="20"/>
        <w:szCs w:val="20"/>
      </w:rPr>
      <w:fldChar w:fldCharType="begin"/>
    </w:r>
    <w:r w:rsidRPr="7A6EA4F2">
      <w:rPr>
        <w:sz w:val="20"/>
        <w:szCs w:val="20"/>
      </w:rPr>
      <w:instrText xml:space="preserve">PAGE</w:instrText>
    </w:r>
    <w:r w:rsidRPr="7A6EA4F2">
      <w:rPr>
        <w:sz w:val="20"/>
        <w:szCs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8">
    <w:nsid w:val="72ac45b8"/>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11270f0"/>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af4b861"/>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775335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fb714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eebcbc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9802c3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f86ed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215dc09"/>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bd40266"/>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31b8c08"/>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6d5d37d"/>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3e1570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ea1487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f187d8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ec229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9a8bb89"/>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4b5340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8d1c97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98df9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ercent="100"/>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6E4610"/>
    <w:rsid w:val="03746094"/>
    <w:rsid w:val="070270C6"/>
    <w:rsid w:val="070270C6"/>
    <w:rsid w:val="0CDBB89A"/>
    <w:rsid w:val="0CDBB89A"/>
    <w:rsid w:val="127289C4"/>
    <w:rsid w:val="143FCE2B"/>
    <w:rsid w:val="143FCE2B"/>
    <w:rsid w:val="2579E5BD"/>
    <w:rsid w:val="2671BA38"/>
    <w:rsid w:val="2671BA38"/>
    <w:rsid w:val="27C7E5BF"/>
    <w:rsid w:val="27DC0ACD"/>
    <w:rsid w:val="287199CE"/>
    <w:rsid w:val="2C1D780E"/>
    <w:rsid w:val="304A0FCA"/>
    <w:rsid w:val="30540941"/>
    <w:rsid w:val="30540941"/>
    <w:rsid w:val="31C05ADD"/>
    <w:rsid w:val="3B0A4E47"/>
    <w:rsid w:val="3B52C076"/>
    <w:rsid w:val="3CC530B6"/>
    <w:rsid w:val="3D534256"/>
    <w:rsid w:val="3D98C15A"/>
    <w:rsid w:val="3DB67851"/>
    <w:rsid w:val="40702BEB"/>
    <w:rsid w:val="40702BEB"/>
    <w:rsid w:val="4225855D"/>
    <w:rsid w:val="43BAE1A9"/>
    <w:rsid w:val="45A53B79"/>
    <w:rsid w:val="47433204"/>
    <w:rsid w:val="494E1CDD"/>
    <w:rsid w:val="507E89D7"/>
    <w:rsid w:val="52C5BA21"/>
    <w:rsid w:val="562BD644"/>
    <w:rsid w:val="6043905E"/>
    <w:rsid w:val="6043905E"/>
    <w:rsid w:val="6E02D687"/>
    <w:rsid w:val="6E40A680"/>
    <w:rsid w:val="7924A6A5"/>
    <w:rsid w:val="7A6EA4F2"/>
    <w:rsid w:val="7ABC65D7"/>
    <w:rsid w:val="7E1EE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9ECA6FD-2EDC-408E-AAD6-4A99129672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uiPriority w:val="0"/>
    <w:name w:val="Normal"/>
    <w:qFormat/>
    <w:rsid w:val="7A6EA4F2"/>
    <w:rPr>
      <w:rFonts w:ascii="Arial" w:hAnsi="Arial" w:eastAsia="Arial"/>
      <w:noProof w:val="0"/>
      <w:color w:val="808080" w:themeColor="background1" w:themeTint="FF" w:themeShade="80"/>
      <w:sz w:val="28"/>
      <w:szCs w:val="28"/>
      <w:lang w:val="pt-BR"/>
    </w:rPr>
    <w:pPr>
      <w:spacing w:before="0" w:after="0"/>
      <w:jc w:val="both"/>
    </w:pPr>
  </w:style>
  <w:style w:type="paragraph" w:styleId="Header">
    <w:uiPriority w:val="99"/>
    <w:name w:val="header"/>
    <w:basedOn w:val="Normal"/>
    <w:unhideWhenUsed/>
    <w:link w:val="HeaderChar"/>
    <w:rsid w:val="7A6EA4F2"/>
    <w:pPr>
      <w:tabs>
        <w:tab w:val="center" w:leader="none" w:pos="4680"/>
        <w:tab w:val="right" w:leader="none" w:pos="9360"/>
      </w:tabs>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7A6EA4F2"/>
    <w:pPr>
      <w:tabs>
        <w:tab w:val="center" w:leader="none" w:pos="4680"/>
        <w:tab w:val="right" w:leader="none" w:pos="9360"/>
      </w:tabs>
    </w:pPr>
  </w:style>
  <w:style w:type="character" w:styleId="FooterChar" w:customStyle="1">
    <w:name w:val="Footer Char"/>
    <w:basedOn w:val="DefaultParagraphFont"/>
    <w:link w:val="Footer"/>
    <w:uiPriority w:val="99"/>
    <w:rsid w:val="00E618BF"/>
  </w:style>
  <w:style w:type="paragraph" w:styleId="Heading1">
    <w:uiPriority w:val="9"/>
    <w:name w:val="heading 1"/>
    <w:basedOn w:val="Normal"/>
    <w:next w:val="Normal"/>
    <w:link w:val="Heading1Char"/>
    <w:qFormat/>
    <w:rsid w:val="7A6EA4F2"/>
    <w:rPr>
      <w:rFonts w:ascii="Calibri" w:hAnsi="Calibri" w:eastAsia="ＭＳ ゴシック" w:cs="" w:asciiTheme="majorAscii" w:hAnsiTheme="majorAscii" w:eastAsiaTheme="majorEastAsia" w:cstheme="majorBidi"/>
      <w:b w:val="1"/>
      <w:bCs w:val="1"/>
      <w:color w:val="365F91" w:themeColor="accent1" w:themeTint="FF" w:themeShade="BF"/>
    </w:rPr>
    <w:pPr>
      <w:keepNext w:val="1"/>
      <w:keepLines w:val="1"/>
      <w:spacing w:before="480"/>
      <w:outlineLvl w:val="0"/>
    </w:pPr>
  </w:style>
  <w:style w:type="paragraph" w:styleId="Heading2">
    <w:uiPriority w:val="9"/>
    <w:name w:val="heading 2"/>
    <w:basedOn w:val="Normal"/>
    <w:next w:val="Normal"/>
    <w:unhideWhenUsed/>
    <w:link w:val="Heading2Char"/>
    <w:qFormat/>
    <w:rsid w:val="7A6EA4F2"/>
    <w:rPr>
      <w:rFonts w:ascii="Calibri" w:hAnsi="Calibri" w:eastAsia="ＭＳ ゴシック" w:cs="" w:asciiTheme="majorAscii" w:hAnsiTheme="majorAscii" w:eastAsiaTheme="majorEastAsia" w:cstheme="majorBidi"/>
      <w:b w:val="1"/>
      <w:bCs w:val="1"/>
      <w:color w:val="4F81BD" w:themeColor="accent1" w:themeTint="FF" w:themeShade="FF"/>
      <w:sz w:val="26"/>
      <w:szCs w:val="26"/>
    </w:rPr>
    <w:pPr>
      <w:keepNext w:val="1"/>
      <w:keepLines w:val="1"/>
      <w:spacing w:before="200"/>
      <w:outlineLvl w:val="1"/>
    </w:pPr>
  </w:style>
  <w:style w:type="paragraph" w:styleId="Heading3">
    <w:uiPriority w:val="9"/>
    <w:name w:val="heading 3"/>
    <w:basedOn w:val="Normal"/>
    <w:next w:val="Normal"/>
    <w:unhideWhenUsed/>
    <w:link w:val="Heading3Char"/>
    <w:qFormat/>
    <w:rsid w:val="7A6EA4F2"/>
    <w:rPr>
      <w:rFonts w:ascii="Calibri" w:hAnsi="Calibri" w:eastAsia="ＭＳ ゴシック" w:cs="" w:asciiTheme="majorAscii" w:hAnsiTheme="majorAscii" w:eastAsiaTheme="majorEastAsia" w:cstheme="majorBidi"/>
      <w:b w:val="1"/>
      <w:bCs w:val="1"/>
      <w:color w:val="4F81BD" w:themeColor="accent1" w:themeTint="FF" w:themeShade="FF"/>
    </w:rPr>
    <w:pPr>
      <w:keepNext w:val="1"/>
      <w:keepLines w:val="1"/>
      <w:spacing w:before="200"/>
      <w:outlineLvl w:val="2"/>
    </w:pPr>
  </w:style>
  <w:style w:type="paragraph" w:styleId="Heading4">
    <w:uiPriority w:val="9"/>
    <w:name w:val="heading 4"/>
    <w:basedOn w:val="Normal"/>
    <w:next w:val="Normal"/>
    <w:semiHidden/>
    <w:unhideWhenUsed/>
    <w:link w:val="Heading4Char"/>
    <w:qFormat/>
    <w:rsid w:val="7A6EA4F2"/>
    <w:rPr>
      <w:rFonts w:ascii="Calibri" w:hAnsi="Calibri" w:eastAsia="ＭＳ ゴシック" w:cs="" w:asciiTheme="majorAscii" w:hAnsiTheme="majorAscii" w:eastAsiaTheme="majorEastAsia" w:cstheme="majorBidi"/>
      <w:b w:val="1"/>
      <w:bCs w:val="1"/>
      <w:i w:val="1"/>
      <w:iCs w:val="1"/>
      <w:color w:val="4F81BD" w:themeColor="accent1" w:themeTint="FF" w:themeShade="FF"/>
    </w:rPr>
    <w:pPr>
      <w:keepNext w:val="1"/>
      <w:keepLines w:val="1"/>
      <w:spacing w:before="200"/>
      <w:outlineLvl w:val="3"/>
    </w:pPr>
  </w:style>
  <w:style w:type="paragraph" w:styleId="Heading5">
    <w:uiPriority w:val="9"/>
    <w:name w:val="heading 5"/>
    <w:basedOn w:val="Normal"/>
    <w:next w:val="Normal"/>
    <w:semiHidden/>
    <w:unhideWhenUsed/>
    <w:link w:val="Heading5Char"/>
    <w:qFormat/>
    <w:rsid w:val="7A6EA4F2"/>
    <w:rPr>
      <w:rFonts w:ascii="Calibri" w:hAnsi="Calibri" w:eastAsia="ＭＳ ゴシック" w:cs="" w:asciiTheme="majorAscii" w:hAnsiTheme="majorAscii" w:eastAsiaTheme="majorEastAsia" w:cstheme="majorBidi"/>
      <w:color w:val="243F60"/>
    </w:rPr>
    <w:pPr>
      <w:keepNext w:val="1"/>
      <w:keepLines w:val="1"/>
      <w:spacing w:before="200"/>
      <w:outlineLvl w:val="4"/>
    </w:pPr>
  </w:style>
  <w:style w:type="paragraph" w:styleId="Heading6">
    <w:uiPriority w:val="9"/>
    <w:name w:val="heading 6"/>
    <w:basedOn w:val="Normal"/>
    <w:next w:val="Normal"/>
    <w:semiHidden/>
    <w:unhideWhenUsed/>
    <w:link w:val="Heading6Char"/>
    <w:qFormat/>
    <w:rsid w:val="7A6EA4F2"/>
    <w:rPr>
      <w:rFonts w:ascii="Calibri" w:hAnsi="Calibri" w:eastAsia="ＭＳ ゴシック" w:cs="" w:asciiTheme="majorAscii" w:hAnsiTheme="majorAscii" w:eastAsiaTheme="majorEastAsia" w:cstheme="majorBidi"/>
      <w:i w:val="1"/>
      <w:iCs w:val="1"/>
      <w:color w:val="243F60"/>
    </w:rPr>
    <w:pPr>
      <w:keepNext w:val="1"/>
      <w:keepLines w:val="1"/>
      <w:spacing w:before="200"/>
      <w:outlineLvl w:val="5"/>
    </w:pPr>
  </w:style>
  <w:style w:type="paragraph" w:styleId="Heading7">
    <w:uiPriority w:val="9"/>
    <w:name w:val="heading 7"/>
    <w:basedOn w:val="Normal"/>
    <w:next w:val="Normal"/>
    <w:semiHidden/>
    <w:unhideWhenUsed/>
    <w:link w:val="Heading7Char"/>
    <w:qFormat/>
    <w:rsid w:val="7A6EA4F2"/>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outlineLvl w:val="6"/>
    </w:pPr>
  </w:style>
  <w:style w:type="paragraph" w:styleId="Heading8">
    <w:uiPriority w:val="9"/>
    <w:name w:val="heading 8"/>
    <w:basedOn w:val="Normal"/>
    <w:next w:val="Normal"/>
    <w:semiHidden/>
    <w:unhideWhenUsed/>
    <w:link w:val="Heading8Char"/>
    <w:qFormat/>
    <w:rsid w:val="7A6EA4F2"/>
    <w:rPr>
      <w:rFonts w:ascii="Calibri" w:hAnsi="Calibri" w:eastAsia="ＭＳ ゴシック" w:cs="" w:asciiTheme="majorAscii" w:hAnsiTheme="majorAscii" w:eastAsiaTheme="majorEastAsia" w:cstheme="majorBidi"/>
      <w:color w:val="4F81BD" w:themeColor="accent1" w:themeTint="FF" w:themeShade="FF"/>
      <w:sz w:val="20"/>
      <w:szCs w:val="20"/>
    </w:rPr>
    <w:pPr>
      <w:keepNext w:val="1"/>
      <w:keepLines w:val="1"/>
      <w:spacing w:before="200"/>
      <w:outlineLvl w:val="7"/>
    </w:pPr>
  </w:style>
  <w:style w:type="paragraph" w:styleId="Heading9">
    <w:uiPriority w:val="9"/>
    <w:name w:val="heading 9"/>
    <w:basedOn w:val="Normal"/>
    <w:next w:val="Normal"/>
    <w:semiHidden/>
    <w:unhideWhenUsed/>
    <w:link w:val="Heading9Char"/>
    <w:qFormat/>
    <w:rsid w:val="7A6EA4F2"/>
    <w:rPr>
      <w:rFonts w:ascii="Calibri" w:hAnsi="Calibri" w:eastAsia="ＭＳ ゴシック" w:cs="" w:asciiTheme="majorAscii" w:hAnsiTheme="majorAscii" w:eastAsiaTheme="majorEastAsia" w:cstheme="majorBidi"/>
      <w:i w:val="1"/>
      <w:iCs w:val="1"/>
      <w:color w:val="404040" w:themeColor="text1" w:themeTint="BF" w:themeShade="FF"/>
      <w:sz w:val="20"/>
      <w:szCs w:val="20"/>
    </w:rPr>
    <w:pPr>
      <w:keepNext w:val="1"/>
      <w:keepLines w:val="1"/>
      <w:spacing w:before="20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7A6EA4F2"/>
    <w:rPr>
      <w:rFonts w:ascii="Calibri" w:hAnsi="Calibri" w:eastAsia="ＭＳ ゴシック" w:cs="" w:asciiTheme="majorAscii" w:hAnsiTheme="majorAscii" w:eastAsiaTheme="majorEastAsia" w:cstheme="majorBidi"/>
      <w:color w:val="17365D" w:themeColor="text2" w:themeTint="FF" w:themeShade="BF"/>
      <w:sz w:val="52"/>
      <w:szCs w:val="52"/>
    </w:rPr>
    <w:pPr>
      <w:pBdr>
        <w:bottom w:val="single" w:color="4F81BD" w:themeColor="accent1" w:sz="8" w:space="4"/>
      </w:pBdr>
      <w:spacing w:after="300"/>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7A6EA4F2"/>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7A6EA4F2"/>
    <w:pPr>
      <w:spacing/>
      <w:ind w:left="720"/>
      <w:contextualSpacing/>
    </w:pPr>
  </w:style>
  <w:style w:type="paragraph" w:styleId="BodyText">
    <w:uiPriority w:val="99"/>
    <w:name w:val="Body Text"/>
    <w:basedOn w:val="Normal"/>
    <w:unhideWhenUsed/>
    <w:link w:val="BodyTextChar"/>
    <w:rsid w:val="7A6EA4F2"/>
    <w:pPr>
      <w:spacing w:after="120"/>
    </w:pPr>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7A6EA4F2"/>
    <w:pPr>
      <w:spacing w:after="120"/>
    </w:pPr>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7A6EA4F2"/>
    <w:rPr>
      <w:sz w:val="16"/>
      <w:szCs w:val="16"/>
    </w:rPr>
    <w:pPr>
      <w:spacing w:after="120"/>
    </w:p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7A6EA4F2"/>
    <w:pPr>
      <w:spacing/>
      <w:ind w:left="360" w:hanging="360"/>
      <w:contextualSpacing/>
    </w:pPr>
  </w:style>
  <w:style w:type="paragraph" w:styleId="List2">
    <w:uiPriority w:val="99"/>
    <w:name w:val="List 2"/>
    <w:basedOn w:val="Normal"/>
    <w:unhideWhenUsed/>
    <w:rsid w:val="7A6EA4F2"/>
    <w:pPr>
      <w:spacing/>
      <w:ind w:left="720" w:hanging="360"/>
      <w:contextualSpacing/>
    </w:pPr>
  </w:style>
  <w:style w:type="paragraph" w:styleId="List3">
    <w:uiPriority w:val="99"/>
    <w:name w:val="List 3"/>
    <w:basedOn w:val="Normal"/>
    <w:unhideWhenUsed/>
    <w:rsid w:val="7A6EA4F2"/>
    <w:pPr>
      <w:spacing/>
      <w:ind w:left="1080" w:hanging="360"/>
      <w:contextualSpacing/>
    </w:pPr>
  </w:style>
  <w:style w:type="paragraph" w:styleId="ListBullet">
    <w:uiPriority w:val="99"/>
    <w:name w:val="List Bullet"/>
    <w:basedOn w:val="Normal"/>
    <w:unhideWhenUsed/>
    <w:rsid w:val="7A6EA4F2"/>
    <w:pPr>
      <w:numPr>
        <w:numId w:val="1"/>
      </w:numPr>
      <w:spacing/>
      <w:contextualSpacing/>
    </w:pPr>
  </w:style>
  <w:style w:type="paragraph" w:styleId="ListBullet2">
    <w:uiPriority w:val="99"/>
    <w:name w:val="List Bullet 2"/>
    <w:basedOn w:val="Normal"/>
    <w:unhideWhenUsed/>
    <w:rsid w:val="7A6EA4F2"/>
    <w:pPr>
      <w:numPr>
        <w:numId w:val="2"/>
      </w:numPr>
      <w:spacing/>
      <w:contextualSpacing/>
    </w:pPr>
  </w:style>
  <w:style w:type="paragraph" w:styleId="ListBullet3">
    <w:uiPriority w:val="99"/>
    <w:name w:val="List Bullet 3"/>
    <w:basedOn w:val="Normal"/>
    <w:unhideWhenUsed/>
    <w:rsid w:val="7A6EA4F2"/>
    <w:pPr>
      <w:numPr>
        <w:numId w:val="3"/>
      </w:numPr>
      <w:spacing/>
      <w:contextualSpacing/>
    </w:pPr>
  </w:style>
  <w:style w:type="paragraph" w:styleId="ListNumber">
    <w:uiPriority w:val="99"/>
    <w:name w:val="List Number"/>
    <w:basedOn w:val="Normal"/>
    <w:unhideWhenUsed/>
    <w:rsid w:val="7A6EA4F2"/>
    <w:pPr>
      <w:numPr>
        <w:numId w:val="5"/>
      </w:numPr>
      <w:spacing/>
      <w:contextualSpacing/>
    </w:pPr>
  </w:style>
  <w:style w:type="paragraph" w:styleId="ListNumber2">
    <w:uiPriority w:val="99"/>
    <w:name w:val="List Number 2"/>
    <w:basedOn w:val="Normal"/>
    <w:unhideWhenUsed/>
    <w:rsid w:val="7A6EA4F2"/>
    <w:pPr>
      <w:numPr>
        <w:numId w:val="6"/>
      </w:numPr>
      <w:spacing/>
      <w:contextualSpacing/>
    </w:pPr>
  </w:style>
  <w:style w:type="paragraph" w:styleId="ListNumber3">
    <w:uiPriority w:val="99"/>
    <w:name w:val="List Number 3"/>
    <w:basedOn w:val="Normal"/>
    <w:unhideWhenUsed/>
    <w:rsid w:val="7A6EA4F2"/>
    <w:pPr>
      <w:numPr>
        <w:numId w:val="7"/>
      </w:numPr>
      <w:spacing/>
      <w:contextualSpacing/>
    </w:pPr>
  </w:style>
  <w:style w:type="paragraph" w:styleId="ListContinue">
    <w:uiPriority w:val="99"/>
    <w:name w:val="List Continue"/>
    <w:basedOn w:val="Normal"/>
    <w:unhideWhenUsed/>
    <w:rsid w:val="7A6EA4F2"/>
    <w:pPr>
      <w:spacing w:after="120"/>
      <w:ind w:left="360"/>
      <w:contextualSpacing/>
    </w:pPr>
  </w:style>
  <w:style w:type="paragraph" w:styleId="ListContinue2">
    <w:uiPriority w:val="99"/>
    <w:name w:val="List Continue 2"/>
    <w:basedOn w:val="Normal"/>
    <w:unhideWhenUsed/>
    <w:rsid w:val="7A6EA4F2"/>
    <w:pPr>
      <w:spacing w:after="120"/>
      <w:ind w:left="720"/>
      <w:contextualSpacing/>
    </w:pPr>
  </w:style>
  <w:style w:type="paragraph" w:styleId="ListContinue3">
    <w:uiPriority w:val="99"/>
    <w:name w:val="List Continue 3"/>
    <w:basedOn w:val="Normal"/>
    <w:unhideWhenUsed/>
    <w:rsid w:val="7A6EA4F2"/>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7A6EA4F2"/>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7A6EA4F2"/>
    <w:rPr>
      <w:b w:val="1"/>
      <w:bCs w:val="1"/>
      <w:color w:val="4F81BD" w:themeColor="accent1" w:themeTint="FF" w:themeShade="F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7A6EA4F2"/>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asks.xml><?xml version="1.0" encoding="utf-8"?>
<t:Tasks xmlns:t="http://schemas.microsoft.com/office/tasks/2019/documenttasks" xmlns:oel="http://schemas.microsoft.com/office/2019/extlst">
  <t:Task id="{C67BC264-FEFF-415E-97A8-D74601C1B65E}">
    <t:Anchor>
      <t:Comment id="184891464"/>
    </t:Anchor>
    <t:History>
      <t:Event id="{911C2B67-0C42-4768-9461-3255BECCA592}" time="2026-10-11T19:22:34.391Z">
        <t:Attribution userId="S::t321760@tjdft.jus.br::71ef89ef-9eb5-4780-8a4d-3f3a792db9c6" userProvider="AD" userName="Marcos Dwayne Saraiva Costa - GDSXSR"/>
        <t:Anchor>
          <t:Comment id="1888129895"/>
        </t:Anchor>
        <t:Create/>
      </t:Event>
      <t:Event id="{A9099FB8-1FA0-4673-8448-A211D5BA4203}" time="2026-10-11T19:22:34.391Z">
        <t:Attribution userId="S::t321760@tjdft.jus.br::71ef89ef-9eb5-4780-8a4d-3f3a792db9c6" userProvider="AD" userName="Marcos Dwayne Saraiva Costa - GDSXSR"/>
        <t:Anchor>
          <t:Comment id="1888129895"/>
        </t:Anchor>
        <t:Assign userId="S::t313207@tjdft.jus.br::d29e2de7-00a4-4621-a031-73d81317b1e9" userProvider="AD" userName="Marcelo Ribeiro Da Silva - GDSXSR"/>
      </t:Event>
      <t:Event id="{54AC2F5D-21E1-4639-8C81-C89659A16133}" time="2026-10-11T19:22:34.391Z">
        <t:Attribution userId="S::t321760@tjdft.jus.br::71ef89ef-9eb5-4780-8a4d-3f3a792db9c6" userProvider="AD" userName="Marcos Dwayne Saraiva Costa - GDSXSR"/>
        <t:Anchor>
          <t:Comment id="1888129895"/>
        </t:Anchor>
        <t:SetTitle title="@Marcelo Ribeiro Da Silva - GDSXSR indicar quem fez a liminar. Não coloque o nome do assessor que fez a liminar no nome do arquivo, vamos seguir o padrão. Ajuste a ementa ao modelo do gabinte, por favor."/>
      </t:Event>
      <t:Event id="{0C7952B5-5BE8-4F5D-B336-BAFBB63E508B}" time="2026-10-11T23:03:36.181Z">
        <t:Attribution userId="S::t313207@tjdft.jus.br::d29e2de7-00a4-4621-a031-73d81317b1e9" userProvider="AD" userName="Marcelo Ribeiro Da Silva - GDSXSR"/>
        <t:Anchor>
          <t:Comment id="1992573892"/>
        </t:Anchor>
        <t:UnassignAll/>
      </t:Event>
      <t:Event id="{582EBACF-6F68-42EA-911F-B805B123E2FC}" time="2026-10-11T23:03:36.181Z">
        <t:Attribution userId="S::t313207@tjdft.jus.br::d29e2de7-00a4-4621-a031-73d81317b1e9" userProvider="AD" userName="Marcelo Ribeiro Da Silva - GDSXSR"/>
        <t:Anchor>
          <t:Comment id="1992573892"/>
        </t:Anchor>
        <t:Assign userId="S::t321760@tjdft.jus.br::71ef89ef-9eb5-4780-8a4d-3f3a792db9c6" userProvider="AD" userName="Marcos Dwayne Saraiva Costa - GDSXSR"/>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c22cb32ae97041e1" Type="http://schemas.microsoft.com/office/2019/05/relationships/documenttasks" Target="tasks.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Marcelo Ribeiro Da Silva - GDSXSR</lastModifiedBy>
  <revision>3</revision>
  <dcterms:created xsi:type="dcterms:W3CDTF">2013-12-23T23:15:00.0000000Z</dcterms:created>
  <dcterms:modified xsi:type="dcterms:W3CDTF">2026-10-11T23:05:46.9913324Z</dcterms:modified>
  <category/>
</coreProperties>
</file>