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asks.xml" ContentType="application/vnd.ms-office.documenttask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xmlns:wp14="http://schemas.microsoft.com/office/word/2010/wordml" w:rsidTr="7A6EA4F2" w14:paraId="32AA7D4D" wp14:textId="77777777">
        <w:tc>
          <w:tcPr>
            <w:tcW w:w="2608" w:type="dxa"/>
            <w:tcMar/>
            <w:vAlign w:val="center"/>
          </w:tcPr>
          <w:p w14:paraId="672A6659" wp14:textId="77777777">
            <w:pPr>
              <w:spacing w:line="240" w:lineRule="auto"/>
              <w:jc w:val="center"/>
            </w:pPr>
            <w:r w:rsidR="7A6EA4F2">
              <w:drawing>
                <wp:inline xmlns:wp14="http://schemas.microsoft.com/office/word/2010/wordprocessingDrawing" wp14:editId="3625830C" wp14:anchorId="7C4C8523">
                  <wp:extent cx="1512000" cy="426918"/>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imbre.png"/>
                          <pic:cNvPicPr/>
                        </pic:nvPicPr>
                        <pic:blipFill>
                          <a:blip xmlns:r="http://schemas.openxmlformats.org/officeDocument/2006/relationships" r:embed="rId10"/>
                          <a:stretch>
                            <a:fillRect/>
                          </a:stretch>
                        </pic:blipFill>
                        <pic:spPr>
                          <a:xfrm>
                            <a:off x="0" y="0"/>
                            <a:ext cx="1512000" cy="426918"/>
                          </a:xfrm>
                          <a:prstGeom prst="rect"/>
                        </pic:spPr>
                      </pic:pic>
                    </a:graphicData>
                  </a:graphic>
                </wp:inline>
              </w:drawing>
            </w:r>
          </w:p>
        </w:tc>
        <w:tc>
          <w:tcPr>
            <w:tcW w:w="5896" w:type="dxa"/>
            <w:tcMar/>
            <w:vAlign w:val="center"/>
          </w:tcPr>
          <w:p w14:paraId="056807CB" wp14:textId="77777777">
            <w:pPr>
              <w:spacing w:before="0" w:after="0" w:line="240" w:lineRule="auto"/>
              <w:jc w:val="left"/>
            </w:pPr>
            <w:r>
              <w:rPr>
                <w:b/>
                <w:color w:val="000000"/>
                <w:sz w:val="24"/>
              </w:rPr>
              <w:t>Poder Judiciário da União</w:t>
            </w:r>
          </w:p>
          <w:p w14:paraId="0C21EA25" wp14:textId="77777777">
            <w:pPr>
              <w:spacing w:before="0" w:after="0" w:line="240" w:lineRule="auto"/>
              <w:jc w:val="left"/>
            </w:pPr>
            <w:r>
              <w:rPr>
                <w:b w:val="0"/>
                <w:color w:val="000000"/>
                <w:sz w:val="22"/>
              </w:rPr>
              <w:t>Tribunal de Justiça do Distrito Federal e dos Territórios</w:t>
            </w:r>
          </w:p>
          <w:p w14:paraId="5F994615" wp14:textId="77777777">
            <w:pPr>
              <w:spacing w:before="0" w:after="0" w:line="240" w:lineRule="auto"/>
              <w:jc w:val="left"/>
            </w:pPr>
            <w:r>
              <w:rPr>
                <w:b w:val="0"/>
                <w:color w:val="000000"/>
                <w:sz w:val="22"/>
              </w:rPr>
              <w:t>GDSXSR</w:t>
            </w:r>
          </w:p>
          <w:p w14:paraId="51F8A651" wp14:textId="77777777">
            <w:pPr>
              <w:spacing w:before="0" w:after="0" w:line="240" w:lineRule="auto"/>
              <w:jc w:val="left"/>
            </w:pPr>
            <w:r>
              <w:rPr>
                <w:b w:val="0"/>
                <w:color w:val="000000"/>
                <w:sz w:val="22"/>
              </w:rPr>
              <w:t>GABINETE DO DESEMBARGADOR SÉRGIO ROCHA</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xmlns:wp14="http://schemas.microsoft.com/office/word/2010/wordml" w:rsidTr="7A6EA4F2" w14:paraId="443659CF" wp14:textId="77777777">
        <w:tc>
          <w:tcPr>
            <w:tcW w:w="2268" w:type="dxa"/>
            <w:tcMar/>
          </w:tcPr>
          <w:p w14:paraId="6F66D78F" wp14:textId="77777777">
            <w:pPr>
              <w:spacing w:before="0" w:after="0" w:line="360" w:lineRule="auto"/>
              <w:jc w:val="left"/>
            </w:pPr>
            <w:r>
              <w:rPr>
                <w:b w:val="0"/>
                <w:i w:val="0"/>
                <w:color w:val="000000"/>
                <w:sz w:val="24"/>
              </w:rPr>
              <w:t>Órgão</w:t>
            </w:r>
          </w:p>
        </w:tc>
        <w:tc>
          <w:tcPr>
            <w:tcW w:w="397" w:type="dxa"/>
            <w:tcMar/>
          </w:tcPr>
          <w:p w14:paraId="2127E81B"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BC8F9EF" wp14:textId="77777777">
            <w:pPr>
              <w:spacing w:before="0" w:after="0" w:line="360" w:lineRule="auto"/>
              <w:jc w:val="left"/>
            </w:pPr>
            <w:commentRangeStart w:id="0"/>
            <w:commentRangeStart w:id="295744808"/>
            <w:commentRangeStart w:id="2008684976"/>
            <w:r>
              <w:rPr>
                <w:b w:val="0"/>
                <w:i w:val="0"/>
                <w:color w:val="000000"/>
                <w:sz w:val="24"/>
              </w:rPr>
              <w:t>4ª Turma Cível</w:t>
            </w:r>
            <w:commentRangeEnd w:id="0"/>
            <w:r>
              <w:rPr>
                <w:rStyle w:val="CommentReference"/>
              </w:rPr>
              <w:commentReference w:id="0"/>
            </w:r>
            <w:commentRangeEnd w:id="295744808"/>
            <w:r>
              <w:rPr>
                <w:rStyle w:val="CommentReference"/>
              </w:rPr>
              <w:commentReference w:id="295744808"/>
            </w:r>
            <w:commentRangeEnd w:id="2008684976"/>
            <w:r>
              <w:rPr>
                <w:rStyle w:val="CommentReference"/>
              </w:rPr>
              <w:commentReference w:id="2008684976"/>
            </w:r>
          </w:p>
        </w:tc>
      </w:tr>
      <w:tr xmlns:wp14="http://schemas.microsoft.com/office/word/2010/wordml" w:rsidTr="7A6EA4F2" w14:paraId="2314F5FD" wp14:textId="77777777">
        <w:tc>
          <w:tcPr>
            <w:tcW w:w="2268" w:type="dxa"/>
            <w:tcMar/>
          </w:tcPr>
          <w:p w14:paraId="671FE9FF" wp14:textId="77777777">
            <w:pPr>
              <w:spacing w:before="0" w:after="0" w:line="360" w:lineRule="auto"/>
              <w:jc w:val="left"/>
            </w:pPr>
            <w:r>
              <w:rPr>
                <w:b w:val="0"/>
                <w:i w:val="0"/>
                <w:color w:val="000000"/>
                <w:sz w:val="24"/>
              </w:rPr>
              <w:t>Classe</w:t>
            </w:r>
          </w:p>
        </w:tc>
        <w:tc>
          <w:tcPr>
            <w:tcW w:w="397" w:type="dxa"/>
            <w:tcMar/>
          </w:tcPr>
          <w:p w14:paraId="67A8245E"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5598A79" wp14:textId="77777777">
            <w:pPr>
              <w:spacing w:before="0" w:after="0" w:line="360" w:lineRule="auto"/>
              <w:jc w:val="left"/>
            </w:pPr>
            <w:r w:rsidRPr="7A6EA4F2" w:rsidR="7A6EA4F2">
              <w:rPr>
                <w:b w:val="0"/>
                <w:bCs w:val="0"/>
                <w:i w:val="0"/>
                <w:iCs w:val="0"/>
                <w:color w:val="000000" w:themeColor="text1" w:themeTint="FF" w:themeShade="FF"/>
                <w:sz w:val="24"/>
                <w:szCs w:val="24"/>
              </w:rPr>
              <w:t>Agravo de Instrumento</w:t>
            </w:r>
          </w:p>
        </w:tc>
      </w:tr>
      <w:tr xmlns:wp14="http://schemas.microsoft.com/office/word/2010/wordml" w:rsidTr="7A6EA4F2" w14:paraId="5BDF8430" wp14:textId="77777777">
        <w:tc>
          <w:tcPr>
            <w:tcW w:w="2268" w:type="dxa"/>
            <w:tcMar/>
          </w:tcPr>
          <w:p w14:paraId="7386709D" wp14:textId="77777777">
            <w:pPr>
              <w:spacing w:before="0" w:after="0" w:line="360" w:lineRule="auto"/>
              <w:jc w:val="left"/>
            </w:pPr>
            <w:r>
              <w:rPr>
                <w:b w:val="0"/>
                <w:i w:val="0"/>
                <w:color w:val="000000"/>
                <w:sz w:val="24"/>
              </w:rPr>
              <w:t>Processo nº</w:t>
            </w:r>
          </w:p>
        </w:tc>
        <w:tc>
          <w:tcPr>
            <w:tcW w:w="397" w:type="dxa"/>
            <w:tcMar/>
          </w:tcPr>
          <w:p w14:paraId="56A8759A"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762AC99E" wp14:textId="77777777">
            <w:pPr>
              <w:spacing w:before="0" w:after="0" w:line="360" w:lineRule="auto"/>
              <w:jc w:val="left"/>
            </w:pPr>
            <w:r w:rsidRPr="7A6EA4F2" w:rsidR="7A6EA4F2">
              <w:rPr>
                <w:b w:val="0"/>
                <w:bCs w:val="0"/>
                <w:i w:val="0"/>
                <w:iCs w:val="0"/>
                <w:color w:val="000000" w:themeColor="text1" w:themeTint="FF" w:themeShade="FF"/>
                <w:sz w:val="24"/>
                <w:szCs w:val="24"/>
              </w:rPr>
              <w:t>0717687-69.2026.8.07.0000</w:t>
            </w:r>
          </w:p>
        </w:tc>
      </w:tr>
      <w:tr xmlns:wp14="http://schemas.microsoft.com/office/word/2010/wordml" w:rsidTr="7A6EA4F2" w14:paraId="09A71FFC" wp14:textId="77777777">
        <w:tc>
          <w:tcPr>
            <w:tcW w:w="2268" w:type="dxa"/>
            <w:tcMar/>
          </w:tcPr>
          <w:p w14:paraId="15901F2C" wp14:textId="77777777">
            <w:pPr>
              <w:spacing w:before="0" w:after="0" w:line="360" w:lineRule="auto"/>
              <w:jc w:val="left"/>
            </w:pPr>
            <w:r>
              <w:rPr>
                <w:b w:val="0"/>
                <w:i w:val="0"/>
                <w:color w:val="000000"/>
                <w:sz w:val="24"/>
              </w:rPr>
              <w:t>Agravante (s)</w:t>
            </w:r>
          </w:p>
        </w:tc>
        <w:tc>
          <w:tcPr>
            <w:tcW w:w="397" w:type="dxa"/>
            <w:tcMar/>
          </w:tcPr>
          <w:p w14:paraId="18329EB3"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692CFCBD" wp14:textId="77777777">
            <w:pPr>
              <w:spacing w:before="0" w:after="0" w:line="360" w:lineRule="auto"/>
              <w:jc w:val="left"/>
            </w:pPr>
            <w:commentRangeStart w:id="3"/>
            <w:r>
              <w:rPr>
                <w:b w:val="0"/>
                <w:i w:val="0"/>
                <w:color w:val="000000"/>
                <w:sz w:val="24"/>
              </w:rPr>
              <w:t>OSVALDO GONDIM</w:t>
            </w:r>
            <w:commentRangeEnd w:id="3"/>
            <w:r>
              <w:rPr>
                <w:rStyle w:val="CommentReference"/>
              </w:rPr>
              <w:commentReference w:id="3"/>
            </w:r>
          </w:p>
        </w:tc>
      </w:tr>
      <w:tr xmlns:wp14="http://schemas.microsoft.com/office/word/2010/wordml" w:rsidTr="7A6EA4F2" w14:paraId="404FA486" wp14:textId="77777777">
        <w:tc>
          <w:tcPr>
            <w:tcW w:w="2268" w:type="dxa"/>
            <w:tcMar/>
          </w:tcPr>
          <w:p w14:paraId="384CDB1A" wp14:textId="77777777">
            <w:pPr>
              <w:spacing w:before="0" w:after="0" w:line="360" w:lineRule="auto"/>
              <w:jc w:val="left"/>
            </w:pPr>
            <w:r>
              <w:rPr>
                <w:b w:val="0"/>
                <w:i w:val="0"/>
                <w:color w:val="000000"/>
                <w:sz w:val="24"/>
              </w:rPr>
              <w:t>Agravado (a)(s)</w:t>
            </w:r>
          </w:p>
        </w:tc>
        <w:tc>
          <w:tcPr>
            <w:tcW w:w="397" w:type="dxa"/>
            <w:tcMar/>
          </w:tcPr>
          <w:p w14:paraId="370CD116"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415C7692" wp14:textId="77777777">
            <w:pPr>
              <w:spacing w:before="0" w:after="0" w:line="360" w:lineRule="auto"/>
              <w:jc w:val="left"/>
            </w:pPr>
            <w:r>
              <w:rPr>
                <w:b w:val="0"/>
                <w:i w:val="0"/>
                <w:color w:val="000000"/>
                <w:sz w:val="24"/>
              </w:rPr>
              <w:t>CAIXA DE PREVIDÊNCIA DOS FUNCIONÁRIOS DO BANCO DO BRASIL – PREVI</w:t>
            </w:r>
          </w:p>
        </w:tc>
      </w:tr>
      <w:tr xmlns:wp14="http://schemas.microsoft.com/office/word/2010/wordml" w:rsidTr="7A6EA4F2" w14:paraId="3D9F16A8" wp14:textId="77777777">
        <w:tc>
          <w:tcPr>
            <w:tcW w:w="2268" w:type="dxa"/>
            <w:tcMar/>
          </w:tcPr>
          <w:p w14:paraId="42E49AD6" wp14:textId="77777777">
            <w:pPr>
              <w:spacing w:before="0" w:after="0" w:line="360" w:lineRule="auto"/>
              <w:jc w:val="left"/>
            </w:pPr>
            <w:r>
              <w:rPr>
                <w:b w:val="0"/>
                <w:i w:val="0"/>
                <w:color w:val="000000"/>
                <w:sz w:val="24"/>
              </w:rPr>
              <w:t>Relator(a)</w:t>
            </w:r>
          </w:p>
        </w:tc>
        <w:tc>
          <w:tcPr>
            <w:tcW w:w="397" w:type="dxa"/>
            <w:tcMar/>
          </w:tcPr>
          <w:p w14:paraId="69B263F4" wp14:textId="77777777">
            <w:pPr>
              <w:spacing w:before="0" w:after="0" w:line="360" w:lineRule="auto"/>
              <w:jc w:val="left"/>
            </w:pPr>
            <w:r w:rsidRPr="7A6EA4F2" w:rsidR="7A6EA4F2">
              <w:rPr>
                <w:b w:val="0"/>
                <w:bCs w:val="0"/>
                <w:i w:val="0"/>
                <w:iCs w:val="0"/>
                <w:color w:val="000000" w:themeColor="text1" w:themeTint="FF" w:themeShade="FF"/>
                <w:sz w:val="24"/>
                <w:szCs w:val="24"/>
              </w:rPr>
              <w:t>:</w:t>
            </w:r>
          </w:p>
        </w:tc>
        <w:tc>
          <w:tcPr>
            <w:tcW w:w="5839" w:type="dxa"/>
            <w:tcMar/>
          </w:tcPr>
          <w:p w14:paraId="2DE0CA21" wp14:textId="77777777">
            <w:pPr>
              <w:spacing w:before="0" w:after="0" w:line="360" w:lineRule="auto"/>
              <w:jc w:val="left"/>
            </w:pPr>
            <w:r>
              <w:rPr>
                <w:b/>
                <w:i w:val="0"/>
                <w:color w:val="000000"/>
                <w:sz w:val="24"/>
              </w:rPr>
              <w:t>Des. Sérgio Rocha</w:t>
            </w:r>
          </w:p>
        </w:tc>
      </w:tr>
    </w:tbl>
    <w:p>
      <w:pPr>
        <w:spacing w:line="360" w:lineRule="auto" w:after="0" w:before="0"/>
        <w:jc w:val="left"/>
      </w:pPr>
      <w:r>
        <w:rPr>
          <w:rFonts w:ascii="Arial" w:hAnsi="Arial" w:cs="Arial"/>
          <w:b/>
          <w:i w:val="0"/>
          <w:sz w:val="28"/>
        </w:rPr>
        <w:t>EMENTA</w:t>
      </w:r>
    </w:p>
    <w:p>
      <w:pPr>
        <w:spacing w:line="360" w:lineRule="auto" w:after="0" w:before="0"/>
        <w:jc w:val="both"/>
      </w:pPr>
      <w:r>
        <w:rPr>
          <w:rFonts w:ascii="Arial" w:hAnsi="Arial" w:cs="Arial"/>
          <w:b w:val="0"/>
          <w:i w:val="0"/>
          <w:sz w:val="28"/>
        </w:rPr>
        <w:t>AGRAVO DE INSTRUMENTO. PROCESSO CIVIL. PREVIDÊNCIA COMPLEMENTAR. LIQUIDAÇÃO DE SENTENÇA. HOMOLOGAÇÃO DE LAUDO PERICIAL. PREPARO RECURSAL. AUSÊNCIA DE COMPROVAÇÃO NO ATO DE INTERPOSIÇÃO. RECOLHIMENTO EM DOBRO NÃO REALIZADO. DESERÇÃO. RECURSO NÃO CONHECIDO.</w:t>
      </w:r>
    </w:p>
    <w:p>
      <w:pPr>
        <w:spacing w:line="360" w:lineRule="auto" w:after="0" w:before="0"/>
        <w:jc w:val="both"/>
      </w:pPr>
      <w:r>
        <w:rPr>
          <w:rFonts w:ascii="Arial" w:hAnsi="Arial" w:cs="Arial"/>
          <w:b/>
          <w:i w:val="0"/>
          <w:sz w:val="28"/>
        </w:rPr>
        <w:t>I. Caso em exame</w:t>
      </w:r>
    </w:p>
    <w:p>
      <w:pPr>
        <w:spacing w:line="360" w:lineRule="auto" w:after="0" w:before="0"/>
        <w:jc w:val="both"/>
      </w:pPr>
      <w:r>
        <w:rPr>
          <w:rFonts w:ascii="Arial" w:hAnsi="Arial" w:cs="Arial"/>
          <w:b w:val="0"/>
          <w:i w:val="0"/>
          <w:sz w:val="28"/>
        </w:rPr>
        <w:t>1. Agravo de instrumento interposto por Osvaldo Gondim contra decisão que, na liquidação por arbitramento movida em face da Caixa de Previdência dos Funcionários do Banco do Brasil – Previ, homologou o laudo pericial complementar, concluiu que o autor deve aportar R$ 678.107,82 para receber benefício de R$ 4.420,47 e determinou o arquivamento do feito.</w:t>
      </w:r>
    </w:p>
    <w:p>
      <w:pPr>
        <w:spacing w:line="360" w:lineRule="auto" w:after="0" w:before="0"/>
        <w:jc w:val="both"/>
      </w:pPr>
      <w:r>
        <w:rPr>
          <w:rFonts w:ascii="Arial" w:hAnsi="Arial" w:cs="Arial"/>
          <w:b w:val="0"/>
          <w:i w:val="0"/>
          <w:sz w:val="28"/>
        </w:rPr>
        <w:t>2. O Relator determinou o recolhimento do preparo em dobro, porque o agravante não comprovou o pagamento ao interpor o recurso. O agravante juntou apenas o comprovante do pagamento simples das custas e não fez novo recolhimento.</w:t>
      </w:r>
    </w:p>
    <w:p>
      <w:pPr>
        <w:spacing w:line="360" w:lineRule="auto" w:after="0" w:before="0"/>
        <w:jc w:val="both"/>
      </w:pPr>
      <w:r>
        <w:rPr>
          <w:rFonts w:ascii="Arial" w:hAnsi="Arial" w:cs="Arial"/>
          <w:b w:val="0"/>
          <w:i w:val="0"/>
          <w:sz w:val="28"/>
        </w:rPr>
        <w:t>3. O agravante alega que pagou as custas em 29/04/2026 e que protocolou o agravo na origem na mesma data.</w:t>
      </w:r>
    </w:p>
    <w:p>
      <w:pPr>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4. Há uma questão em discussão: saber se o agravo de instrumento deve ser conhecido, diante da falta de comprovação do preparo no ato da interposição e do não recolhimento em dobro após a intimação.</w:t>
      </w:r>
    </w:p>
    <w:p>
      <w:pPr>
        <w:spacing w:line="360" w:lineRule="auto" w:after="0" w:before="0"/>
        <w:jc w:val="both"/>
      </w:pPr>
      <w:r>
        <w:rPr>
          <w:rFonts w:ascii="Arial" w:hAnsi="Arial" w:cs="Arial"/>
          <w:b/>
          <w:i w:val="0"/>
          <w:sz w:val="28"/>
        </w:rPr>
        <w:t>III. Razões de decidir</w:t>
      </w:r>
    </w:p>
    <w:p>
      <w:pPr>
        <w:spacing w:line="360" w:lineRule="auto" w:after="0" w:before="0"/>
        <w:jc w:val="both"/>
      </w:pPr>
      <w:r>
        <w:rPr>
          <w:rFonts w:ascii="Arial" w:hAnsi="Arial" w:cs="Arial"/>
          <w:b w:val="0"/>
          <w:i w:val="0"/>
          <w:sz w:val="28"/>
        </w:rPr>
        <w:t>5. O preparo deve ser comprovado no ato da interposição do recurso e, se não for, o recorrente é intimado a recolher em dobro, sob pena de deserção (CPC 1.007, caput e § 4º).</w:t>
      </w:r>
    </w:p>
    <w:p>
      <w:pPr>
        <w:spacing w:line="360" w:lineRule="auto" w:after="0" w:before="0"/>
        <w:jc w:val="both"/>
      </w:pPr>
      <w:r>
        <w:rPr>
          <w:rFonts w:ascii="Arial" w:hAnsi="Arial" w:cs="Arial"/>
          <w:b w:val="0"/>
          <w:i w:val="0"/>
          <w:sz w:val="28"/>
        </w:rPr>
        <w:t>6. É inadmissível a comprovação posterior do preparo, ainda que o pagamento tenha ocorrido dentro do prazo recursal (STJ, REsp 2.238.749).</w:t>
      </w:r>
    </w:p>
    <w:p>
      <w:pPr>
        <w:spacing w:line="360" w:lineRule="auto" w:after="0" w:before="0"/>
        <w:jc w:val="both"/>
      </w:pPr>
      <w:r>
        <w:rPr>
          <w:rFonts w:ascii="Arial" w:hAnsi="Arial" w:cs="Arial"/>
          <w:b w:val="0"/>
          <w:i w:val="0"/>
          <w:sz w:val="28"/>
        </w:rPr>
        <w:t>7. A comunicação do agravo na origem antecedeu o pagamento das custas, o protocolo neste Tribunal não foi acompanhado do comprovante, o comprovante só foi juntado depois da intimação e o valor não foi recolhido em dobro, o que impõe o não conhecimento do agravo por deserção.</w:t>
      </w:r>
    </w:p>
    <w:p>
      <w:pPr>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8. Não se conheceu do agravo de instrumento do autor.</w:t>
      </w:r>
    </w:p>
    <w:p>
      <w:pPr>
        <w:spacing w:line="360" w:lineRule="auto" w:after="0" w:before="0"/>
        <w:jc w:val="both"/>
      </w:pPr>
      <w:r>
        <w:rPr>
          <w:rFonts w:ascii="Arial" w:hAnsi="Arial" w:cs="Arial"/>
          <w:b w:val="0"/>
          <w:i w:val="0"/>
          <w:sz w:val="28"/>
          <w:u w:val="single"/>
        </w:rPr>
        <w:t>_</w:t>
      </w:r>
      <w:r>
        <w:rPr>
          <w:rFonts w:ascii="Arial" w:hAnsi="Arial" w:cs="Arial"/>
          <w:b w:val="0"/>
          <w:i w:val="0"/>
          <w:sz w:val="28"/>
          <w:u w:val="single"/>
        </w:rPr>
        <w:t>_</w:t>
      </w:r>
    </w:p>
    <w:p>
      <w:pPr>
        <w:spacing w:line="360" w:lineRule="auto" w:after="0" w:before="0"/>
        <w:jc w:val="both"/>
      </w:pPr>
      <w:r>
        <w:rPr>
          <w:rFonts w:ascii="Arial" w:hAnsi="Arial" w:cs="Arial"/>
          <w:b w:val="0"/>
          <w:i/>
          <w:sz w:val="28"/>
        </w:rPr>
        <w:t>Dispositivos relevantes citados:</w:t>
      </w:r>
      <w:r>
        <w:rPr>
          <w:rFonts w:ascii="Arial" w:hAnsi="Arial" w:cs="Arial"/>
          <w:b w:val="0"/>
          <w:i w:val="0"/>
          <w:sz w:val="28"/>
        </w:rPr>
        <w:t xml:space="preserve"> CPC, art. 1.007, caput e § 4º.</w:t>
      </w:r>
    </w:p>
    <w:p>
      <w:pPr>
        <w:spacing w:line="360" w:lineRule="auto" w:after="0" w:before="0"/>
        <w:jc w:val="both"/>
      </w:pPr>
      <w:commentRangeStart w:id="0"/>
      <w:r>
        <w:rPr>
          <w:rFonts w:ascii="Arial" w:hAnsi="Arial" w:cs="Arial"/>
          <w:b w:val="0"/>
          <w:i/>
          <w:sz w:val="28"/>
        </w:rPr>
        <w:t>Jurisprudência relevante citada:</w:t>
      </w:r>
      <w:r>
        <w:rPr>
          <w:rFonts w:ascii="Arial" w:hAnsi="Arial" w:cs="Arial"/>
          <w:b w:val="0"/>
          <w:i w:val="0"/>
          <w:sz w:val="28"/>
        </w:rPr>
        <w:t xml:space="preserve"> STJ, REsp nº 2.238.749, Rel. Min. Nancy Andrighi, Terceira Turma, j. 09/03/2026.</w:t>
      </w:r>
      <w:commentRangeEnd w:id="0"/>
      <w:r>
        <w:rPr>
          <w:rStyle w:val="CommentReference"/>
        </w:rPr>
        <w:commentReference w:id="0"/>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RESUMO DO AGRAVO DE INSTRUMENTO (NÃO CONHECIDO)</w:t>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1. Descumprimento do acórdão do agravo anterior</w:t>
      </w:r>
    </w:p>
    <w:p>
      <w:pPr>
        <w:spacing w:line="360" w:lineRule="auto" w:after="0" w:before="0"/>
        <w:ind w:hanging="357" w:left="720"/>
        <w:jc w:val="both"/>
      </w:pPr>
      <w:r>
        <w:rPr>
          <w:rFonts w:ascii="Arial" w:hAnsi="Arial" w:cs="Arial"/>
          <w:b w:val="0"/>
          <w:i w:val="0"/>
          <w:color w:val="EE0000"/>
          <w:sz w:val="28"/>
        </w:rPr>
        <w:t>O laudo complementar 3 (ID 267956335 da origem) manteve os valores sem observar a compensação reconhecida no acórdão, pois o agravante é credor das diferenças vencidas e devedor do custeio da reserva matemática.</w:t>
      </w:r>
    </w:p>
    <w:p>
      <w:pPr>
        <w:spacing w:line="360" w:lineRule="auto" w:after="0" w:before="0"/>
        <w:jc w:val="both"/>
      </w:pPr>
      <w:r>
        <w:rPr>
          <w:rFonts w:ascii="Arial" w:hAnsi="Arial" w:cs="Arial"/>
          <w:b/>
          <w:i w:val="0"/>
          <w:color w:val="EE0000"/>
          <w:sz w:val="28"/>
        </w:rPr>
        <w:t>2. Divergência com o acórdão paradigma</w:t>
      </w:r>
    </w:p>
    <w:p>
      <w:pPr>
        <w:spacing w:line="360" w:lineRule="auto" w:after="0" w:before="0"/>
        <w:ind w:hanging="357" w:left="720"/>
        <w:jc w:val="both"/>
      </w:pPr>
      <w:r>
        <w:rPr>
          <w:rFonts w:ascii="Arial" w:hAnsi="Arial" w:cs="Arial"/>
          <w:b w:val="0"/>
          <w:i w:val="0"/>
          <w:color w:val="EE0000"/>
          <w:sz w:val="28"/>
        </w:rPr>
        <w:t>O critério do acórdão 1978927, que abateu as contribuições das diferenças vencidas, é o mesmo adotado pelo agravante, mas o laudo reteve o total das diferenças como reserva matemática passada.</w:t>
      </w:r>
    </w:p>
    <w:p>
      <w:pPr>
        <w:spacing w:line="360" w:lineRule="auto" w:after="0" w:before="0"/>
        <w:jc w:val="both"/>
      </w:pPr>
      <w:r>
        <w:rPr>
          <w:rFonts w:ascii="Arial" w:hAnsi="Arial" w:cs="Arial"/>
          <w:b/>
          <w:i w:val="0"/>
          <w:color w:val="EE0000"/>
          <w:sz w:val="28"/>
        </w:rPr>
        <w:t>3. Reserva matemática vencida sem amparo</w:t>
      </w:r>
    </w:p>
    <w:p>
      <w:pPr>
        <w:spacing w:line="360" w:lineRule="auto" w:after="0" w:before="0"/>
        <w:ind w:hanging="357" w:left="720"/>
        <w:jc w:val="both"/>
      </w:pPr>
      <w:r>
        <w:rPr>
          <w:rFonts w:ascii="Arial" w:hAnsi="Arial" w:cs="Arial"/>
          <w:b w:val="0"/>
          <w:i w:val="0"/>
          <w:color w:val="EE0000"/>
          <w:sz w:val="28"/>
        </w:rPr>
        <w:t>O Tema 955/STJ prevê a recomposição prévia da reserva só para as parcelas vincendas, e a reserva matemática passada não tem amparo nas decisões, no estatuto nem no regulamento da Previ.</w:t>
      </w:r>
    </w:p>
    <w:p>
      <w:pPr>
        <w:spacing w:line="360" w:lineRule="auto" w:after="0" w:before="0"/>
        <w:jc w:val="both"/>
      </w:pPr>
      <w:r>
        <w:rPr>
          <w:rFonts w:ascii="Arial" w:hAnsi="Arial" w:cs="Arial"/>
          <w:b/>
          <w:i w:val="0"/>
          <w:color w:val="EE0000"/>
          <w:sz w:val="28"/>
        </w:rPr>
        <w:t>4. Compensação das verbas</w:t>
      </w:r>
    </w:p>
    <w:p>
      <w:pPr>
        <w:spacing w:line="360" w:lineRule="auto" w:after="0" w:before="0"/>
        <w:ind w:hanging="357" w:left="720"/>
        <w:jc w:val="both"/>
      </w:pPr>
      <w:r>
        <w:rPr>
          <w:rFonts w:ascii="Arial" w:hAnsi="Arial" w:cs="Arial"/>
          <w:b w:val="0"/>
          <w:i w:val="0"/>
          <w:color w:val="EE0000"/>
          <w:sz w:val="28"/>
        </w:rPr>
        <w:t>Compensadas a reserva futura (R$ 749.247,48), as diferenças vencidas (R$ 621.218,63) e a multa de 2% (R$ 4.303,20), o aporte seria de R$ 123.725,65, e não de R$ 678.107,82.</w:t>
      </w:r>
    </w:p>
    <w:p>
      <w:pPr>
        <w:spacing w:line="360" w:lineRule="auto" w:after="0" w:before="0"/>
        <w:jc w:val="both"/>
      </w:pPr>
      <w:r>
        <w:rPr>
          <w:rFonts w:ascii="Arial" w:hAnsi="Arial" w:cs="Arial"/>
          <w:b/>
          <w:i w:val="0"/>
          <w:color w:val="EE0000"/>
          <w:sz w:val="28"/>
        </w:rPr>
        <w:t>5. Impossibilidade do aporte e retenção das contribuições</w:t>
      </w:r>
    </w:p>
    <w:p>
      <w:pPr>
        <w:spacing w:line="360" w:lineRule="auto" w:after="0" w:before="0"/>
        <w:ind w:hanging="357" w:left="720"/>
        <w:jc w:val="both"/>
      </w:pPr>
      <w:r>
        <w:rPr>
          <w:rFonts w:ascii="Arial" w:hAnsi="Arial" w:cs="Arial"/>
          <w:b w:val="0"/>
          <w:i w:val="0"/>
          <w:color w:val="EE0000"/>
          <w:sz w:val="28"/>
        </w:rPr>
        <w:t>Não tem recursos para aportar de imediato R$ 678.107,82, e o arquivamento sem destino para as contribuições pessoais pagas na ação trabalhista geraria enriquecimento ilícito da Previ.</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provimento do agravo para reformar a decisão agravada e promover a recomposição das reservas matemáticas nos termos do Tema 955/STJ (REsp 1.312.736/RS).</w:t>
      </w:r>
    </w:p>
    <w:p>
      <w:pPr>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commentRangeStart w:id="1"/>
      <w:r>
        <w:rPr>
          <w:rFonts w:ascii="Arial" w:hAnsi="Arial" w:cs="Arial"/>
          <w:b w:val="0"/>
          <w:i w:val="0"/>
          <w:sz w:val="28"/>
        </w:rPr>
        <w:t>Trata-se de agravo de instrumento interposto por OSVALDO GONDIM contra decisão que, na liquidação por arbitramento (R$ 152.741,53) movida em face da CAIXA DE PREVIDÊNCIA DOS FUNCIONÁRIOS DO BANCO DO BRASIL – PREVI, homologou o laudo pericial complementar, concluiu que o autor deve aportar R$ 678.107,82 à ré para receber benefício de R$ 4.420,47, encerrou a fase de liquidação e determinou o arquivamento dos autos, o que foi mantido em embargos de declaração (ID 269498937 e 270725617, do processo de origem).</w:t>
      </w:r>
      <w:commentRangeEnd w:id="1"/>
      <w:r>
        <w:rPr>
          <w:rStyle w:val="CommentReference"/>
        </w:rPr>
        <w:commentReference w:id="1"/>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agravante alega, em síntese, que: </w:t>
      </w:r>
      <w:r>
        <w:rPr>
          <w:rFonts w:ascii="Arial" w:hAnsi="Arial" w:cs="Arial"/>
          <w:b/>
          <w:i w:val="0"/>
          <w:sz w:val="28"/>
        </w:rPr>
        <w:t>1)</w:t>
      </w:r>
      <w:r>
        <w:rPr>
          <w:rFonts w:ascii="Arial" w:hAnsi="Arial" w:cs="Arial"/>
          <w:b w:val="0"/>
          <w:i w:val="0"/>
          <w:sz w:val="28"/>
        </w:rPr>
        <w:t xml:space="preserve"> o laudo complementar 3 descumpriu o acórdão do agravo anterior, pois manteve os valores sem compensar as diferenças vencidas com o custeio da reserva matemática; </w:t>
      </w:r>
      <w:r>
        <w:rPr>
          <w:rFonts w:ascii="Arial" w:hAnsi="Arial" w:cs="Arial"/>
          <w:b/>
          <w:i w:val="0"/>
          <w:sz w:val="28"/>
        </w:rPr>
        <w:t>2)</w:t>
      </w:r>
      <w:r>
        <w:rPr>
          <w:rFonts w:ascii="Arial" w:hAnsi="Arial" w:cs="Arial"/>
          <w:b w:val="0"/>
          <w:i w:val="0"/>
          <w:sz w:val="28"/>
        </w:rPr>
        <w:t xml:space="preserve"> o critério do acórdão paradigma 1978927 é o mesmo que adota; </w:t>
      </w:r>
      <w:r>
        <w:rPr>
          <w:rFonts w:ascii="Arial" w:hAnsi="Arial" w:cs="Arial"/>
          <w:b/>
          <w:i w:val="0"/>
          <w:sz w:val="28"/>
        </w:rPr>
        <w:t>3)</w:t>
      </w:r>
      <w:r>
        <w:rPr>
          <w:rFonts w:ascii="Arial" w:hAnsi="Arial" w:cs="Arial"/>
          <w:b w:val="0"/>
          <w:i w:val="0"/>
          <w:sz w:val="28"/>
        </w:rPr>
        <w:t xml:space="preserve"> o Tema 955/STJ prevê a recomposição prévia da reserva só para as parcelas vincendas, e a reserva matemática passada não tem amparo nas decisões, no estatuto nem no regulamento da Previ; </w:t>
      </w:r>
      <w:r>
        <w:rPr>
          <w:rFonts w:ascii="Arial" w:hAnsi="Arial" w:cs="Arial"/>
          <w:b/>
          <w:i w:val="0"/>
          <w:sz w:val="28"/>
        </w:rPr>
        <w:t>4)</w:t>
      </w:r>
      <w:r>
        <w:rPr>
          <w:rFonts w:ascii="Arial" w:hAnsi="Arial" w:cs="Arial"/>
          <w:b w:val="0"/>
          <w:i w:val="0"/>
          <w:sz w:val="28"/>
        </w:rPr>
        <w:t xml:space="preserve"> compensadas as verbas, o aporte seria de R$ 123.725,65; </w:t>
      </w:r>
      <w:r>
        <w:rPr>
          <w:rFonts w:ascii="Arial" w:hAnsi="Arial" w:cs="Arial"/>
          <w:b/>
          <w:i w:val="0"/>
          <w:sz w:val="28"/>
        </w:rPr>
        <w:t>5)</w:t>
      </w:r>
      <w:r>
        <w:rPr>
          <w:rFonts w:ascii="Arial" w:hAnsi="Arial" w:cs="Arial"/>
          <w:b w:val="0"/>
          <w:i w:val="0"/>
          <w:sz w:val="28"/>
        </w:rPr>
        <w:t xml:space="preserve"> não tem recursos para aportar de imediato R$ 678.107,82, e a retenção das contribuições pessoais pela Previ seria enriquecimento ilícito.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o provimento do agravo para reformar a decisão agravada e promover a recomposição das reservas matemáticas nos termos do Tema 955/STJ (REsp 1.312.736/RS).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Não houve pedido de efeito suspensivo ou de antecipação da tutela recursal.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Em contrarrazões, a agravada, PREVI, sustenta que: </w:t>
      </w:r>
      <w:r>
        <w:rPr>
          <w:rFonts w:ascii="Arial" w:hAnsi="Arial" w:cs="Arial"/>
          <w:b/>
          <w:i w:val="0"/>
          <w:sz w:val="28"/>
        </w:rPr>
        <w:t>1)</w:t>
      </w:r>
      <w:r>
        <w:rPr>
          <w:rFonts w:ascii="Arial" w:hAnsi="Arial" w:cs="Arial"/>
          <w:b w:val="0"/>
          <w:i w:val="0"/>
          <w:sz w:val="28"/>
        </w:rPr>
        <w:t xml:space="preserve"> não é possível compensar o valor da reserva matemática a ser recomposta com as diferenças do benefício, que são mera expectativa de direito enquanto a reserva não for recomposta; </w:t>
      </w:r>
      <w:r>
        <w:rPr>
          <w:rFonts w:ascii="Arial" w:hAnsi="Arial" w:cs="Arial"/>
          <w:b/>
          <w:i w:val="0"/>
          <w:sz w:val="28"/>
        </w:rPr>
        <w:t>2)</w:t>
      </w:r>
      <w:r>
        <w:rPr>
          <w:rFonts w:ascii="Arial" w:hAnsi="Arial" w:cs="Arial"/>
          <w:b w:val="0"/>
          <w:i w:val="0"/>
          <w:sz w:val="28"/>
        </w:rPr>
        <w:t xml:space="preserve"> o provimento do agravo configuraria enriquecimento sem causa do agravante (ID 84939119).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Por despacho, determinei a intimação do agravante para recolher o preparo em dobro e para se manifestar sobre a aparente intempestividade do recurso (CPC 1.007 § 4º; ID 88383373). O agravante peticionou, esclarecendo que protocolou o agravo na origem em 29/04/2026, e juntou o comprovante do pagamento das custas, de R$ 48,34 (ID 88780024 e anexos).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VOTO</w:t>
      </w:r>
    </w:p>
    <w:p>
      <w:pPr>
        <w:spacing w:line="360" w:lineRule="auto" w:after="0"/>
        <w:ind w:firstLine="2268"/>
      </w:pPr>
      <w:r>
        <w:rPr>
          <w:sz w:val="28"/>
        </w:rPr>
      </w:r>
    </w:p>
    <w:p>
      <w:pPr>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AGRAVO DE INSTRUMENTO DO AUTOR, OSVALDO GONDIM</w:t>
      </w:r>
    </w:p>
    <w:p>
      <w:pPr>
        <w:spacing w:line="360" w:lineRule="auto" w:after="0"/>
        <w:ind w:firstLine="2268"/>
      </w:pPr>
      <w:r>
        <w:rPr>
          <w:sz w:val="28"/>
        </w:rPr>
      </w:r>
    </w:p>
    <w:p>
      <w:pPr>
        <w:spacing w:line="360" w:lineRule="auto" w:after="0" w:before="0"/>
        <w:jc w:val="center"/>
      </w:pPr>
      <w:r>
        <w:rPr>
          <w:rFonts w:ascii="Arial" w:hAnsi="Arial" w:cs="Arial"/>
          <w:b w:val="0"/>
          <w:i w:val="0"/>
          <w:sz w:val="28"/>
          <w:highlight w:val="yellow"/>
        </w:rPr>
        <w:t>DA DESERÇÃO DO AGRAVO DE INSTRUMENTO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agravante foi intimado, por despacho publicado em 02/09/2026, para recolher o preparo recursal em dobro, porque não comprovou o recolhimento no ato da interposição do recurso (CPC 1.007 § 4º; ID 88383373 e 88951900).</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agravante alega que: </w:t>
      </w:r>
      <w:r>
        <w:rPr>
          <w:rFonts w:ascii="Arial" w:hAnsi="Arial" w:cs="Arial"/>
          <w:b/>
          <w:i w:val="0"/>
          <w:sz w:val="28"/>
        </w:rPr>
        <w:t>1)</w:t>
      </w:r>
      <w:r>
        <w:rPr>
          <w:rFonts w:ascii="Arial" w:hAnsi="Arial" w:cs="Arial"/>
          <w:b w:val="0"/>
          <w:i w:val="0"/>
          <w:sz w:val="28"/>
        </w:rPr>
        <w:t xml:space="preserve"> protocolou o agravo na origem em 29/04/2026; </w:t>
      </w:r>
      <w:r>
        <w:rPr>
          <w:rFonts w:ascii="Arial" w:hAnsi="Arial" w:cs="Arial"/>
          <w:b/>
          <w:i w:val="0"/>
          <w:sz w:val="28"/>
        </w:rPr>
        <w:t>2)</w:t>
      </w:r>
      <w:r>
        <w:rPr>
          <w:rFonts w:ascii="Arial" w:hAnsi="Arial" w:cs="Arial"/>
          <w:b w:val="0"/>
          <w:i w:val="0"/>
          <w:sz w:val="28"/>
        </w:rPr>
        <w:t xml:space="preserve"> pagou as custas, de R$ 48,34, na mesma data (ID 88780024). Requer o regular prosseguimento do recurso.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Nos termos do CPC 1.007:</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“Art. 1.007. No ato de interposição do recurso, o recorrente comprovará, quando exigido pela legislação pertinente, o respectivo preparo, inclusive porte de remessa e de retorno, sob pena de deserção.</w:t>
      </w:r>
    </w:p>
    <w:p>
      <w:pPr>
        <w:spacing w:line="360" w:lineRule="auto" w:after="0" w:before="0"/>
        <w:ind w:left="2268"/>
        <w:jc w:val="both"/>
      </w:pPr>
      <w:r>
        <w:rPr>
          <w:rFonts w:ascii="Arial" w:hAnsi="Arial" w:cs="Arial"/>
          <w:b w:val="0"/>
          <w:i/>
          <w:sz w:val="26"/>
        </w:rPr>
        <w:t>(...)</w:t>
      </w:r>
    </w:p>
    <w:p>
      <w:pPr>
        <w:spacing w:line="360" w:lineRule="auto" w:after="0" w:before="0"/>
        <w:ind w:left="2268"/>
        <w:jc w:val="both"/>
      </w:pPr>
      <w:r>
        <w:rPr>
          <w:rFonts w:ascii="Arial" w:hAnsi="Arial" w:cs="Arial"/>
          <w:b w:val="0"/>
          <w:i/>
          <w:sz w:val="26"/>
        </w:rPr>
        <w:t>§ 4º O recorrente que não comprovar, no ato de interposição do recurso, o recolhimento do preparo, inclusive porte de remessa e de retorno, será intimado, na pessoa de seu advogado, para realizar o recolhimento em dobro, sob pena de deserção.”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No caso, o agravo foi protocolado neste Tribunal em 30/04/2026 sem o comprovante do preparo, pois o único documento enviado foi a petição do recurso (ID 83835668 e 88780028). O comprovante do pagamento das custas, de R$ 48,34, foi juntado somente em 29/08/2026 (ID 88780026).</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pagamento anterior à interposição não supre a falta de comprovação no ato. Nesse sentido:</w:t>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 2. Nos termos da jurisprudência do STJ, não havendo a comprovação do recolhimento do preparo no ato da interposição do recurso, o recorrente será intimado para realizar o recolhimento em dobro, sob pena de deserção, à luz do art. 1.007, caput e § 4º, do CPC. 3. O recorrente deve comprovar a realização do preparo no ato de interposição do recurso, sob pena de preclusão, </w:t>
      </w:r>
      <w:r>
        <w:rPr>
          <w:rFonts w:ascii="Arial" w:hAnsi="Arial" w:cs="Arial"/>
          <w:b w:val="0"/>
          <w:i/>
          <w:sz w:val="26"/>
          <w:u w:val="single"/>
        </w:rPr>
        <w:t>sendo inadmissível a comprovação posterior, ainda que o pagamento tenha ocorrido dentro do prazo recursal</w:t>
      </w:r>
      <w:r>
        <w:rPr>
          <w:rFonts w:ascii="Arial" w:hAnsi="Arial" w:cs="Arial"/>
          <w:b w:val="0"/>
          <w:i/>
          <w:sz w:val="26"/>
        </w:rPr>
        <w:t>. Precedentes. (...)” (STJ, REsp 2.238.749, Rel. Min. Nancy Andrighi, Terceira Turma, j. 09/03/2026.) – Grifei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 alegação de que o agravo foi protocolado na origem em 29/04/2026 também não afasta a deserção. A comunicação de interposição, assinada às 09:54:30 daquele dia, contém apenas a petição do agravo (ID 274007871, do processo de origem, reproduzida no ID 88780025). O pagamento das custas ocorreu depois, às 10:04:58 (ID 88780026).</w:t>
      </w:r>
    </w:p>
    <w:p>
      <w:pPr>
        <w:spacing w:line="360" w:lineRule="auto" w:after="0"/>
        <w:ind w:firstLine="2268"/>
      </w:pPr>
      <w:r>
        <w:rPr>
          <w:sz w:val="28"/>
        </w:rPr>
      </w:r>
    </w:p>
    <w:p>
      <w:pPr>
        <w:spacing w:line="360" w:lineRule="auto" w:after="0" w:before="0"/>
        <w:ind w:firstLine="2268"/>
        <w:jc w:val="both"/>
      </w:pPr>
      <w:commentRangeStart w:id="2"/>
      <w:r>
        <w:rPr>
          <w:rFonts w:ascii="Arial" w:hAnsi="Arial" w:cs="Arial"/>
          <w:b w:val="0"/>
          <w:i w:val="0"/>
          <w:sz w:val="28"/>
        </w:rPr>
        <w:t>Intimado para recolher o preparo em dobro, o agravante apenas juntou o comprovante do pagamento simples e não fez novo recolhimento. O prazo de 5 (cinco) dias, contado da publicação do despacho, terminou sem a regularização (ID 88951900).</w:t>
      </w:r>
      <w:commentRangeEnd w:id="2"/>
      <w:r>
        <w:rPr>
          <w:rStyle w:val="CommentReference"/>
        </w:rPr>
        <w:commentReference w:id="2"/>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Assim, o agravo de instrumento é deserto. Fica prejudicada a análise da alegada intempestividade, sobre a qual o agravante se manifestou (ID 88780024).</w:t>
      </w:r>
      <w:commentRangeEnd w:id="3"/>
      <w:r>
        <w:rPr>
          <w:rStyle w:val="CommentReference"/>
        </w:rPr>
        <w:commentReference w:id="3"/>
      </w:r>
    </w:p>
    <w:p>
      <w:pPr>
        <w:spacing w:line="360" w:lineRule="auto" w:after="0"/>
        <w:ind w:firstLine="2268"/>
      </w:pPr>
      <w:r>
        <w:rPr>
          <w:sz w:val="28"/>
        </w:rPr>
      </w:r>
    </w:p>
    <w:p>
      <w:pPr>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Ante o exposto, não conheço do agravo de instrumento do autor, OSVALDO GONDIM, por deserção.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sectPr w:rsidRPr="0006063C" w:rsidR="00FC693F" w:rsidSect="00034616">
      <w:footerReference w:type="default" r:id="rId9"/>
      <w:pgSz w:w="11906" w:h="16838" w:orient="portrait"/>
      <w:pgMar w:top="1417" w:right="1701" w:bottom="1417" w:left="1701"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d="0" w:author="Minuta GDSXSR" w:initials="MG" w:date="2026-10-29T18:46:32Z">
    <w:p>
      <w:pPr>
        <w:pStyle w:val="CommentText"/>
      </w:pPr>
      <w:r>
        <w:rPr>
          <w:rStyle w:val="CommentReference"/>
        </w:rPr>
        <w:annotationRef/>
      </w:r>
      <w:r>
        <w:t>MINUTA GDSXSR — PENDÊNCIA (C-72): o iajus devolveu o REsp 2.238.749 com relatora, órgão e data (j. 09/03/2026), mas sem UF de origem nem data do DJe, e a busca na web (1 tentativa) não os encontrou. Completar na consulta do STJ (SCON, registro 202503470806). Não localizei acórdão da 4ª Turma Cível/TJDFT sobre o mesmo ponto; se quiser citá-lo, o número fica para o senhor.</w:t>
      </w:r>
    </w:p>
  </w:comment>
  <w:comment w:id="1" w:author="Minuta GDSXSR" w:initials="MG" w:date="2026-10-29T18:46:32Z">
    <w:p>
      <w:pPr>
        <w:pStyle w:val="CommentText"/>
      </w:pPr>
      <w:r>
        <w:rPr>
          <w:rStyle w:val="CommentReference"/>
        </w:rPr>
        <w:annotationRef/>
      </w:r>
      <w:r>
        <w:t>MINUTA GDSXSR — PENDÊNCIA: as decisões de origem (IDs 269498937 e 270725617) não estão nos autos que recebi. Descrevi o seu conteúdo pelo que o agravo transcreve (ID 83835668, págs. 17 e 18) e pelo valor da causa da capa do processo de origem. Com as duas peças, confiro este parágrafo e anexo a decisão agravada em verde (C-45). Os dois IDs precisam ser pedidos a Marcos.</w:t>
      </w:r>
    </w:p>
  </w:comment>
  <w:comment w:id="2" w:author="Minuta GDSXSR" w:initials="MG" w:date="2026-10-29T18:46:32Z">
    <w:p>
      <w:pPr>
        <w:pStyle w:val="CommentText"/>
      </w:pPr>
      <w:r>
        <w:rPr>
          <w:rStyle w:val="CommentReference"/>
        </w:rPr>
        <w:annotationRef/>
      </w:r>
      <w:r>
        <w:t>MINUTA GDSXSR — PENDÊNCIA: confirmar no PJe, antes de assinar, que não houve recolhimento em dobro depois de 02/09/2026. Os autos que recebi (extraídos em 29/10/2026) não têm nenhum documento posterior ao ID 88951900 nem certidão de decurso. Contagem do prazo (CPC 219: “Na contagem de prazo em dias, estabelecido por lei ou pelo juiz, computar-se-ão somente os dias úteis.”): publicação 02/09/2026 (quarta-feira); prazo de 03/09 a 10/09/2026, sem o dia 07/09 (feriado).</w:t>
      </w:r>
    </w:p>
  </w:comment>
  <w:comment w:id="3" w:author="Minuta GDSXSR" w:initials="MG" w:date="2026-10-29T18:46:32Z">
    <w:p>
      <w:pPr>
        <w:pStyle w:val="CommentText"/>
      </w:pPr>
      <w:r>
        <w:rPr>
          <w:rStyle w:val="CommentReference"/>
        </w:rPr>
        <w:annotationRef/>
      </w:r>
      <w:r>
        <w:t>MINUTA GDSXSR — ESCOLHA DA FUNDAMENTAÇÃO: o despacho do Relator (ID 88383373) apontou duas causas, a deserção e a intempestividade (agravo distribuído em 30/04/2026; último dia do prazo, 29/04/2026, pelo expediente de 1º grau). Fundamentei só na deserção porque ela não depende de decidir se o protocolo na origem vale. A questão é controvertida: o STJ, na 4ª Turma (AREsp 2.310.193, Rel. Min. Raul Araújo, j. 16/12/2025), aceita o protocolo do AI na origem mesmo em processo eletrônico (CPC 1.017, § 2º, II), e a 8ª Turma Cível do TJDFT (0702222-25.2023.8.07.0000, j. 30/03/2023) o trata como erro grosseiro. Se o senhor preferir também decidir a intempestividade, o parágrafo muda. Sem honorários recursais (perfil AGI: não há em regra).</w:t>
      </w:r>
    </w:p>
  </w:comment>
</w:comments>
</file>

<file path=word/commentsExtended.xml><?xml version="1.0" encoding="utf-8"?>
<w15:commentsEx xmlns:mc="http://schemas.openxmlformats.org/markup-compatibility/2006" xmlns:w15="http://schemas.microsoft.com/office/word/2012/wordml" mc:Ignorable="w15">
  <w15:commentEx w15:done="0" w15:paraId="2C5B8251"/>
  <w15:commentEx w15:done="0" w15:paraId="798E2068"/>
  <w15:commentEx w15:done="0" w15:paraId="2A6D5DD9"/>
  <w15:commentEx w15:done="0" w15:paraId="1B7BE6E4"/>
  <w15:commentEx w15:done="0" w15:paraId="45FAA30E"/>
  <w15:commentEx w15:done="0" w15:paraId="1B306973"/>
  <w15:commentEx w15:done="0" w15:paraId="43E7FB85"/>
  <w15:commentEx w15:done="0" w15:paraId="3F150D51"/>
  <w15:commentEx w15:done="0" w15:paraId="2C79B740"/>
  <w15:commentEx w15:done="0" w15:paraId="7BBA337D"/>
  <w15:commentEx w15:done="0" w15:paraId="2A9E23A0"/>
  <w15:commentEx w15:done="0" w15:paraId="461976A2"/>
  <w15:commentEx w15:done="0" w15:paraId="1D5F2134"/>
  <w15:commentEx w15:done="0" w15:paraId="4316FF66"/>
  <w15:commentEx w15:done="0" w15:paraId="1DFCC4EB"/>
  <w15:commentEx w15:done="0" w15:paraId="459684B9"/>
  <w15:commentEx w15:done="0" w15:paraId="4496DBAF"/>
  <w15:commentEx w15:done="0" w15:paraId="21AD587B"/>
  <w15:commentEx w15:done="0" w15:paraId="715B9FB8"/>
  <w15:commentEx w15:done="0" w15:paraId="3447A896"/>
  <w15:commentEx w15:done="0" w15:paraId="4EF6052F"/>
  <w15:commentEx w15:done="0" w15:paraId="46F698D4"/>
  <w15:commentEx w15:done="0" w15:paraId="1D8A9808" w15:paraIdParent="2C5B8251"/>
  <w15:commentEx w15:done="0" w15:paraId="4A4C1F6B"/>
  <w15:commentEx w15:done="0" w15:paraId="1F83DBEC"/>
  <w15:commentEx w15:done="0" w15:paraId="7F8AAC5A"/>
  <w15:commentEx w15:done="0" w15:paraId="666EF34C"/>
  <w15:commentEx w15:done="0" w15:paraId="5E23538A"/>
  <w15:commentEx w15:done="0" w15:paraId="3A38D848"/>
  <w15:commentEx w15:done="0" w15:paraId="07DCF8DA" w15:paraIdParent="2C5B82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8A9367" w16cex:dateUtc="2026-10-11T19:22:34.373Z">
    <w16cex:extLst>
      <w16:ext w16:uri="{CE6994B0-6A32-4C9F-8C6B-6E91EDA988CE}">
        <cr:reactions xmlns:cr="http://schemas.microsoft.com/office/comments/2020/reactions">
          <cr:reaction reactionType="1">
            <cr:reactionInfo dateUtc="2026-10-11T22:16:33.46Z">
              <cr:user userId="S::t313207@tjdft.jus.br::d29e2de7-00a4-4621-a031-73d81317b1e9" userProvider="AD" userName="Marcelo Ribeiro Da Silva - GDSXSR"/>
            </cr:reactionInfo>
          </cr:reaction>
        </cr:reactions>
      </w16:ext>
    </w16cex:extLst>
  </w16cex:commentExtensible>
  <w16cex:commentExtensible w16cex:durableId="76C443C4" w16cex:dateUtc="2026-10-11T23:03:36.174Z"/>
</w16cex:commentsExtensible>
</file>

<file path=word/commentsIds.xml><?xml version="1.0" encoding="utf-8"?>
<w16cid:commentsIds xmlns:mc="http://schemas.openxmlformats.org/markup-compatibility/2006" xmlns:w16cid="http://schemas.microsoft.com/office/word/2016/wordml/cid" mc:Ignorable="w16cid">
  <w16cid:commentId w16cid:paraId="2C5B8251" w16cid:durableId="0B053848"/>
  <w16cid:commentId w16cid:paraId="798E2068" w16cid:durableId="486E0027"/>
  <w16cid:commentId w16cid:paraId="2A6D5DD9" w16cid:durableId="343AFC76"/>
  <w16cid:commentId w16cid:paraId="1B7BE6E4" w16cid:durableId="06F67560"/>
  <w16cid:commentId w16cid:paraId="45FAA30E" w16cid:durableId="093D3FE9"/>
  <w16cid:commentId w16cid:paraId="1B306973" w16cid:durableId="4416EADA"/>
  <w16cid:commentId w16cid:paraId="43E7FB85" w16cid:durableId="5093624A"/>
  <w16cid:commentId w16cid:paraId="3F150D51" w16cid:durableId="0E7BECA3"/>
  <w16cid:commentId w16cid:paraId="2C79B740" w16cid:durableId="24D767EA"/>
  <w16cid:commentId w16cid:paraId="7BBA337D" w16cid:durableId="721284C8"/>
  <w16cid:commentId w16cid:paraId="2A9E23A0" w16cid:durableId="6828F1F0"/>
  <w16cid:commentId w16cid:paraId="461976A2" w16cid:durableId="251F1A03"/>
  <w16cid:commentId w16cid:paraId="1D5F2134" w16cid:durableId="7584782F"/>
  <w16cid:commentId w16cid:paraId="4316FF66" w16cid:durableId="7FE4C1BE"/>
  <w16cid:commentId w16cid:paraId="1DFCC4EB" w16cid:durableId="29E3DF67"/>
  <w16cid:commentId w16cid:paraId="459684B9" w16cid:durableId="07FCA37E"/>
  <w16cid:commentId w16cid:paraId="4496DBAF" w16cid:durableId="0143BA81"/>
  <w16cid:commentId w16cid:paraId="21AD587B" w16cid:durableId="103F77A3"/>
  <w16cid:commentId w16cid:paraId="715B9FB8" w16cid:durableId="064803E8"/>
  <w16cid:commentId w16cid:paraId="3447A896" w16cid:durableId="40748DA4"/>
  <w16cid:commentId w16cid:paraId="4EF6052F" w16cid:durableId="739C0535"/>
  <w16cid:commentId w16cid:paraId="46F698D4" w16cid:durableId="34F04E7A"/>
  <w16cid:commentId w16cid:paraId="4A4C1F6B" w16cid:durableId="1584374C"/>
  <w16cid:commentId w16cid:paraId="1F83DBEC" w16cid:durableId="59E39858"/>
  <w16cid:commentId w16cid:paraId="7F8AAC5A" w16cid:durableId="7A3A04F1"/>
  <w16cid:commentId w16cid:paraId="666EF34C" w16cid:durableId="624D51AC"/>
  <w16cid:commentId w16cid:paraId="5E23538A" w16cid:durableId="57F971A6"/>
  <w16cid:commentId w16cid:paraId="3A38D848" w16cid:durableId="412C0201"/>
  <w16cid:commentId w16cid:paraId="07DCF8DA" w16cid:durableId="708A9367"/>
  <w16cid:commentId w16cid:paraId="1D8A9808" w16cid:durableId="76C44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Pr>
    <w:r w:rsidRPr="7A6EA4F2">
      <w:rPr>
        <w:sz w:val="20"/>
        <w:szCs w:val="20"/>
      </w:rPr>
      <w:fldChar w:fldCharType="begin"/>
    </w:r>
    <w:r w:rsidRPr="7A6EA4F2">
      <w:rPr>
        <w:sz w:val="20"/>
        <w:szCs w:val="20"/>
      </w:rPr>
      <w:instrText xml:space="preserve">PAGE</w:instrText>
    </w:r>
    <w:r w:rsidRPr="7A6EA4F2">
      <w:rPr>
        <w:sz w:val="20"/>
        <w:szCs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8">
    <w:nsid w:val="72ac45b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11270f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af4b86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775335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fb714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eebcbc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9802c3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f86e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215dc0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d4026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1b8c0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6d5d3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3e1570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a1487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187d8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c229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9a8bb89"/>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4b5340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d1c97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98df9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Marcos Dwayne Saraiva Costa - GDSXSR">
    <w15:presenceInfo w15:providerId="AD" w15:userId="S::t321760@tjdft.jus.br::71ef89ef-9eb5-4780-8a4d-3f3a792db9c6"/>
  </w15:person>
  <w15:person w15:author="Marcelo Ribeiro Da Silva - GDSXSR">
    <w15:presenceInfo w15:providerId="AD" w15:userId="S::t313207@tjdft.jus.br::d29e2de7-00a4-4621-a031-73d81317b1e9"/>
  </w15:person>
  <w15:person w15:author="Marcelo Ribeiro Da Silva - GDSXSR">
    <w15:presenceInfo w15:providerId="AD" w15:userId="S::t313207@tjdft.jus.br::d29e2de7-00a4-4621-a031-73d81317b1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E4610"/>
    <w:rsid w:val="03746094"/>
    <w:rsid w:val="070270C6"/>
    <w:rsid w:val="070270C6"/>
    <w:rsid w:val="0CDBB89A"/>
    <w:rsid w:val="0CDBB89A"/>
    <w:rsid w:val="127289C4"/>
    <w:rsid w:val="143FCE2B"/>
    <w:rsid w:val="143FCE2B"/>
    <w:rsid w:val="2579E5BD"/>
    <w:rsid w:val="2671BA38"/>
    <w:rsid w:val="2671BA38"/>
    <w:rsid w:val="27C7E5BF"/>
    <w:rsid w:val="27DC0ACD"/>
    <w:rsid w:val="287199CE"/>
    <w:rsid w:val="2C1D780E"/>
    <w:rsid w:val="304A0FCA"/>
    <w:rsid w:val="30540941"/>
    <w:rsid w:val="30540941"/>
    <w:rsid w:val="31C05ADD"/>
    <w:rsid w:val="3B0A4E47"/>
    <w:rsid w:val="3B52C076"/>
    <w:rsid w:val="3CC530B6"/>
    <w:rsid w:val="3D534256"/>
    <w:rsid w:val="3D98C15A"/>
    <w:rsid w:val="3DB67851"/>
    <w:rsid w:val="40702BEB"/>
    <w:rsid w:val="40702BEB"/>
    <w:rsid w:val="4225855D"/>
    <w:rsid w:val="43BAE1A9"/>
    <w:rsid w:val="45A53B79"/>
    <w:rsid w:val="47433204"/>
    <w:rsid w:val="494E1CDD"/>
    <w:rsid w:val="507E89D7"/>
    <w:rsid w:val="52C5BA21"/>
    <w:rsid w:val="562BD644"/>
    <w:rsid w:val="6043905E"/>
    <w:rsid w:val="6043905E"/>
    <w:rsid w:val="6E02D687"/>
    <w:rsid w:val="6E40A680"/>
    <w:rsid w:val="7924A6A5"/>
    <w:rsid w:val="7A6EA4F2"/>
    <w:rsid w:val="7ABC65D7"/>
    <w:rsid w:val="7E1EE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9ECA6FD-2EDC-408E-AAD6-4A9912967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7A6EA4F2"/>
    <w:rPr>
      <w:rFonts w:ascii="Arial" w:hAnsi="Arial" w:eastAsia="Arial"/>
      <w:noProof w:val="0"/>
      <w:color w:val="808080" w:themeColor="background1" w:themeTint="FF" w:themeShade="80"/>
      <w:sz w:val="28"/>
      <w:szCs w:val="28"/>
      <w:lang w:val="pt-BR"/>
    </w:rPr>
    <w:pPr>
      <w:spacing w:before="0" w:after="0"/>
      <w:jc w:val="both"/>
    </w:pPr>
  </w:style>
  <w:style w:type="paragraph" w:styleId="Header">
    <w:uiPriority w:val="99"/>
    <w:name w:val="header"/>
    <w:basedOn w:val="Normal"/>
    <w:unhideWhenUsed/>
    <w:link w:val="HeaderChar"/>
    <w:rsid w:val="7A6EA4F2"/>
    <w:pPr>
      <w:tabs>
        <w:tab w:val="center" w:leader="none" w:pos="4680"/>
        <w:tab w:val="right" w:leader="none" w:pos="9360"/>
      </w:tabs>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7A6EA4F2"/>
    <w:pPr>
      <w:tabs>
        <w:tab w:val="center" w:leader="none" w:pos="4680"/>
        <w:tab w:val="right" w:leader="none" w:pos="9360"/>
      </w:tabs>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7A6EA4F2"/>
    <w:rPr>
      <w:rFonts w:ascii="Calibri" w:hAnsi="Calibri" w:eastAsia="ＭＳ ゴシック" w:cs="" w:asciiTheme="majorAscii" w:hAnsiTheme="majorAscii" w:eastAsiaTheme="majorEastAsia" w:cstheme="majorBidi"/>
      <w:b w:val="1"/>
      <w:bCs w:val="1"/>
      <w:color w:val="365F91" w:themeColor="accent1" w:themeTint="FF" w:themeShade="BF"/>
    </w:rPr>
    <w:pPr>
      <w:keepNext w:val="1"/>
      <w:keepLines w:val="1"/>
      <w:spacing w:before="480"/>
      <w:outlineLvl w:val="0"/>
    </w:pPr>
  </w:style>
  <w:style w:type="paragraph" w:styleId="Heading2">
    <w:uiPriority w:val="9"/>
    <w:name w:val="heading 2"/>
    <w:basedOn w:val="Normal"/>
    <w:next w:val="Normal"/>
    <w:unhideWhenUsed/>
    <w:link w:val="Heading2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outlineLvl w:val="1"/>
    </w:pPr>
  </w:style>
  <w:style w:type="paragraph" w:styleId="Heading3">
    <w:uiPriority w:val="9"/>
    <w:name w:val="heading 3"/>
    <w:basedOn w:val="Normal"/>
    <w:next w:val="Normal"/>
    <w:unhideWhenUsed/>
    <w:link w:val="Heading3Char"/>
    <w:qFormat/>
    <w:rsid w:val="7A6EA4F2"/>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outlineLvl w:val="2"/>
    </w:pPr>
  </w:style>
  <w:style w:type="paragraph" w:styleId="Heading4">
    <w:uiPriority w:val="9"/>
    <w:name w:val="heading 4"/>
    <w:basedOn w:val="Normal"/>
    <w:next w:val="Normal"/>
    <w:semiHidden/>
    <w:unhideWhenUsed/>
    <w:link w:val="Heading4Char"/>
    <w:qFormat/>
    <w:rsid w:val="7A6EA4F2"/>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outlineLvl w:val="3"/>
    </w:pPr>
  </w:style>
  <w:style w:type="paragraph" w:styleId="Heading5">
    <w:uiPriority w:val="9"/>
    <w:name w:val="heading 5"/>
    <w:basedOn w:val="Normal"/>
    <w:next w:val="Normal"/>
    <w:semiHidden/>
    <w:unhideWhenUsed/>
    <w:link w:val="Heading5Char"/>
    <w:qFormat/>
    <w:rsid w:val="7A6EA4F2"/>
    <w:rPr>
      <w:rFonts w:ascii="Calibri" w:hAnsi="Calibri" w:eastAsia="ＭＳ ゴシック" w:cs="" w:asciiTheme="majorAscii" w:hAnsiTheme="majorAscii" w:eastAsiaTheme="majorEastAsia" w:cstheme="majorBidi"/>
      <w:color w:val="243F60"/>
    </w:rPr>
    <w:pPr>
      <w:keepNext w:val="1"/>
      <w:keepLines w:val="1"/>
      <w:spacing w:before="200"/>
      <w:outlineLvl w:val="4"/>
    </w:pPr>
  </w:style>
  <w:style w:type="paragraph" w:styleId="Heading6">
    <w:uiPriority w:val="9"/>
    <w:name w:val="heading 6"/>
    <w:basedOn w:val="Normal"/>
    <w:next w:val="Normal"/>
    <w:semiHidden/>
    <w:unhideWhenUsed/>
    <w:link w:val="Heading6Char"/>
    <w:qFormat/>
    <w:rsid w:val="7A6EA4F2"/>
    <w:rPr>
      <w:rFonts w:ascii="Calibri" w:hAnsi="Calibri" w:eastAsia="ＭＳ ゴシック" w:cs="" w:asciiTheme="majorAscii" w:hAnsiTheme="majorAscii" w:eastAsiaTheme="majorEastAsia" w:cstheme="majorBidi"/>
      <w:i w:val="1"/>
      <w:iCs w:val="1"/>
      <w:color w:val="243F60"/>
    </w:rPr>
    <w:pPr>
      <w:keepNext w:val="1"/>
      <w:keepLines w:val="1"/>
      <w:spacing w:before="200"/>
      <w:outlineLvl w:val="5"/>
    </w:pPr>
  </w:style>
  <w:style w:type="paragraph" w:styleId="Heading7">
    <w:uiPriority w:val="9"/>
    <w:name w:val="heading 7"/>
    <w:basedOn w:val="Normal"/>
    <w:next w:val="Normal"/>
    <w:semiHidden/>
    <w:unhideWhenUsed/>
    <w:link w:val="Heading7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outlineLvl w:val="6"/>
    </w:pPr>
  </w:style>
  <w:style w:type="paragraph" w:styleId="Heading8">
    <w:uiPriority w:val="9"/>
    <w:name w:val="heading 8"/>
    <w:basedOn w:val="Normal"/>
    <w:next w:val="Normal"/>
    <w:semiHidden/>
    <w:unhideWhenUsed/>
    <w:link w:val="Heading8Char"/>
    <w:qFormat/>
    <w:rsid w:val="7A6EA4F2"/>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outlineLvl w:val="7"/>
    </w:pPr>
  </w:style>
  <w:style w:type="paragraph" w:styleId="Heading9">
    <w:uiPriority w:val="9"/>
    <w:name w:val="heading 9"/>
    <w:basedOn w:val="Normal"/>
    <w:next w:val="Normal"/>
    <w:semiHidden/>
    <w:unhideWhenUsed/>
    <w:link w:val="Heading9Char"/>
    <w:qFormat/>
    <w:rsid w:val="7A6EA4F2"/>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7A6EA4F2"/>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7A6EA4F2"/>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7A6EA4F2"/>
    <w:pPr>
      <w:spacing/>
      <w:ind w:left="720"/>
      <w:contextualSpacing/>
    </w:pPr>
  </w:style>
  <w:style w:type="paragraph" w:styleId="BodyText">
    <w:uiPriority w:val="99"/>
    <w:name w:val="Body Text"/>
    <w:basedOn w:val="Normal"/>
    <w:unhideWhenUsed/>
    <w:link w:val="BodyTextChar"/>
    <w:rsid w:val="7A6EA4F2"/>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7A6EA4F2"/>
    <w:pPr>
      <w:spacing w:after="120"/>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7A6EA4F2"/>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7A6EA4F2"/>
    <w:pPr>
      <w:spacing/>
      <w:ind w:left="360" w:hanging="360"/>
      <w:contextualSpacing/>
    </w:pPr>
  </w:style>
  <w:style w:type="paragraph" w:styleId="List2">
    <w:uiPriority w:val="99"/>
    <w:name w:val="List 2"/>
    <w:basedOn w:val="Normal"/>
    <w:unhideWhenUsed/>
    <w:rsid w:val="7A6EA4F2"/>
    <w:pPr>
      <w:spacing/>
      <w:ind w:left="720" w:hanging="360"/>
      <w:contextualSpacing/>
    </w:pPr>
  </w:style>
  <w:style w:type="paragraph" w:styleId="List3">
    <w:uiPriority w:val="99"/>
    <w:name w:val="List 3"/>
    <w:basedOn w:val="Normal"/>
    <w:unhideWhenUsed/>
    <w:rsid w:val="7A6EA4F2"/>
    <w:pPr>
      <w:spacing/>
      <w:ind w:left="1080" w:hanging="360"/>
      <w:contextualSpacing/>
    </w:pPr>
  </w:style>
  <w:style w:type="paragraph" w:styleId="ListBullet">
    <w:uiPriority w:val="99"/>
    <w:name w:val="List Bullet"/>
    <w:basedOn w:val="Normal"/>
    <w:unhideWhenUsed/>
    <w:rsid w:val="7A6EA4F2"/>
    <w:pPr>
      <w:numPr>
        <w:numId w:val="1"/>
      </w:numPr>
      <w:spacing/>
      <w:contextualSpacing/>
    </w:pPr>
  </w:style>
  <w:style w:type="paragraph" w:styleId="ListBullet2">
    <w:uiPriority w:val="99"/>
    <w:name w:val="List Bullet 2"/>
    <w:basedOn w:val="Normal"/>
    <w:unhideWhenUsed/>
    <w:rsid w:val="7A6EA4F2"/>
    <w:pPr>
      <w:numPr>
        <w:numId w:val="2"/>
      </w:numPr>
      <w:spacing/>
      <w:contextualSpacing/>
    </w:pPr>
  </w:style>
  <w:style w:type="paragraph" w:styleId="ListBullet3">
    <w:uiPriority w:val="99"/>
    <w:name w:val="List Bullet 3"/>
    <w:basedOn w:val="Normal"/>
    <w:unhideWhenUsed/>
    <w:rsid w:val="7A6EA4F2"/>
    <w:pPr>
      <w:numPr>
        <w:numId w:val="3"/>
      </w:numPr>
      <w:spacing/>
      <w:contextualSpacing/>
    </w:pPr>
  </w:style>
  <w:style w:type="paragraph" w:styleId="ListNumber">
    <w:uiPriority w:val="99"/>
    <w:name w:val="List Number"/>
    <w:basedOn w:val="Normal"/>
    <w:unhideWhenUsed/>
    <w:rsid w:val="7A6EA4F2"/>
    <w:pPr>
      <w:numPr>
        <w:numId w:val="5"/>
      </w:numPr>
      <w:spacing/>
      <w:contextualSpacing/>
    </w:pPr>
  </w:style>
  <w:style w:type="paragraph" w:styleId="ListNumber2">
    <w:uiPriority w:val="99"/>
    <w:name w:val="List Number 2"/>
    <w:basedOn w:val="Normal"/>
    <w:unhideWhenUsed/>
    <w:rsid w:val="7A6EA4F2"/>
    <w:pPr>
      <w:numPr>
        <w:numId w:val="6"/>
      </w:numPr>
      <w:spacing/>
      <w:contextualSpacing/>
    </w:pPr>
  </w:style>
  <w:style w:type="paragraph" w:styleId="ListNumber3">
    <w:uiPriority w:val="99"/>
    <w:name w:val="List Number 3"/>
    <w:basedOn w:val="Normal"/>
    <w:unhideWhenUsed/>
    <w:rsid w:val="7A6EA4F2"/>
    <w:pPr>
      <w:numPr>
        <w:numId w:val="7"/>
      </w:numPr>
      <w:spacing/>
      <w:contextualSpacing/>
    </w:pPr>
  </w:style>
  <w:style w:type="paragraph" w:styleId="ListContinue">
    <w:uiPriority w:val="99"/>
    <w:name w:val="List Continue"/>
    <w:basedOn w:val="Normal"/>
    <w:unhideWhenUsed/>
    <w:rsid w:val="7A6EA4F2"/>
    <w:pPr>
      <w:spacing w:after="120"/>
      <w:ind w:left="360"/>
      <w:contextualSpacing/>
    </w:pPr>
  </w:style>
  <w:style w:type="paragraph" w:styleId="ListContinue2">
    <w:uiPriority w:val="99"/>
    <w:name w:val="List Continue 2"/>
    <w:basedOn w:val="Normal"/>
    <w:unhideWhenUsed/>
    <w:rsid w:val="7A6EA4F2"/>
    <w:pPr>
      <w:spacing w:after="120"/>
      <w:ind w:left="720"/>
      <w:contextualSpacing/>
    </w:pPr>
  </w:style>
  <w:style w:type="paragraph" w:styleId="ListContinue3">
    <w:uiPriority w:val="99"/>
    <w:name w:val="List Continue 3"/>
    <w:basedOn w:val="Normal"/>
    <w:unhideWhenUsed/>
    <w:rsid w:val="7A6EA4F2"/>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7A6EA4F2"/>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7A6EA4F2"/>
    <w:rPr>
      <w:b w:val="1"/>
      <w:bCs w:val="1"/>
      <w:color w:val="4F81BD" w:themeColor="accent1" w:themeTint="FF" w:themeShade="F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7A6EA4F2"/>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asks.xml><?xml version="1.0" encoding="utf-8"?>
<t:Tasks xmlns:t="http://schemas.microsoft.com/office/tasks/2019/documenttasks" xmlns:oel="http://schemas.microsoft.com/office/2019/extlst">
  <t:Task id="{C67BC264-FEFF-415E-97A8-D74601C1B65E}">
    <t:Anchor>
      <t:Comment id="184891464"/>
    </t:Anchor>
    <t:History>
      <t:Event id="{911C2B67-0C42-4768-9461-3255BECCA592}" time="2026-10-11T19:22:34.391Z">
        <t:Attribution userId="S::t321760@tjdft.jus.br::71ef89ef-9eb5-4780-8a4d-3f3a792db9c6" userProvider="AD" userName="Marcos Dwayne Saraiva Costa - GDSXSR"/>
        <t:Anchor>
          <t:Comment id="1888129895"/>
        </t:Anchor>
        <t:Create/>
      </t:Event>
      <t:Event id="{A9099FB8-1FA0-4673-8448-A211D5BA4203}" time="2026-10-11T19:22:34.391Z">
        <t:Attribution userId="S::t321760@tjdft.jus.br::71ef89ef-9eb5-4780-8a4d-3f3a792db9c6" userProvider="AD" userName="Marcos Dwayne Saraiva Costa - GDSXSR"/>
        <t:Anchor>
          <t:Comment id="1888129895"/>
        </t:Anchor>
        <t:Assign userId="S::t313207@tjdft.jus.br::d29e2de7-00a4-4621-a031-73d81317b1e9" userProvider="AD" userName="Marcelo Ribeiro Da Silva - GDSXSR"/>
      </t:Event>
      <t:Event id="{54AC2F5D-21E1-4639-8C81-C89659A16133}" time="2026-10-11T19:22:34.391Z">
        <t:Attribution userId="S::t321760@tjdft.jus.br::71ef89ef-9eb5-4780-8a4d-3f3a792db9c6" userProvider="AD" userName="Marcos Dwayne Saraiva Costa - GDSXSR"/>
        <t:Anchor>
          <t:Comment id="1888129895"/>
        </t:Anchor>
        <t:SetTitle title="@Marcelo Ribeiro Da Silva - GDSXSR indicar quem fez a liminar. Não coloque o nome do assessor que fez a liminar no nome do arquivo, vamos seguir o padrão. Ajuste a ementa ao modelo do gabinte, por favor."/>
      </t:Event>
      <t:Event id="{0C7952B5-5BE8-4F5D-B336-BAFBB63E508B}" time="2026-10-11T23:03:36.181Z">
        <t:Attribution userId="S::t313207@tjdft.jus.br::d29e2de7-00a4-4621-a031-73d81317b1e9" userProvider="AD" userName="Marcelo Ribeiro Da Silva - GDSXSR"/>
        <t:Anchor>
          <t:Comment id="1992573892"/>
        </t:Anchor>
        <t:UnassignAll/>
      </t:Event>
      <t:Event id="{582EBACF-6F68-42EA-911F-B805B123E2FC}" time="2026-10-11T23:03:36.181Z">
        <t:Attribution userId="S::t313207@tjdft.jus.br::d29e2de7-00a4-4621-a031-73d81317b1e9" userProvider="AD" userName="Marcelo Ribeiro Da Silva - GDSXSR"/>
        <t:Anchor>
          <t:Comment id="1992573892"/>
        </t:Anchor>
        <t:Assign userId="S::t321760@tjdft.jus.br::71ef89ef-9eb5-4780-8a4d-3f3a792db9c6" userProvider="AD" userName="Marcos Dwayne Saraiva Costa - GDSXS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comments" Target="comments.xml"/><Relationship Id="Rcbbabb10f6824d19" Type="http://schemas.microsoft.com/office/2016/09/relationships/commentsIds" Target="commentsIds.xml"/><Relationship Id="R6a89c3e11a324a5c" Type="http://schemas.microsoft.com/office/2011/relationships/commentsExtended" Target="commentsExtended.xml"/><Relationship Id="R87d1abcfb2244ae8" Type="http://schemas.microsoft.com/office/2018/08/relationships/commentsExtensible" Target="commentsExtensible.xml"/><Relationship Id="R3cf21916c7444e12" Type="http://schemas.microsoft.com/office/2011/relationships/people" Target="people.xml"/><Relationship Id="Rc22cb32ae97041e1" Type="http://schemas.microsoft.com/office/2019/05/relationships/documenttasks" Target="task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revision>
  <dcterms:created xsi:type="dcterms:W3CDTF">2013-12-23T23:15:00.0000000Z</dcterms:created>
  <dcterms:modified xsi:type="dcterms:W3CDTF">2026-10-11T23:05:46.9913324Z</dcterms:modified>
  <category/>
</coreProperties>
</file>