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rsidTr="65CCD4F6" w14:paraId="4680266B" w14:textId="77777777">
        <w:trPr>
          <w:gridAfter w:val="1"/>
          <w:wAfter w:w="219" w:type="dxa"/>
        </w:trPr>
        <w:tc>
          <w:tcPr>
            <w:tcW w:w="2822" w:type="dxa"/>
            <w:tcMar/>
            <w:hideMark/>
          </w:tcPr>
          <w:p w:rsidR="00264107"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tcMar/>
            <w:hideMark/>
          </w:tcPr>
          <w:p w:rsidR="00264107"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2DA0D32B"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rsidR="00264107"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1D02AE0D" w:rsidRDefault="00264107" w14:paraId="15750CFE" w14:textId="77777777">
            <w:pPr>
              <w:pStyle w:val="paragraph"/>
              <w:spacing w:before="0" w:beforeAutospacing="off" w:after="0" w:afterAutospacing="off"/>
              <w:ind w:left="255"/>
              <w:jc w:val="both"/>
              <w:textAlignment w:val="baseline"/>
              <w:rPr>
                <w:rFonts w:ascii="Segoe UI" w:hAnsi="Segoe UI" w:cs="Segoe UI"/>
                <w:sz w:val="18"/>
                <w:szCs w:val="18"/>
              </w:rPr>
            </w:pPr>
            <w:r w:rsidRPr="1D02AE0D" w:rsidR="00264107">
              <w:rPr>
                <w:rStyle w:val="normaltextrun"/>
                <w:rFonts w:ascii="Calibri" w:hAnsi="Calibri" w:cs="Calibri"/>
                <w:color w:val="595959" w:themeColor="text1" w:themeTint="A6" w:themeShade="FF"/>
                <w:sz w:val="20"/>
                <w:szCs w:val="20"/>
              </w:rPr>
              <w:t xml:space="preserve">GABINETE DO DESEMBARGADOR SÉRGIO </w:t>
            </w:r>
            <w:commentRangeStart w:id="1514408936"/>
            <w:r w:rsidRPr="1D02AE0D" w:rsidR="00264107">
              <w:rPr>
                <w:rStyle w:val="normaltextrun"/>
                <w:rFonts w:ascii="Calibri" w:hAnsi="Calibri" w:cs="Calibri"/>
                <w:color w:val="595959" w:themeColor="text1" w:themeTint="A6" w:themeShade="FF"/>
                <w:sz w:val="20"/>
                <w:szCs w:val="20"/>
              </w:rPr>
              <w:t>ROCHA</w:t>
            </w:r>
            <w:r w:rsidRPr="1D02AE0D" w:rsidR="00264107">
              <w:rPr>
                <w:rStyle w:val="eop"/>
                <w:rFonts w:ascii="Calibri" w:hAnsi="Calibri" w:cs="Calibri"/>
                <w:color w:val="595959" w:themeColor="text1" w:themeTint="A6" w:themeShade="FF"/>
                <w:sz w:val="20"/>
                <w:szCs w:val="20"/>
              </w:rPr>
              <w:t> </w:t>
            </w:r>
            <w:commentRangeEnd w:id="1514408936"/>
            <w:r>
              <w:rPr>
                <w:rStyle w:val="CommentReference"/>
              </w:rPr>
              <w:commentReference w:id="1514408936"/>
            </w:r>
          </w:p>
        </w:tc>
      </w:tr>
      <w:tr w:rsidRPr="009F36E1" w:rsidR="004236F7" w:rsidTr="65CCD4F6" w14:paraId="506E1C45"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4236F7" w14:paraId="1B672758" w14:textId="77777777">
            <w:pPr>
              <w:rPr>
                <w:rFonts w:ascii="Arial" w:hAnsi="Arial" w:cs="Arial"/>
                <w:sz w:val="28"/>
                <w:szCs w:val="28"/>
              </w:rPr>
            </w:pPr>
            <w:r w:rsidRPr="009F36E1">
              <w:rPr>
                <w:rFonts w:ascii="Arial" w:hAnsi="Arial" w:cs="Arial"/>
                <w:sz w:val="28"/>
                <w:szCs w:val="28"/>
              </w:rPr>
              <w:t>Órgão</w:t>
            </w:r>
          </w:p>
        </w:tc>
        <w:tc>
          <w:tcPr>
            <w:tcW w:w="447" w:type="dxa"/>
            <w:tcMar/>
            <w:vAlign w:val="center"/>
          </w:tcPr>
          <w:p w:rsidRPr="009F36E1" w:rsidR="004236F7" w:rsidRDefault="004236F7" w14:paraId="5F5D25D2"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RDefault="00000000" w14:paraId="1380D4BD"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4236F7">
                  <w:rPr>
                    <w:rFonts w:ascii="Arial" w:hAnsi="Arial" w:cs="Arial"/>
                    <w:sz w:val="28"/>
                    <w:szCs w:val="28"/>
                  </w:rPr>
                  <w:t>4ª Turma Cível</w:t>
                </w:r>
              </w:sdtContent>
            </w:sdt>
          </w:p>
        </w:tc>
      </w:tr>
      <w:tr w:rsidRPr="009F36E1" w:rsidR="004236F7" w:rsidTr="65CCD4F6" w14:paraId="722A4191" w14:textId="77777777">
        <w:tblPrEx>
          <w:tblCellMar>
            <w:left w:w="108" w:type="dxa"/>
            <w:right w:w="108" w:type="dxa"/>
          </w:tblCellMar>
          <w:tblLook w:val="0000" w:firstRow="0" w:lastRow="0" w:firstColumn="0" w:lastColumn="0" w:noHBand="0" w:noVBand="0"/>
        </w:tblPrEx>
        <w:trPr>
          <w:cantSplit/>
          <w:trHeight w:val="585"/>
        </w:trPr>
        <w:tc>
          <w:tcPr>
            <w:tcW w:w="3686" w:type="dxa"/>
            <w:gridSpan w:val="2"/>
            <w:tcMar/>
            <w:vAlign w:val="center"/>
          </w:tcPr>
          <w:p w:rsidRPr="009F36E1" w:rsidR="004236F7" w:rsidRDefault="004236F7" w14:paraId="2B3F5317" w14:textId="77777777">
            <w:pPr>
              <w:rPr>
                <w:rFonts w:ascii="Arial" w:hAnsi="Arial" w:cs="Arial"/>
                <w:sz w:val="28"/>
                <w:szCs w:val="28"/>
              </w:rPr>
            </w:pPr>
            <w:r w:rsidRPr="009F36E1">
              <w:rPr>
                <w:rFonts w:ascii="Arial" w:hAnsi="Arial" w:cs="Arial"/>
                <w:sz w:val="28"/>
                <w:szCs w:val="28"/>
              </w:rPr>
              <w:t>Classe</w:t>
            </w:r>
          </w:p>
        </w:tc>
        <w:tc>
          <w:tcPr>
            <w:tcW w:w="447" w:type="dxa"/>
            <w:tcMar/>
            <w:vAlign w:val="center"/>
          </w:tcPr>
          <w:p w:rsidRPr="009F36E1" w:rsidR="004236F7" w:rsidRDefault="004236F7" w14:paraId="376372E5"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sdt>
            <w:sdt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4236F7" w:rsidRDefault="004236F7" w14:paraId="7D3B975A" w14:textId="77777777">
                <w:pPr>
                  <w:pStyle w:val="Citao"/>
                  <w:ind w:left="0" w:firstLine="0"/>
                  <w:jc w:val="both"/>
                  <w:rPr>
                    <w:rFonts w:cs="Arial"/>
                    <w:i w:val="0"/>
                    <w:iCs w:val="0"/>
                    <w:sz w:val="28"/>
                    <w:szCs w:val="28"/>
                  </w:rPr>
                </w:pPr>
                <w:r>
                  <w:rPr>
                    <w:rFonts w:cs="Arial"/>
                    <w:i w:val="0"/>
                    <w:iCs w:val="0"/>
                    <w:sz w:val="28"/>
                    <w:szCs w:val="28"/>
                  </w:rPr>
                  <w:t>Agravo de Instrumento</w:t>
                </w:r>
              </w:p>
            </w:sdtContent>
            <w:sdtEndPr>
              <w:rPr>
                <w:rFonts w:cs="Arial"/>
                <w:i w:val="0"/>
                <w:iCs w:val="0"/>
                <w:sz w:val="28"/>
                <w:szCs w:val="28"/>
              </w:rPr>
            </w:sdtEndPr>
          </w:sdt>
        </w:tc>
      </w:tr>
      <w:tr w:rsidRPr="009F36E1" w:rsidR="004236F7" w:rsidTr="65CCD4F6" w14:paraId="185BA19B"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4236F7" w14:paraId="5A224AD7" w14:textId="77777777">
            <w:pPr>
              <w:rPr>
                <w:rFonts w:ascii="Arial" w:hAnsi="Arial" w:cs="Arial"/>
                <w:sz w:val="28"/>
                <w:szCs w:val="28"/>
              </w:rPr>
            </w:pPr>
            <w:r w:rsidRPr="009F36E1">
              <w:rPr>
                <w:rFonts w:ascii="Arial" w:hAnsi="Arial" w:cs="Arial"/>
                <w:sz w:val="28"/>
                <w:szCs w:val="28"/>
              </w:rPr>
              <w:t>Processo nº</w:t>
            </w:r>
          </w:p>
        </w:tc>
        <w:tc>
          <w:tcPr>
            <w:tcW w:w="447" w:type="dxa"/>
            <w:tcMar/>
            <w:vAlign w:val="center"/>
          </w:tcPr>
          <w:p w:rsidRPr="009F36E1" w:rsidR="004236F7" w:rsidRDefault="004236F7" w14:paraId="709DFAFC"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RDefault="004236F7" w14:paraId="77B2906D" w14:textId="709019E3">
            <w:pPr>
              <w:ind w:right="-675"/>
            </w:pPr>
            <w:r w:rsidRPr="1D02AE0D" w:rsidR="79C2F2AF">
              <w:rPr>
                <w:rFonts w:ascii="Arial" w:hAnsi="Arial" w:cs="Arial"/>
                <w:sz w:val="28"/>
                <w:szCs w:val="28"/>
              </w:rPr>
              <w:t>0743334-66.2026.8.07.0000</w:t>
            </w:r>
          </w:p>
        </w:tc>
      </w:tr>
      <w:tr w:rsidRPr="009F36E1" w:rsidR="004236F7" w:rsidTr="65CCD4F6" w14:paraId="4B19599A"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F63CDB" w:rsidR="004236F7" w:rsidRDefault="00000000" w14:paraId="0E538277"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4236F7">
                  <w:rPr>
                    <w:rFonts w:ascii="Arial" w:hAnsi="Arial" w:eastAsia="Times New Roman" w:cs="Arial"/>
                    <w:sz w:val="28"/>
                    <w:szCs w:val="28"/>
                    <w:lang w:eastAsia="zh-CN"/>
                  </w:rPr>
                  <w:t>Agravante</w:t>
                </w:r>
              </w:sdtContent>
            </w:sdt>
            <w:r w:rsidRPr="00F63CDB" w:rsidR="004236F7">
              <w:rPr>
                <w:rFonts w:ascii="Arial" w:hAnsi="Arial" w:cs="Arial"/>
                <w:sz w:val="28"/>
                <w:szCs w:val="28"/>
              </w:rPr>
              <w:t xml:space="preserve"> (s)</w:t>
            </w:r>
          </w:p>
        </w:tc>
        <w:tc>
          <w:tcPr>
            <w:tcW w:w="447" w:type="dxa"/>
            <w:tcMar/>
            <w:vAlign w:val="center"/>
          </w:tcPr>
          <w:p w:rsidRPr="009F36E1" w:rsidR="004236F7" w:rsidRDefault="004236F7" w14:paraId="34C0C9D3"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P="650595E1" w:rsidRDefault="004236F7" w14:paraId="630B7F23" w14:textId="0BFB1D5C">
            <w:pPr>
              <w:jc w:val="both"/>
            </w:pPr>
            <w:r w:rsidRPr="1D02AE0D" w:rsidR="6973583F">
              <w:rPr>
                <w:rFonts w:ascii="Arial" w:hAnsi="Arial" w:cs="Arial"/>
                <w:sz w:val="28"/>
                <w:szCs w:val="28"/>
              </w:rPr>
              <w:t>Gileaide dos Santos de Souza</w:t>
            </w:r>
          </w:p>
        </w:tc>
      </w:tr>
      <w:tr w:rsidRPr="009F36E1" w:rsidR="004236F7" w:rsidTr="65CCD4F6" w14:paraId="01956A99"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000000" w14:paraId="268F3466" w14:textId="77777777">
            <w:pPr>
              <w:jc w:val="both"/>
              <w:rPr>
                <w:rFonts w:ascii="Arial" w:hAnsi="Arial" w:cs="Arial"/>
                <w:sz w:val="28"/>
                <w:szCs w:val="28"/>
              </w:rPr>
            </w:pPr>
            <w:sdt>
              <w:sdtPr>
                <w:rPr>
                  <w:rFonts w:ascii="Arial" w:hAnsi="Arial" w:eastAsia="Times New Roman"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4236F7">
                  <w:rPr>
                    <w:rFonts w:ascii="Arial" w:hAnsi="Arial" w:eastAsia="Times New Roman" w:cs="Arial"/>
                    <w:sz w:val="28"/>
                    <w:szCs w:val="28"/>
                    <w:lang w:eastAsia="zh-CN"/>
                  </w:rPr>
                  <w:t>Agravado</w:t>
                </w:r>
              </w:sdtContent>
            </w:sdt>
            <w:r w:rsidRPr="009F36E1" w:rsidR="004236F7">
              <w:rPr>
                <w:rFonts w:ascii="Arial" w:hAnsi="Arial" w:cs="Arial"/>
                <w:sz w:val="28"/>
                <w:szCs w:val="28"/>
              </w:rPr>
              <w:t xml:space="preserve"> </w:t>
            </w:r>
            <w:r w:rsidR="004236F7">
              <w:rPr>
                <w:rFonts w:ascii="Arial" w:hAnsi="Arial" w:cs="Arial"/>
                <w:sz w:val="28"/>
                <w:szCs w:val="28"/>
              </w:rPr>
              <w:t>(</w:t>
            </w:r>
            <w:r w:rsidRPr="009F36E1" w:rsidR="004236F7">
              <w:rPr>
                <w:rFonts w:ascii="Arial" w:hAnsi="Arial" w:cs="Arial"/>
                <w:sz w:val="28"/>
                <w:szCs w:val="28"/>
              </w:rPr>
              <w:t>a)(s)</w:t>
            </w:r>
          </w:p>
        </w:tc>
        <w:tc>
          <w:tcPr>
            <w:tcW w:w="447" w:type="dxa"/>
            <w:tcMar/>
            <w:vAlign w:val="center"/>
          </w:tcPr>
          <w:p w:rsidRPr="009F36E1" w:rsidR="004236F7" w:rsidRDefault="004236F7" w14:paraId="5EDA0385"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P="650595E1" w:rsidRDefault="004236F7" w14:paraId="6CC5F6AE" w14:textId="2BD44AA2">
            <w:pPr>
              <w:ind w:right="-74"/>
              <w:jc w:val="both"/>
            </w:pPr>
            <w:r w:rsidRPr="1D02AE0D" w:rsidR="160C8D89">
              <w:rPr>
                <w:rFonts w:ascii="Arial" w:hAnsi="Arial" w:cs="Arial"/>
                <w:sz w:val="28"/>
                <w:szCs w:val="28"/>
              </w:rPr>
              <w:t xml:space="preserve">Condomínio Paranoá Parque</w:t>
            </w:r>
          </w:p>
        </w:tc>
      </w:tr>
      <w:tr w:rsidRPr="009F36E1" w:rsidR="004236F7" w:rsidTr="65CCD4F6" w14:paraId="04C2C9E0"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4236F7" w14:paraId="5C272CF2" w14:textId="77777777">
            <w:pPr>
              <w:rPr>
                <w:rFonts w:ascii="Arial" w:hAnsi="Arial" w:cs="Arial"/>
                <w:sz w:val="28"/>
                <w:szCs w:val="28"/>
              </w:rPr>
            </w:pPr>
            <w:r w:rsidRPr="009F36E1">
              <w:rPr>
                <w:rFonts w:ascii="Arial" w:hAnsi="Arial" w:cs="Arial"/>
                <w:sz w:val="28"/>
                <w:szCs w:val="28"/>
              </w:rPr>
              <w:t>Relator(a)</w:t>
            </w:r>
          </w:p>
        </w:tc>
        <w:tc>
          <w:tcPr>
            <w:tcW w:w="447" w:type="dxa"/>
            <w:tcMar/>
            <w:vAlign w:val="center"/>
          </w:tcPr>
          <w:p w:rsidRPr="009F36E1" w:rsidR="004236F7" w:rsidRDefault="004236F7" w14:paraId="65F4370D" w14:textId="77777777">
            <w:pPr>
              <w:ind w:right="-11"/>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RDefault="004236F7" w14:paraId="64F0CBAE" w14:textId="77777777">
            <w:pPr>
              <w:rPr>
                <w:rFonts w:ascii="Arial" w:hAnsi="Arial" w:cs="Arial"/>
                <w:b/>
                <w:sz w:val="28"/>
                <w:szCs w:val="28"/>
              </w:rPr>
            </w:pPr>
            <w:r w:rsidRPr="009F36E1">
              <w:rPr>
                <w:rFonts w:ascii="Arial" w:hAnsi="Arial" w:cs="Arial"/>
                <w:b/>
                <w:bCs/>
                <w:sz w:val="28"/>
                <w:szCs w:val="28"/>
              </w:rPr>
              <w:t>Des. Sérgio Rocha</w:t>
            </w:r>
          </w:p>
        </w:tc>
      </w:tr>
    </w:tbl>
    <w:p>
      <w:pPr>
        <w:spacing w:before="0" w:after="0" w:line="360" w:lineRule="auto"/>
        <w:jc w:val="both"/>
      </w:pPr>
      <w:r>
        <w:rPr>
          <w:rFonts w:ascii="Arial" w:hAnsi="Arial" w:eastAsia="Arial"/>
          <w:sz w:val="28"/>
        </w:rPr>
      </w:r>
    </w:p>
    <w:p>
      <w:pPr>
        <w:spacing w:before="0" w:after="0" w:line="360" w:lineRule="auto"/>
        <w:jc w:val="left"/>
      </w:pPr>
      <w:commentRangeStart w:id="1514408937"/>
      <w:r>
        <w:rPr>
          <w:rFonts w:ascii="Arial" w:hAnsi="Arial" w:eastAsia="Arial"/>
          <w:b/>
          <w:sz w:val="28"/>
        </w:rPr>
        <w:t>EMENTA</w:t>
      </w:r>
      <w:commentRangeEnd w:id="1514408937"/>
      <w:r>
        <w:rPr>
          <w:rStyle w:val="CommentReference"/>
        </w:rPr>
        <w:commentReference w:id="1514408937"/>
      </w:r>
    </w:p>
    <w:p>
      <w:pPr>
        <w:spacing w:before="0" w:after="0" w:line="360" w:lineRule="auto"/>
        <w:jc w:val="both"/>
      </w:pPr>
      <w:r>
        <w:rPr>
          <w:rFonts w:ascii="Arial" w:hAnsi="Arial" w:eastAsia="Arial"/>
          <w:sz w:val="28"/>
        </w:rPr>
      </w:r>
    </w:p>
    <w:p>
      <w:pPr>
        <w:spacing w:before="0" w:after="0" w:line="360" w:lineRule="auto"/>
        <w:jc w:val="both"/>
      </w:pPr>
      <w:r>
        <w:rPr>
          <w:rFonts w:ascii="Arial" w:hAnsi="Arial" w:eastAsia="Arial"/>
          <w:sz w:val="28"/>
        </w:rPr>
        <w:t>AGRAVO DE INSTRUMENTO. DIREITO PROCESSUAL CIVIL. EXECUÇÃO DE TÍTULO EXTRAJUDICIAL. DESPESAS CONDOMINIAIS. PENHORA DE IMÓVEL. AVALIAÇÃO POR OFICIAL DE JUSTIÇA SEM INGRESSO NO BEM. MUDANÇA DE ENDEREÇO INFORMADA NOS AUTOS. PRESUNÇÃO DE VALIDADE DA INTIMAÇÃO AFASTADA. NOVA AVALIAÇÃO. RECURSO PARCIALMENTE PROVIDO.</w:t>
      </w:r>
    </w:p>
    <w:p>
      <w:pPr>
        <w:spacing w:before="0" w:after="0" w:line="360" w:lineRule="auto"/>
        <w:jc w:val="both"/>
      </w:pPr>
      <w:r>
        <w:rPr>
          <w:rFonts w:ascii="Arial" w:hAnsi="Arial" w:eastAsia="Arial"/>
          <w:b/>
          <w:sz w:val="28"/>
        </w:rPr>
        <w:t>I. Caso em exame</w:t>
      </w:r>
    </w:p>
    <w:p>
      <w:pPr>
        <w:spacing w:before="0" w:after="0" w:line="360" w:lineRule="auto"/>
        <w:jc w:val="both"/>
      </w:pPr>
      <w:commentRangeStart w:id="1514408938"/>
      <w:r>
        <w:rPr>
          <w:rFonts w:ascii="Arial" w:hAnsi="Arial" w:eastAsia="Arial"/>
          <w:sz w:val="28"/>
        </w:rPr>
        <w:t>1. Execução de título extrajudicial proposta pelo Condomínio Paranoá Parque contra pessoa natural, visando à cobrança de despesas condominiais (R$ 4.585,21).</w:t>
      </w:r>
      <w:commentRangeEnd w:id="1514408938"/>
      <w:r>
        <w:rPr>
          <w:rStyle w:val="CommentReference"/>
        </w:rPr>
        <w:commentReference w:id="1514408938"/>
      </w:r>
    </w:p>
    <w:p>
      <w:pPr>
        <w:spacing w:before="0" w:after="0" w:line="360" w:lineRule="auto"/>
        <w:jc w:val="both"/>
      </w:pPr>
      <w:r>
        <w:rPr>
          <w:rFonts w:ascii="Arial" w:hAnsi="Arial" w:eastAsia="Arial"/>
          <w:sz w:val="28"/>
        </w:rPr>
        <w:t>2. A decisão agravada indeferiu o pedido de nova intimação pessoal da executada, presumindo válidas as intimações dirigidas ao endereço constante dos autos, e rejeitou a impugnação à avaliação do imóvel penhorado, mantendo o valor de R$ 97.000,00 apurado por estimativa.</w:t>
      </w:r>
    </w:p>
    <w:p>
      <w:pPr>
        <w:spacing w:before="0" w:after="0" w:line="360" w:lineRule="auto"/>
        <w:jc w:val="both"/>
      </w:pPr>
      <w:r>
        <w:rPr>
          <w:rFonts w:ascii="Arial" w:hAnsi="Arial" w:eastAsia="Arial"/>
          <w:sz w:val="28"/>
        </w:rPr>
        <w:t>3. A executada agrava sustentando a nulidade da intimação, pois já havia informado seu novo endereço, e a fundada dúvida sobre a avaliação, que diverge em cerca de 40% do laudo apresentado pelo exequente, e requer a adoção do valor do laudo ou, subsidiariamente, nova avaliação.</w:t>
      </w:r>
    </w:p>
    <w:p>
      <w:pPr>
        <w:spacing w:before="0" w:after="0" w:line="360" w:lineRule="auto"/>
        <w:jc w:val="both"/>
      </w:pPr>
      <w:r>
        <w:rPr>
          <w:rFonts w:ascii="Arial" w:hAnsi="Arial" w:eastAsia="Arial"/>
          <w:b/>
          <w:sz w:val="28"/>
        </w:rPr>
        <w:t>II. Questão em discussão</w:t>
      </w:r>
    </w:p>
    <w:p>
      <w:pPr>
        <w:spacing w:before="0" w:after="0" w:line="360" w:lineRule="auto"/>
        <w:jc w:val="both"/>
      </w:pPr>
      <w:r>
        <w:rPr>
          <w:rFonts w:ascii="Arial" w:hAnsi="Arial" w:eastAsia="Arial"/>
          <w:sz w:val="28"/>
        </w:rPr>
        <w:t>4. A questão em discussão consiste em saber se, informado o novo endereço da executada, são válidas a intimação dirigida ao imóvel desocupado e a avaliação realizada a partir dela.</w:t>
      </w:r>
    </w:p>
    <w:p>
      <w:pPr>
        <w:spacing w:before="0" w:after="0" w:line="360" w:lineRule="auto"/>
        <w:jc w:val="both"/>
      </w:pPr>
      <w:r>
        <w:rPr>
          <w:rFonts w:ascii="Arial" w:hAnsi="Arial" w:eastAsia="Arial"/>
          <w:b/>
          <w:sz w:val="28"/>
        </w:rPr>
        <w:t>III. Razões de decidir</w:t>
      </w:r>
    </w:p>
    <w:p>
      <w:pPr>
        <w:spacing w:before="0" w:after="0" w:line="360" w:lineRule="auto"/>
        <w:jc w:val="both"/>
      </w:pPr>
      <w:r>
        <w:rPr>
          <w:rFonts w:ascii="Arial" w:hAnsi="Arial" w:eastAsia="Arial"/>
          <w:sz w:val="28"/>
        </w:rPr>
        <w:t>5. Presumem-se válidas as intimações dirigidas ao endereço constante dos autos apenas quando a mudança de endereço não foi comunicada ao juízo (CPC 274 parágrafo único).</w:t>
      </w:r>
    </w:p>
    <w:p>
      <w:pPr>
        <w:spacing w:before="0" w:after="0" w:line="360" w:lineRule="auto"/>
        <w:jc w:val="both"/>
      </w:pPr>
      <w:r>
        <w:rPr>
          <w:rFonts w:ascii="Arial" w:hAnsi="Arial" w:eastAsia="Arial"/>
          <w:sz w:val="28"/>
        </w:rPr>
        <w:t>6. A executada informou seu novo endereço nos autos (ID 241758752, do processo de origem), o que afasta a presunção e torna inválidas a intimação dirigida ao imóvel desocupado e a avaliação realizada sem ingresso no bem a partir dela (ID 276196116, do processo de origem).</w:t>
      </w:r>
    </w:p>
    <w:p>
      <w:pPr>
        <w:spacing w:before="0" w:after="0" w:line="360" w:lineRule="auto"/>
        <w:jc w:val="both"/>
      </w:pPr>
      <w:r>
        <w:rPr>
          <w:rFonts w:ascii="Arial" w:hAnsi="Arial" w:eastAsia="Arial"/>
          <w:sz w:val="28"/>
        </w:rPr>
        <w:t>7. Determinada a nova avaliação, com intimação da executada, não se acolhe o pedido de adoção do valor do laudo apresentado pelo exequente (R$ 134.683,62).</w:t>
      </w:r>
    </w:p>
    <w:p>
      <w:pPr>
        <w:spacing w:before="0" w:after="0" w:line="360" w:lineRule="auto"/>
        <w:jc w:val="both"/>
      </w:pPr>
      <w:r>
        <w:rPr>
          <w:rFonts w:ascii="Arial" w:hAnsi="Arial" w:eastAsia="Arial"/>
          <w:b/>
          <w:sz w:val="28"/>
        </w:rPr>
        <w:t>IV. Dispositivo</w:t>
      </w:r>
    </w:p>
    <w:p>
      <w:pPr>
        <w:spacing w:before="0" w:after="0" w:line="360" w:lineRule="auto"/>
        <w:jc w:val="both"/>
      </w:pPr>
      <w:r>
        <w:rPr>
          <w:rFonts w:ascii="Arial" w:hAnsi="Arial" w:eastAsia="Arial"/>
          <w:sz w:val="28"/>
        </w:rPr>
        <w:t>8. Deu-se parcial provimento ao agravo de instrumento da executada para confirmar a liminar, a fim de que seja expedido novo mandado de avaliação do imóvel penhorado, com intimação da executada em seu atual endereço.</w:t>
      </w:r>
    </w:p>
    <w:p>
      <w:pPr>
        <w:spacing w:before="0" w:after="0" w:line="360" w:lineRule="auto"/>
        <w:jc w:val="left"/>
      </w:pPr>
      <w:r>
        <w:rPr>
          <w:rFonts w:ascii="Arial" w:hAnsi="Arial" w:eastAsia="Arial"/>
          <w:sz w:val="28"/>
        </w:rPr>
        <w:t>______</w:t>
      </w:r>
    </w:p>
    <w:p>
      <w:pPr>
        <w:spacing w:before="0" w:after="0" w:line="360" w:lineRule="auto"/>
        <w:jc w:val="both"/>
      </w:pPr>
      <w:r>
        <w:rPr>
          <w:rFonts w:ascii="Arial" w:hAnsi="Arial" w:eastAsia="Arial"/>
          <w:i/>
          <w:sz w:val="26"/>
        </w:rPr>
        <w:t>Dispositivos relevantes citados:</w:t>
      </w:r>
      <w:r>
        <w:rPr>
          <w:rFonts w:ascii="Arial" w:hAnsi="Arial" w:eastAsia="Arial"/>
          <w:sz w:val="26"/>
        </w:rPr>
        <w:t xml:space="preserve"> CPC, art. 274, parágrafo único.</w:t>
      </w:r>
    </w:p>
    <w:p>
      <w:pPr>
        <w:spacing w:before="0" w:after="0" w:line="360" w:lineRule="auto"/>
        <w:jc w:val="both"/>
      </w:pPr>
      <w:r>
        <w:rPr>
          <w:rFonts w:ascii="Arial" w:hAnsi="Arial" w:eastAsia="Arial"/>
          <w:sz w:val="28"/>
        </w:rPr>
      </w:r>
    </w:p>
    <w:p>
      <w:pPr>
        <w:keepNext/>
        <w:spacing w:before="0" w:after="0" w:line="360" w:lineRule="auto"/>
        <w:jc w:val="left"/>
      </w:pPr>
      <w:r>
        <w:rPr>
          <w:rFonts w:ascii="Arial" w:hAnsi="Arial" w:eastAsia="Arial"/>
          <w:b/>
          <w:color w:val="EE0000"/>
          <w:sz w:val="28"/>
          <w:highlight w:val="yellow"/>
        </w:rPr>
        <w:t>RESUMO DA DECISÃO INTERLOCUTÓRIA EM SENTIDO CONTRÁRIO</w:t>
      </w:r>
    </w:p>
    <w:p>
      <w:pPr>
        <w:spacing w:before="0" w:after="0" w:line="360" w:lineRule="auto"/>
        <w:jc w:val="both"/>
      </w:pPr>
      <w:commentRangeStart w:id="1514408939"/>
      <w:r>
        <w:rPr>
          <w:rFonts w:ascii="Arial" w:hAnsi="Arial" w:eastAsia="Arial"/>
          <w:b/>
          <w:color w:val="EE0000"/>
          <w:sz w:val="28"/>
        </w:rPr>
        <w:t>I. RAZÕES DE DECIDIR</w:t>
      </w:r>
      <w:commentRangeEnd w:id="1514408939"/>
      <w:r>
        <w:rPr>
          <w:rStyle w:val="CommentReference"/>
        </w:rPr>
        <w:commentReference w:id="1514408939"/>
      </w:r>
    </w:p>
    <w:p>
      <w:pPr>
        <w:spacing w:before="0" w:after="0" w:line="360" w:lineRule="auto"/>
        <w:jc w:val="both"/>
      </w:pPr>
      <w:r>
        <w:rPr>
          <w:rFonts w:ascii="Arial" w:hAnsi="Arial" w:eastAsia="Arial"/>
          <w:b/>
          <w:color w:val="EE0000"/>
          <w:sz w:val="28"/>
        </w:rPr>
        <w:t>Intimação pessoal da executada</w:t>
      </w:r>
    </w:p>
    <w:p>
      <w:pPr>
        <w:spacing w:before="0" w:after="0" w:line="360" w:lineRule="auto"/>
        <w:ind w:hanging="357" w:left="720"/>
        <w:jc w:val="both"/>
      </w:pPr>
      <w:r>
        <w:rPr>
          <w:rFonts w:ascii="Arial" w:hAnsi="Arial" w:eastAsia="Arial"/>
          <w:color w:val="EE0000"/>
          <w:sz w:val="28"/>
        </w:rPr>
        <w:t>1. Aplicou a presunção de validade das intimações dirigidas ao endereço constante dos autos (CPC 274 parágrafo único), por entender que a alteração de endereço não foi comunicada formalmente ao juízo e que a diligência fracassou porque o imóvel estava desocupado.</w:t>
      </w:r>
    </w:p>
    <w:p>
      <w:pPr>
        <w:spacing w:before="0" w:after="0" w:line="360" w:lineRule="auto"/>
        <w:jc w:val="both"/>
      </w:pPr>
      <w:r>
        <w:rPr>
          <w:rFonts w:ascii="Arial" w:hAnsi="Arial" w:eastAsia="Arial"/>
          <w:b/>
          <w:color w:val="EE0000"/>
          <w:sz w:val="28"/>
        </w:rPr>
        <w:t>Avaliação do imóvel</w:t>
      </w:r>
    </w:p>
    <w:p>
      <w:pPr>
        <w:spacing w:before="0" w:after="0" w:line="360" w:lineRule="auto"/>
        <w:ind w:hanging="357" w:left="720"/>
        <w:jc w:val="both"/>
      </w:pPr>
      <w:r>
        <w:rPr>
          <w:rFonts w:ascii="Arial" w:hAnsi="Arial" w:eastAsia="Arial"/>
          <w:color w:val="EE0000"/>
          <w:sz w:val="28"/>
        </w:rPr>
        <w:t>2. Considerou válida a avaliação por estimativa do oficial de justiça (R$ 97.000,00), pois a impossibilidade de ingresso no bem não a invalida, a divergência com o laudo particular do exequente não evidencia erro e a executada não apresentou laudo próprio.</w:t>
      </w:r>
    </w:p>
    <w:p>
      <w:pPr>
        <w:spacing w:before="0" w:after="0" w:line="360" w:lineRule="auto"/>
        <w:jc w:val="both"/>
      </w:pPr>
      <w:r>
        <w:rPr>
          <w:rFonts w:ascii="Arial" w:hAnsi="Arial" w:eastAsia="Arial"/>
          <w:b/>
          <w:color w:val="EE0000"/>
          <w:sz w:val="28"/>
        </w:rPr>
        <w:t>Preço vil</w:t>
      </w:r>
    </w:p>
    <w:p>
      <w:pPr>
        <w:spacing w:before="0" w:after="0" w:line="360" w:lineRule="auto"/>
        <w:ind w:hanging="357" w:left="720"/>
        <w:jc w:val="both"/>
      </w:pPr>
      <w:r>
        <w:rPr>
          <w:rFonts w:ascii="Arial" w:hAnsi="Arial" w:eastAsia="Arial"/>
          <w:color w:val="EE0000"/>
          <w:sz w:val="28"/>
        </w:rPr>
        <w:t>3. Remeteu o exame do risco de alienação por preço vil ao momento da expropriação (CPC 891 parágrafo único).</w:t>
      </w:r>
    </w:p>
    <w:p>
      <w:pPr>
        <w:spacing w:before="0" w:after="0" w:line="360" w:lineRule="auto"/>
        <w:jc w:val="both"/>
      </w:pPr>
      <w:r>
        <w:rPr>
          <w:rFonts w:ascii="Arial" w:hAnsi="Arial" w:eastAsia="Arial"/>
          <w:b/>
          <w:color w:val="EE0000"/>
          <w:sz w:val="28"/>
        </w:rPr>
        <w:t>II. DISPOSITIVO DA DECISÃO</w:t>
      </w:r>
    </w:p>
    <w:p>
      <w:pPr>
        <w:spacing w:before="0" w:after="0" w:line="360" w:lineRule="auto"/>
        <w:ind w:hanging="357" w:left="720"/>
        <w:jc w:val="both"/>
      </w:pPr>
      <w:r>
        <w:rPr>
          <w:rFonts w:ascii="Arial" w:hAnsi="Arial" w:eastAsia="Arial"/>
          <w:color w:val="EE0000"/>
          <w:sz w:val="28"/>
        </w:rPr>
        <w:t>4. Indeferiu o pedido de nova intimação pessoal da executada e rejeitou a impugnação à avaliação do imóvel penhorado, mantendo o valor de R$ 97.000,00.</w:t>
      </w:r>
    </w:p>
    <w:p>
      <w:pPr>
        <w:spacing w:before="0" w:after="0" w:line="360" w:lineRule="auto"/>
        <w:jc w:val="both"/>
      </w:pPr>
      <w:r>
        <w:rPr>
          <w:rFonts w:ascii="Arial" w:hAnsi="Arial" w:eastAsia="Arial"/>
          <w:sz w:val="28"/>
        </w:rPr>
      </w:r>
    </w:p>
    <w:p>
      <w:pPr>
        <w:pageBreakBefore/>
        <w:spacing w:before="0" w:after="0" w:line="360" w:lineRule="auto"/>
        <w:jc w:val="center"/>
      </w:pPr>
      <w:r>
        <w:rPr>
          <w:rFonts w:ascii="Arial" w:hAnsi="Arial" w:eastAsia="Arial"/>
          <w:b/>
          <w:sz w:val="28"/>
        </w:rPr>
        <w:t>RELATÓRIO</w:t>
      </w:r>
    </w:p>
    <w:p>
      <w:pPr>
        <w:spacing w:before="0" w:after="0" w:line="360" w:lineRule="auto"/>
        <w:jc w:val="both"/>
      </w:pPr>
      <w:r>
        <w:rPr>
          <w:rFonts w:ascii="Arial" w:hAnsi="Arial" w:eastAsia="Arial"/>
          <w:sz w:val="28"/>
        </w:rPr>
      </w:r>
    </w:p>
    <w:p>
      <w:pPr>
        <w:spacing w:before="0" w:after="0" w:line="360" w:lineRule="auto"/>
        <w:ind w:firstLine="2268"/>
        <w:jc w:val="both"/>
      </w:pPr>
      <w:r>
        <w:rPr>
          <w:rFonts w:ascii="Arial" w:hAnsi="Arial" w:eastAsia="Arial"/>
          <w:sz w:val="28"/>
        </w:rPr>
        <w:t>Adoto o relatório da liminar (ID 89727446):</w:t>
      </w:r>
    </w:p>
    <w:p>
      <w:pPr>
        <w:spacing w:before="0" w:after="0" w:line="360" w:lineRule="auto"/>
        <w:jc w:val="both"/>
      </w:pPr>
      <w:r>
        <w:rPr>
          <w:rFonts w:ascii="Arial" w:hAnsi="Arial" w:eastAsia="Arial"/>
          <w:sz w:val="28"/>
        </w:rPr>
      </w:r>
    </w:p>
    <w:p>
      <w:pPr>
        <w:spacing w:before="0" w:after="0" w:line="360" w:lineRule="auto"/>
        <w:ind w:firstLine="1134" w:left="2268"/>
        <w:jc w:val="both"/>
      </w:pPr>
      <w:r>
        <w:rPr>
          <w:rFonts w:ascii="Arial" w:hAnsi="Arial" w:eastAsia="Arial"/>
          <w:i/>
          <w:sz w:val="26"/>
        </w:rPr>
        <w:t>“Trata-se de execução de título extrajudicial ajuizada por Condomínio Paranoá Parque em face de Gileaide dos Santos de Souza, tendo por objeto a cobrança de despesas condominiais (valor da causa - R$ 4.585,21).</w:t>
      </w:r>
    </w:p>
    <w:p>
      <w:pPr>
        <w:spacing w:before="0" w:after="0" w:line="360" w:lineRule="auto"/>
        <w:ind w:firstLine="1134" w:left="2268"/>
        <w:jc w:val="both"/>
      </w:pPr>
      <w:r>
        <w:rPr>
          <w:rFonts w:ascii="Arial" w:hAnsi="Arial" w:eastAsia="Arial"/>
          <w:i/>
          <w:sz w:val="26"/>
        </w:rPr>
        <w:t>O Juízo de origem indeferiu o pedido de nova intimação pessoal da executada/agravante, ao fundamento de que a alteração de endereço não foi comunicada formalmente ao juízo, presumindo-se válidas as intimações dirigidas ao endereço constante dos autos (CPC 274 parágrafo único).</w:t>
      </w:r>
    </w:p>
    <w:p>
      <w:pPr>
        <w:spacing w:before="0" w:after="0" w:line="360" w:lineRule="auto"/>
        <w:ind w:firstLine="1134" w:left="2268"/>
        <w:jc w:val="both"/>
      </w:pPr>
      <w:r>
        <w:rPr>
          <w:rFonts w:ascii="Arial" w:hAnsi="Arial" w:eastAsia="Arial"/>
          <w:i/>
          <w:sz w:val="26"/>
        </w:rPr>
        <w:t>Ainda, rejeitou a impugnação à avaliação do imóvel penhorado e manteve o valor de R$ 97.000,00 apurado por estimativa, ao fundamento de que a divergência com o laudo mercadológico particular não evidencia erro do oficial de justiça (ID 284201321, processo de origem).</w:t>
      </w:r>
    </w:p>
    <w:p>
      <w:pPr>
        <w:spacing w:before="0" w:after="0" w:line="360" w:lineRule="auto"/>
        <w:ind w:firstLine="1134" w:left="2268"/>
        <w:jc w:val="both"/>
      </w:pPr>
      <w:r>
        <w:rPr>
          <w:rFonts w:ascii="Arial" w:hAnsi="Arial" w:eastAsia="Arial"/>
          <w:i/>
          <w:sz w:val="26"/>
        </w:rPr>
        <w:t xml:space="preserve">Inconformada, a executada/agravante interpõe o presente agravo de instrumento, sustentando, em síntese, que: </w:t>
      </w:r>
      <w:r>
        <w:rPr>
          <w:rFonts w:ascii="Arial" w:hAnsi="Arial" w:eastAsia="Arial"/>
          <w:b/>
          <w:i/>
          <w:sz w:val="26"/>
        </w:rPr>
        <w:t>1)</w:t>
      </w:r>
      <w:r>
        <w:rPr>
          <w:rFonts w:ascii="Arial" w:hAnsi="Arial" w:eastAsia="Arial"/>
          <w:i/>
          <w:sz w:val="26"/>
        </w:rPr>
        <w:t xml:space="preserve"> a intimação dirigida ao imóvel penhorado é nula, pois já havia atualizado seu endereço em diligência anterior e sido intimada com sucesso por WhatsApp (ID 238279945, processo de origem), o que configura cerceamento de defesa; </w:t>
      </w:r>
      <w:r>
        <w:rPr>
          <w:rFonts w:ascii="Arial" w:hAnsi="Arial" w:eastAsia="Arial"/>
          <w:b/>
          <w:i/>
          <w:sz w:val="26"/>
        </w:rPr>
        <w:t>2)</w:t>
      </w:r>
      <w:r>
        <w:rPr>
          <w:rFonts w:ascii="Arial" w:hAnsi="Arial" w:eastAsia="Arial"/>
          <w:i/>
          <w:sz w:val="26"/>
        </w:rPr>
        <w:t xml:space="preserve"> a avaliação judicial, realizada por estimativa e sem ingresso no imóvel, diverge em cerca de 40% do valor apurado em laudo mercadológico apresentado pelo próprio credor (ID 265004839, processo de origem), o que caracteriza fundada dúvida apta a autorizar a adoção do maior valor ou a realização de nova avaliação; e </w:t>
      </w:r>
      <w:r>
        <w:rPr>
          <w:rFonts w:ascii="Arial" w:hAnsi="Arial" w:eastAsia="Arial"/>
          <w:b/>
          <w:i/>
          <w:sz w:val="26"/>
        </w:rPr>
        <w:t>3)</w:t>
      </w:r>
      <w:r>
        <w:rPr>
          <w:rFonts w:ascii="Arial" w:hAnsi="Arial" w:eastAsia="Arial"/>
          <w:i/>
          <w:sz w:val="26"/>
        </w:rPr>
        <w:t xml:space="preserve"> estão presentes o fumus boni iuris e o periculum in mora, pois o prosseguimento da execução rumo à hasta pública, com base em avaliação subavaliada, causará dano de difícil reparação ao seu patrimônio.</w:t>
      </w:r>
    </w:p>
    <w:p>
      <w:pPr>
        <w:spacing w:before="0" w:after="0" w:line="360" w:lineRule="auto"/>
        <w:ind w:firstLine="1134" w:left="2268"/>
        <w:jc w:val="both"/>
      </w:pPr>
      <w:r>
        <w:rPr>
          <w:rFonts w:ascii="Arial" w:hAnsi="Arial" w:eastAsia="Arial"/>
          <w:i/>
          <w:sz w:val="26"/>
        </w:rPr>
        <w:t>Requer a concessão de efeito suspensivo ao recurso, para sobrestar os atos expropriatórios no processo de origem até o julgamento definitivo do agravo.</w:t>
      </w:r>
    </w:p>
    <w:p>
      <w:pPr>
        <w:spacing w:before="0" w:after="0" w:line="360" w:lineRule="auto"/>
        <w:ind w:firstLine="1134" w:left="2268"/>
        <w:jc w:val="both"/>
      </w:pPr>
      <w:r>
        <w:rPr>
          <w:rFonts w:ascii="Arial" w:hAnsi="Arial" w:eastAsia="Arial"/>
          <w:i/>
          <w:sz w:val="26"/>
        </w:rPr>
        <w:t>No mérito, postula o provimento do recurso para reforma da decisão agravada, a fim de que sejam determinadas a intimação pessoal da agravante no endereço atualizado ou por WhatsApp e a adoção do valor de R$ 134.683,62 na avaliação do imóvel penhorado. Subsidiariamente, requer a realização de nova avaliação judicial.”</w:t>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0"/>
      <w:r>
        <w:rPr>
          <w:rFonts w:ascii="Arial" w:hAnsi="Arial" w:eastAsia="Arial"/>
          <w:sz w:val="28"/>
        </w:rPr>
        <w:t>Deferi a antecipação da tutela recursal para determinar a expedição de novo mandado de avaliação e a intimação da executada/agravante em seu atual endereço (ID 89727446).</w:t>
      </w:r>
      <w:commentRangeEnd w:id="1514408940"/>
      <w:r>
        <w:rPr>
          <w:rStyle w:val="CommentReference"/>
        </w:rPr>
        <w:commentReference w:id="1514408940"/>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1"/>
      <w:r>
        <w:rPr>
          <w:rFonts w:ascii="Arial" w:hAnsi="Arial" w:eastAsia="Arial"/>
          <w:sz w:val="28"/>
        </w:rPr>
        <w:t>Sem contrarrazões (ID 90927638).</w:t>
      </w:r>
      <w:commentRangeEnd w:id="1514408941"/>
      <w:r>
        <w:rPr>
          <w:rStyle w:val="CommentReference"/>
        </w:rPr>
        <w:commentReference w:id="1514408941"/>
      </w:r>
    </w:p>
    <w:p>
      <w:pPr>
        <w:spacing w:before="0" w:after="0" w:line="360" w:lineRule="auto"/>
        <w:jc w:val="both"/>
      </w:pPr>
      <w:r>
        <w:rPr>
          <w:rFonts w:ascii="Arial" w:hAnsi="Arial" w:eastAsia="Arial"/>
          <w:sz w:val="28"/>
        </w:rPr>
      </w:r>
    </w:p>
    <w:p>
      <w:pPr>
        <w:spacing w:before="0" w:after="0" w:line="360" w:lineRule="auto"/>
        <w:ind w:firstLine="2268"/>
        <w:jc w:val="both"/>
      </w:pPr>
      <w:r>
        <w:rPr>
          <w:rFonts w:ascii="Arial" w:hAnsi="Arial" w:eastAsia="Arial"/>
          <w:sz w:val="28"/>
        </w:rPr>
        <w:t>É o relatório.</w:t>
      </w:r>
    </w:p>
    <w:p>
      <w:pPr>
        <w:spacing w:before="0" w:after="0" w:line="360" w:lineRule="auto"/>
        <w:jc w:val="both"/>
      </w:pPr>
      <w:r>
        <w:rPr>
          <w:rFonts w:ascii="Arial" w:hAnsi="Arial" w:eastAsia="Arial"/>
          <w:sz w:val="28"/>
        </w:rPr>
      </w:r>
    </w:p>
    <w:p>
      <w:pPr>
        <w:spacing w:before="0" w:after="0" w:line="360" w:lineRule="auto"/>
        <w:jc w:val="center"/>
      </w:pPr>
      <w:r>
        <w:rPr>
          <w:rFonts w:ascii="Arial" w:hAnsi="Arial" w:eastAsia="Arial"/>
          <w:b/>
          <w:sz w:val="28"/>
        </w:rPr>
        <w:t>VOTO</w:t>
      </w:r>
    </w:p>
    <w:p>
      <w:pPr>
        <w:spacing w:before="0" w:after="0" w:line="360" w:lineRule="auto"/>
        <w:jc w:val="both"/>
      </w:pPr>
      <w:r>
        <w:rPr>
          <w:rFonts w:ascii="Arial" w:hAnsi="Arial" w:eastAsia="Arial"/>
          <w:sz w:val="28"/>
        </w:rPr>
      </w:r>
    </w:p>
    <w:p>
      <w:pPr>
        <w:spacing w:before="0" w:after="0" w:line="360" w:lineRule="auto"/>
        <w:jc w:val="left"/>
      </w:pPr>
      <w:r>
        <w:rPr>
          <w:rFonts w:ascii="Arial" w:hAnsi="Arial" w:eastAsia="Arial"/>
          <w:b/>
          <w:sz w:val="28"/>
        </w:rPr>
        <w:t>O Senhor Desembargador SÉRGIO ROCHA – Relator.</w:t>
      </w:r>
    </w:p>
    <w:p>
      <w:pPr>
        <w:spacing w:before="0" w:after="0" w:line="360" w:lineRule="auto"/>
        <w:jc w:val="both"/>
      </w:pPr>
      <w:r>
        <w:rPr>
          <w:rFonts w:ascii="Arial" w:hAnsi="Arial" w:eastAsia="Arial"/>
          <w:sz w:val="28"/>
        </w:rPr>
      </w:r>
    </w:p>
    <w:p>
      <w:pPr>
        <w:spacing w:before="0" w:after="0" w:line="360" w:lineRule="auto"/>
        <w:jc w:val="center"/>
      </w:pPr>
      <w:r>
        <w:rPr>
          <w:rFonts w:ascii="Arial" w:hAnsi="Arial" w:eastAsia="Arial"/>
          <w:b/>
          <w:sz w:val="28"/>
        </w:rPr>
        <w:t>AGRAVO DE INSTRUMENTO DA EXECUTADA, GILEAIDE DOS SANTOS DE SOUZA</w:t>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2"/>
      <w:r>
        <w:rPr>
          <w:rFonts w:ascii="Arial" w:hAnsi="Arial" w:eastAsia="Arial"/>
          <w:sz w:val="28"/>
        </w:rPr>
        <w:t>Presentes os pressupostos de admissibilidade, conheço do agravo de instrumento.</w:t>
      </w:r>
      <w:commentRangeEnd w:id="1514408942"/>
      <w:r>
        <w:rPr>
          <w:rStyle w:val="CommentReference"/>
        </w:rPr>
        <w:commentReference w:id="1514408942"/>
      </w:r>
    </w:p>
    <w:p>
      <w:pPr>
        <w:spacing w:before="0" w:after="0" w:line="360" w:lineRule="auto"/>
        <w:jc w:val="both"/>
      </w:pPr>
      <w:r>
        <w:rPr>
          <w:rFonts w:ascii="Arial" w:hAnsi="Arial" w:eastAsia="Arial"/>
          <w:sz w:val="28"/>
        </w:rPr>
      </w:r>
    </w:p>
    <w:p>
      <w:pPr>
        <w:spacing w:before="0" w:after="0" w:line="360" w:lineRule="auto"/>
        <w:jc w:val="center"/>
      </w:pPr>
      <w:r>
        <w:rPr>
          <w:rFonts w:ascii="Arial" w:hAnsi="Arial" w:eastAsia="Arial"/>
          <w:sz w:val="28"/>
          <w:highlight w:val="yellow"/>
        </w:rPr>
        <w:t>DO CABIMENTO DA NOVA INTIMAÇÃO DA EXECUTADA E DA NOVA AVALIAÇÃO DO IMÓVEL PENHORADO</w:t>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3"/>
      <w:r>
        <w:rPr>
          <w:rFonts w:ascii="Arial" w:hAnsi="Arial" w:eastAsia="Arial"/>
          <w:sz w:val="28"/>
        </w:rPr>
        <w:t xml:space="preserve">A executada/agravante alega que: </w:t>
      </w:r>
      <w:r>
        <w:rPr>
          <w:rFonts w:ascii="Arial" w:hAnsi="Arial" w:eastAsia="Arial"/>
          <w:b/>
          <w:sz w:val="28"/>
        </w:rPr>
        <w:t>1)</w:t>
      </w:r>
      <w:r>
        <w:rPr>
          <w:rFonts w:ascii="Arial" w:hAnsi="Arial" w:eastAsia="Arial"/>
          <w:sz w:val="28"/>
        </w:rPr>
        <w:t xml:space="preserve"> a intimação dirigida ao imóvel penhorado é nula, pois já havia atualizado seu endereço nos autos e sido intimada com sucesso por WhatsApp (ID 238279945, do processo de origem), o que configura cerceamento de defesa; </w:t>
      </w:r>
      <w:r>
        <w:rPr>
          <w:rFonts w:ascii="Arial" w:hAnsi="Arial" w:eastAsia="Arial"/>
          <w:b/>
          <w:sz w:val="28"/>
        </w:rPr>
        <w:t>2)</w:t>
      </w:r>
      <w:r>
        <w:rPr>
          <w:rFonts w:ascii="Arial" w:hAnsi="Arial" w:eastAsia="Arial"/>
          <w:sz w:val="28"/>
        </w:rPr>
        <w:t xml:space="preserve"> a avaliação judicial, realizada por estimativa e sem ingresso no imóvel, diverge em cerca de 40% do valor apurado em laudo apresentado pelo próprio credor (ID 265004839, do processo de origem), o que caracteriza fundada dúvida (CPC 873 I e III) e autoriza a adoção do maior valor ou a realização de nova avaliação; e </w:t>
      </w:r>
      <w:r>
        <w:rPr>
          <w:rFonts w:ascii="Arial" w:hAnsi="Arial" w:eastAsia="Arial"/>
          <w:b/>
          <w:sz w:val="28"/>
        </w:rPr>
        <w:t>3)</w:t>
      </w:r>
      <w:r>
        <w:rPr>
          <w:rFonts w:ascii="Arial" w:hAnsi="Arial" w:eastAsia="Arial"/>
          <w:sz w:val="28"/>
        </w:rPr>
        <w:t xml:space="preserve"> a alienação do imóvel com base em avaliação inferior causará dano de difícil reparação (ID 89625358).</w:t>
      </w:r>
      <w:commentRangeEnd w:id="1514408943"/>
      <w:r>
        <w:rPr>
          <w:rStyle w:val="CommentReference"/>
        </w:rPr>
        <w:commentReference w:id="1514408943"/>
      </w:r>
    </w:p>
    <w:p>
      <w:pPr>
        <w:spacing w:before="0" w:after="0" w:line="360" w:lineRule="auto"/>
        <w:jc w:val="both"/>
      </w:pPr>
      <w:r>
        <w:rPr>
          <w:rFonts w:ascii="Arial" w:hAnsi="Arial" w:eastAsia="Arial"/>
          <w:sz w:val="28"/>
        </w:rPr>
      </w:r>
    </w:p>
    <w:p>
      <w:pPr>
        <w:spacing w:before="0" w:after="0" w:line="360" w:lineRule="auto"/>
        <w:ind w:firstLine="2268"/>
        <w:jc w:val="both"/>
      </w:pPr>
      <w:r>
        <w:rPr>
          <w:rFonts w:ascii="Arial" w:hAnsi="Arial" w:eastAsia="Arial"/>
          <w:sz w:val="28"/>
        </w:rPr>
        <w:t>Requer a reforma da r. decisão agravada para que sejam determinadas a intimação pessoal da executada no endereço atualizado ou por WhatsApp e a adoção do valor de R$ 134.683,62 na avaliação do imóvel penhorado ou, subsidiariamente, a realização de nova avaliação (ID 89625358).</w:t>
      </w:r>
    </w:p>
    <w:p>
      <w:pPr>
        <w:spacing w:before="0" w:after="0" w:line="360" w:lineRule="auto"/>
        <w:jc w:val="both"/>
      </w:pPr>
      <w:r>
        <w:rPr>
          <w:rFonts w:ascii="Arial" w:hAnsi="Arial" w:eastAsia="Arial"/>
          <w:sz w:val="28"/>
        </w:rPr>
      </w:r>
    </w:p>
    <w:p>
      <w:pPr>
        <w:spacing w:before="0" w:after="0" w:line="360" w:lineRule="auto"/>
        <w:ind w:firstLine="2268"/>
        <w:jc w:val="both"/>
      </w:pPr>
      <w:r>
        <w:rPr>
          <w:rFonts w:ascii="Arial" w:hAnsi="Arial" w:eastAsia="Arial"/>
          <w:sz w:val="28"/>
          <w:highlight w:val="yellow"/>
        </w:rPr>
        <w:t>Com parcial razão.</w:t>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4"/>
      <w:r>
        <w:rPr>
          <w:rFonts w:ascii="Arial" w:hAnsi="Arial" w:eastAsia="Arial"/>
          <w:sz w:val="28"/>
        </w:rPr>
        <w:t>Adoto os fundamentos da decisão que deferiu a antecipação de tutela recursal, suficientes para justificar a reforma parcial da decisão agravada (ID 89727446):</w:t>
      </w:r>
      <w:commentRangeEnd w:id="1514408944"/>
      <w:r>
        <w:rPr>
          <w:rStyle w:val="CommentReference"/>
        </w:rPr>
        <w:commentReference w:id="1514408944"/>
      </w:r>
    </w:p>
    <w:p>
      <w:pPr>
        <w:spacing w:before="0" w:after="0" w:line="360" w:lineRule="auto"/>
        <w:jc w:val="both"/>
      </w:pPr>
      <w:r>
        <w:rPr>
          <w:rFonts w:ascii="Arial" w:hAnsi="Arial" w:eastAsia="Arial"/>
          <w:sz w:val="28"/>
        </w:rPr>
      </w:r>
    </w:p>
    <w:p>
      <w:pPr>
        <w:spacing w:before="0" w:after="0" w:line="360" w:lineRule="auto"/>
        <w:ind w:firstLine="1134" w:left="2268"/>
        <w:jc w:val="both"/>
      </w:pPr>
      <w:r>
        <w:rPr>
          <w:rFonts w:ascii="Arial" w:hAnsi="Arial" w:eastAsia="Arial"/>
          <w:i/>
          <w:sz w:val="26"/>
        </w:rPr>
        <w:t>“Vislumbro a probabilidade do direito alegado, ao menos nesta sede de cognição sumária.</w:t>
      </w:r>
    </w:p>
    <w:p>
      <w:pPr>
        <w:spacing w:before="0" w:after="0" w:line="360" w:lineRule="auto"/>
        <w:ind w:firstLine="0" w:left="2268"/>
        <w:jc w:val="both"/>
      </w:pPr>
      <w:r>
        <w:rPr>
          <w:rFonts w:ascii="Arial" w:hAnsi="Arial" w:eastAsia="Arial"/>
          <w:i/>
          <w:sz w:val="26"/>
        </w:rPr>
        <w:t>Conforme constou da r. decisão agravada:</w:t>
      </w:r>
    </w:p>
    <w:p>
      <w:pPr>
        <w:spacing w:before="0" w:after="0" w:line="360" w:lineRule="auto"/>
        <w:ind w:firstLine="0" w:left="3402"/>
        <w:jc w:val="both"/>
      </w:pPr>
      <w:r>
        <w:rPr>
          <w:rFonts w:ascii="Arial" w:hAnsi="Arial" w:eastAsia="Arial"/>
          <w:i/>
          <w:sz w:val="26"/>
        </w:rPr>
        <w:t>‘(...) Nos termos do art. 274, parágrafo único, do CPC, presumem-se válidas as intimações dirigidas ao endereço constante dos autos, ainda que não recebidas pessoalmente pelo interessado, quando a alteração temporária ou definitiva não tiver sido devidamente comunicada ao juízo.</w:t>
      </w:r>
    </w:p>
    <w:p>
      <w:pPr>
        <w:spacing w:before="0" w:after="0" w:line="360" w:lineRule="auto"/>
        <w:ind w:firstLine="0" w:left="3402"/>
        <w:jc w:val="both"/>
      </w:pPr>
      <w:r>
        <w:rPr>
          <w:rFonts w:ascii="Arial" w:hAnsi="Arial" w:eastAsia="Arial"/>
          <w:i/>
          <w:sz w:val="26"/>
        </w:rPr>
        <w:t>Incumbe à parte manter atualizado seu endereço nos autos. A mera indicação de endereço ou contato telefônico em diligência anterior não substitui a comunicação formal da mudança ao juízo, sobretudo quando não acompanhada de requerimento claro de alteração dos dados cadastrais.</w:t>
      </w:r>
    </w:p>
    <w:p>
      <w:pPr>
        <w:spacing w:before="0" w:after="0" w:line="360" w:lineRule="auto"/>
        <w:ind w:firstLine="0" w:left="3402"/>
        <w:jc w:val="both"/>
      </w:pPr>
      <w:r>
        <w:rPr>
          <w:rFonts w:ascii="Arial" w:hAnsi="Arial" w:eastAsia="Arial"/>
          <w:i/>
          <w:sz w:val="26"/>
        </w:rPr>
        <w:t>No caso, a diligência de intimação não se concretizou porque o imóvel estava desocupado, sem que a executada tivesse informado regularmente nos autos a alteração de seu endereço. Assim, prevalece a presunção de validade prevista no art. 274, parágrafo único, do CPC, sendo desnecessária a renovação da intimação pessoal.</w:t>
      </w:r>
    </w:p>
    <w:p>
      <w:pPr>
        <w:spacing w:before="0" w:after="0" w:line="360" w:lineRule="auto"/>
        <w:ind w:firstLine="0" w:left="3402"/>
        <w:jc w:val="both"/>
      </w:pPr>
      <w:r>
        <w:rPr>
          <w:rFonts w:ascii="Arial" w:hAnsi="Arial" w:eastAsia="Arial"/>
          <w:i/>
          <w:sz w:val="26"/>
        </w:rPr>
        <w:t>INDEFIRO, portanto, o pedido de nova intimação pessoal da executada.</w:t>
      </w:r>
    </w:p>
    <w:p>
      <w:pPr>
        <w:spacing w:before="0" w:after="0" w:line="360" w:lineRule="auto"/>
        <w:ind w:firstLine="0" w:left="3402"/>
        <w:jc w:val="both"/>
      </w:pPr>
      <w:r>
        <w:rPr>
          <w:rFonts w:ascii="Arial" w:hAnsi="Arial" w:eastAsia="Arial"/>
          <w:i/>
          <w:sz w:val="26"/>
        </w:rPr>
        <w:t>Quanto à avaliação, o oficial de justiça atribuiu ao imóvel o valor de R$ 97.000,00, mediante estimativa baseada nas características da unidade, no preço médio dos imóveis da região e em anúncios divulgados em sítios especializados. A impossibilidade de ingresso no bem não invalida o ato, pois se trata de apartamento com planta padronizada e foram empregados elementos objetivos de comparação mercadológica.</w:t>
      </w:r>
    </w:p>
    <w:p>
      <w:pPr>
        <w:spacing w:before="0" w:after="0" w:line="360" w:lineRule="auto"/>
        <w:ind w:firstLine="0" w:left="3402"/>
        <w:jc w:val="both"/>
      </w:pPr>
      <w:r>
        <w:rPr>
          <w:rFonts w:ascii="Arial" w:hAnsi="Arial" w:eastAsia="Arial"/>
          <w:i/>
          <w:sz w:val="26"/>
        </w:rPr>
        <w:t>A nova avaliação somente é cabível quando demonstrados erro ou dolo do avaliador, alteração posterior do valor do bem ou fundada dúvida sobre o valor atribuído, conforme art. 873 do CPC.</w:t>
      </w:r>
    </w:p>
    <w:p>
      <w:pPr>
        <w:spacing w:before="0" w:after="0" w:line="360" w:lineRule="auto"/>
        <w:ind w:firstLine="0" w:left="3402"/>
        <w:jc w:val="both"/>
      </w:pPr>
      <w:r>
        <w:rPr>
          <w:rFonts w:ascii="Arial" w:hAnsi="Arial" w:eastAsia="Arial"/>
          <w:i/>
          <w:sz w:val="26"/>
        </w:rPr>
        <w:t>A divergência entre a avaliação judicial e o parecer mercadológico particular apresentado pelo exequente, por si só, não evidencia erro na estimativa realizada pelo oficial de justiça, agente público dotado de fé pública. A executada não apresentou laudo técnico próprio nem elementos concretos que infirmem a metodologia utilizada ou demonstrem que o valor judicial se encontra dissociado do mercado.</w:t>
      </w:r>
    </w:p>
    <w:p>
      <w:pPr>
        <w:spacing w:before="0" w:after="0" w:line="360" w:lineRule="auto"/>
        <w:ind w:firstLine="0" w:left="3402"/>
        <w:jc w:val="both"/>
      </w:pPr>
      <w:r>
        <w:rPr>
          <w:rFonts w:ascii="Arial" w:hAnsi="Arial" w:eastAsia="Arial"/>
          <w:i/>
          <w:sz w:val="26"/>
        </w:rPr>
        <w:t>O risco de alienação por preço vil será examinado por ocasião da expropriação, à luz do art. 891, parágrafo único, do CPC, não constituindo fundamento suficiente para afastar, desde logo, a avaliação judicial. (...)’ (ID 284201321, processo de origem) – Grifei</w:t>
      </w:r>
    </w:p>
    <w:p>
      <w:pPr>
        <w:spacing w:before="0" w:after="0" w:line="360" w:lineRule="auto"/>
        <w:ind w:firstLine="1134" w:left="2268"/>
        <w:jc w:val="both"/>
      </w:pPr>
      <w:r>
        <w:rPr>
          <w:rFonts w:ascii="Arial" w:hAnsi="Arial" w:eastAsia="Arial"/>
          <w:i/>
          <w:sz w:val="26"/>
        </w:rPr>
        <w:t xml:space="preserve">No entanto, com a máxima vênia, verifica-se que a executada/agravante informou o seu novo endereço (Quadra 313, Conjunto 01, Casa 34 - Samambaia Sul/DF - ID 241758752, processo de origem), sendo </w:t>
      </w:r>
      <w:r>
        <w:rPr>
          <w:rFonts w:ascii="Arial" w:hAnsi="Arial" w:eastAsia="Arial"/>
          <w:i/>
          <w:sz w:val="26"/>
          <w:highlight w:val="yellow"/>
          <w:u w:val="single"/>
        </w:rPr>
        <w:t>inaplicável o disposto no art. 274, parágrafo único, do CPC ao caso dos autos</w:t>
      </w:r>
      <w:r>
        <w:rPr>
          <w:rFonts w:ascii="Arial" w:hAnsi="Arial" w:eastAsia="Arial"/>
          <w:i/>
          <w:sz w:val="26"/>
        </w:rPr>
        <w:t>.</w:t>
      </w:r>
    </w:p>
    <w:p>
      <w:pPr>
        <w:spacing w:before="0" w:after="0" w:line="360" w:lineRule="auto"/>
        <w:ind w:firstLine="1134" w:left="2268"/>
        <w:jc w:val="both"/>
      </w:pPr>
      <w:r>
        <w:rPr>
          <w:rFonts w:ascii="Arial" w:hAnsi="Arial" w:eastAsia="Arial"/>
          <w:i/>
          <w:sz w:val="26"/>
        </w:rPr>
        <w:t>Assim, observa-se a necessidade de expedição de novo mandado de avaliação e intimação da executada/agravante no seu atual endereço, tornando-se inválidos os atos subsequentes realizados, notadamente a avaliação realizada sem o ingresso no imóvel (ID 276196116, processo de origem).</w:t>
      </w:r>
    </w:p>
    <w:p>
      <w:pPr>
        <w:spacing w:before="0" w:after="0" w:line="360" w:lineRule="auto"/>
        <w:ind w:firstLine="1134" w:left="2268"/>
        <w:jc w:val="both"/>
      </w:pPr>
      <w:r>
        <w:rPr>
          <w:rFonts w:ascii="Arial" w:hAnsi="Arial" w:eastAsia="Arial"/>
          <w:i/>
          <w:sz w:val="26"/>
        </w:rPr>
        <w:t>O perigo de dano, por sua vez, se encontra presente, pois os atos executivos seguirão com base em avaliação realizada sem o ingresso no imóvel e a partir de intimação inválida.</w:t>
      </w:r>
    </w:p>
    <w:p>
      <w:pPr>
        <w:spacing w:before="0" w:after="0" w:line="360" w:lineRule="auto"/>
        <w:ind w:firstLine="1134" w:left="2268"/>
        <w:jc w:val="both"/>
      </w:pPr>
      <w:r>
        <w:rPr>
          <w:rFonts w:ascii="Arial" w:hAnsi="Arial" w:eastAsia="Arial"/>
          <w:i/>
          <w:sz w:val="26"/>
        </w:rPr>
        <w:t>Para além disso, embora tenha sido formulado pedido de efeito suspensivo ao agravo de instrumento, é possível ao magistrado conceder outra medida mais adequada ao caso, com base na fungibilidade das tutelas de urgência.</w:t>
      </w:r>
    </w:p>
    <w:p>
      <w:pPr>
        <w:spacing w:before="0" w:after="0" w:line="360" w:lineRule="auto"/>
        <w:ind w:firstLine="1134" w:left="2268"/>
        <w:jc w:val="both"/>
      </w:pPr>
      <w:r>
        <w:rPr>
          <w:rFonts w:ascii="Arial" w:hAnsi="Arial" w:eastAsia="Arial"/>
          <w:i/>
          <w:sz w:val="26"/>
        </w:rPr>
        <w:t>No caso, entendo mais adequada a antecipação da tutela recursal, considerando os elementos dos autos.” (ID 89727446)</w:t>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5"/>
      <w:r>
        <w:rPr>
          <w:rFonts w:ascii="Arial" w:hAnsi="Arial" w:eastAsia="Arial"/>
          <w:sz w:val="28"/>
        </w:rPr>
        <w:t xml:space="preserve">Dito isso, e não havendo alteração do quadro fático-jurídico delineado nos autos, com a máxima vênia ao d. Juízo de origem, </w:t>
      </w:r>
      <w:r>
        <w:rPr>
          <w:rFonts w:ascii="Arial" w:hAnsi="Arial" w:eastAsia="Arial"/>
          <w:sz w:val="28"/>
          <w:highlight w:val="yellow"/>
        </w:rPr>
        <w:t>deve ser parcialmente reformada a r. decisão agravada, pois, informado nos autos o novo endereço da executada, afasta-se a presunção de validade da intimação e impõe-se a nova avaliação (CPC 274 parágrafo único; ID 241758752, do processo de origem).</w:t>
      </w:r>
      <w:commentRangeEnd w:id="1514408945"/>
      <w:r>
        <w:rPr>
          <w:rStyle w:val="CommentReference"/>
        </w:rPr>
        <w:commentReference w:id="1514408945"/>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6"/>
      <w:r>
        <w:rPr>
          <w:rFonts w:ascii="Arial" w:hAnsi="Arial" w:eastAsia="Arial"/>
          <w:sz w:val="28"/>
        </w:rPr>
        <w:t>Não se acolhe, porém, o pedido de adoção do valor do laudo do exequente, pois a avaliação será refeita na origem (ID 265004839, do processo de origem).</w:t>
      </w:r>
      <w:commentRangeEnd w:id="1514408946"/>
      <w:r>
        <w:rPr>
          <w:rStyle w:val="CommentReference"/>
        </w:rPr>
        <w:commentReference w:id="1514408946"/>
      </w:r>
    </w:p>
    <w:p>
      <w:pPr>
        <w:spacing w:before="0" w:after="0" w:line="360" w:lineRule="auto"/>
        <w:jc w:val="both"/>
      </w:pPr>
      <w:r>
        <w:rPr>
          <w:rFonts w:ascii="Arial" w:hAnsi="Arial" w:eastAsia="Arial"/>
          <w:sz w:val="28"/>
        </w:rPr>
      </w:r>
    </w:p>
    <w:p>
      <w:pPr>
        <w:spacing w:before="0" w:after="0" w:line="360" w:lineRule="auto"/>
        <w:jc w:val="center"/>
      </w:pPr>
      <w:r>
        <w:rPr>
          <w:rFonts w:ascii="Arial" w:hAnsi="Arial" w:eastAsia="Arial"/>
          <w:b/>
          <w:sz w:val="28"/>
        </w:rPr>
        <w:t>DISPOSITIVO</w:t>
      </w:r>
    </w:p>
    <w:p>
      <w:pPr>
        <w:spacing w:before="0" w:after="0" w:line="360" w:lineRule="auto"/>
        <w:jc w:val="both"/>
      </w:pPr>
      <w:r>
        <w:rPr>
          <w:rFonts w:ascii="Arial" w:hAnsi="Arial" w:eastAsia="Arial"/>
          <w:sz w:val="28"/>
        </w:rPr>
      </w:r>
    </w:p>
    <w:p>
      <w:pPr>
        <w:spacing w:before="0" w:after="0" w:line="360" w:lineRule="auto"/>
        <w:ind w:firstLine="2268"/>
        <w:jc w:val="both"/>
      </w:pPr>
      <w:commentRangeStart w:id="1514408947"/>
      <w:r>
        <w:rPr>
          <w:rFonts w:ascii="Arial" w:hAnsi="Arial" w:eastAsia="Arial"/>
          <w:sz w:val="28"/>
        </w:rPr>
        <w:t xml:space="preserve">Ante o exposto, reiteradas as vênias, </w:t>
      </w:r>
      <w:r>
        <w:rPr>
          <w:rFonts w:ascii="Arial" w:hAnsi="Arial" w:eastAsia="Arial"/>
          <w:b/>
          <w:sz w:val="28"/>
        </w:rPr>
        <w:t>dou parcial provimento</w:t>
      </w:r>
      <w:r>
        <w:rPr>
          <w:rFonts w:ascii="Arial" w:hAnsi="Arial" w:eastAsia="Arial"/>
          <w:sz w:val="28"/>
        </w:rPr>
        <w:t xml:space="preserve"> ao agravo de instrumento da executada, Gileaide dos Santos de Souza, para confirmar a liminar, a fim de que seja expedido novo mandado de avaliação do imóvel penhorado, com intimação da executada em seu atual endereço, tornando-se inválidos os atos posteriores realizados, notadamente a avaliação sem ingresso no imóvel (ID 276196116, do processo de origem).</w:t>
      </w:r>
      <w:commentRangeEnd w:id="1514408947"/>
      <w:r>
        <w:rPr>
          <w:rStyle w:val="CommentReference"/>
        </w:rPr>
        <w:commentReference w:id="1514408947"/>
      </w:r>
    </w:p>
    <w:p>
      <w:pPr>
        <w:spacing w:before="0" w:after="0" w:line="360" w:lineRule="auto"/>
        <w:jc w:val="both"/>
      </w:pPr>
      <w:r>
        <w:rPr>
          <w:rFonts w:ascii="Arial" w:hAnsi="Arial" w:eastAsia="Arial"/>
          <w:sz w:val="28"/>
        </w:rPr>
      </w:r>
    </w:p>
    <w:p>
      <w:pPr>
        <w:spacing w:before="0" w:after="0" w:line="360" w:lineRule="auto"/>
        <w:ind w:firstLine="2268"/>
        <w:jc w:val="both"/>
      </w:pPr>
      <w:r>
        <w:rPr>
          <w:rFonts w:ascii="Arial" w:hAnsi="Arial" w:eastAsia="Arial"/>
          <w:sz w:val="28"/>
        </w:rPr>
        <w:t>É como voto.</w:t>
      </w:r>
    </w:p>
    <w:p>
      <w:pPr>
        <w:spacing w:before="0" w:after="0" w:line="360" w:lineRule="auto"/>
        <w:jc w:val="both"/>
      </w:pPr>
      <w:r>
        <w:rPr>
          <w:rFonts w:ascii="Arial" w:hAnsi="Arial" w:eastAsia="Arial"/>
          <w:sz w:val="28"/>
        </w:rPr>
      </w:r>
    </w:p>
    <w:p>
      <w:pPr>
        <w:spacing w:before="0" w:after="0" w:line="360" w:lineRule="auto"/>
        <w:jc w:val="both"/>
      </w:pPr>
      <w:r>
        <w:rPr>
          <w:rFonts w:ascii="Arial" w:hAnsi="Arial" w:eastAsia="Arial"/>
          <w:sz w:val="28"/>
        </w:rPr>
      </w:r>
    </w:p>
    <w:p>
      <w:pPr>
        <w:spacing w:before="0" w:after="0" w:line="360" w:lineRule="auto"/>
        <w:jc w:val="left"/>
      </w:pPr>
      <w:commentRangeStart w:id="1514408948"/>
      <w:r>
        <w:rPr>
          <w:rFonts w:ascii="Arial" w:hAnsi="Arial" w:eastAsia="Arial"/>
          <w:color w:val="00B050"/>
          <w:sz w:val="27"/>
        </w:rPr>
        <w:t>[Decisão agravada (ID 284201321, do processo de origem) a anexar em verde: peça não recebida.]</w:t>
      </w:r>
      <w:commentRangeEnd w:id="1514408948"/>
      <w:r>
        <w:rPr>
          <w:rStyle w:val="CommentReference"/>
        </w:rPr>
        <w:commentReference w:id="1514408948"/>
      </w:r>
    </w:p>
    <w:sectPr w:rsidR="007E1C8C">
      <w:footerReference w:type="default" r:id="rId15"/>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RG" w:author="Raul Luiz Gonçalves Pamplona - GDSXSR" w:date="2026-10-09T13:27:17" w:id="1274644192">
    <w:p xmlns:w14="http://schemas.microsoft.com/office/word/2010/wordml" xmlns:w="http://schemas.openxmlformats.org/wordprocessingml/2006/main" w:rsidR="38663E84" w:rsidRDefault="435987A5" w14:paraId="1822479A" w14:textId="235881A8">
      <w:pPr>
        <w:pStyle w:val="CommentText"/>
      </w:pPr>
      <w:r>
        <w:rPr>
          <w:rStyle w:val="CommentReference"/>
        </w:rPr>
        <w:annotationRef/>
      </w:r>
      <w:r w:rsidRPr="5168BE46" w:rsidR="1A22C5FE">
        <w:t xml:space="preserve">	</w:t>
      </w:r>
      <w:r w:rsidRPr="6DC4123D" w:rsidR="54B39334">
        <w:rPr>
          <w:b w:val="1"/>
          <w:bCs w:val="1"/>
        </w:rPr>
        <w:t>Art. 321</w:t>
      </w:r>
      <w:r w:rsidRPr="45D0E7D5" w:rsidR="4D8A8CA6">
        <w:t xml:space="preserve">. O juiz, ao verificar que a petição inicial não preenche os requisitos dos </w:t>
      </w:r>
      <w:r>
        <w:fldChar w:fldCharType="begin"/>
      </w:r>
      <w:r>
        <w:instrText>HYPERLINK https://www.planalto.gov.br/ccivil_03/_ato2015-2018/2015/lei/l13105.htm#art319</w:instrText>
      </w:r>
      <w:r>
        <w:fldChar w:fldCharType="separate"/>
      </w:r>
      <w:r w:rsidRPr="751AEF0B" w:rsidR="5A2CF153">
        <w:rPr>
          <w:rStyle w:val="Hyperlink"/>
        </w:rPr>
        <w:t xml:space="preserve">arts. 319 e 320 </w:t>
      </w:r>
      <w:r>
        <w:fldChar w:fldCharType="end"/>
      </w:r>
      <w:r w:rsidRPr="5B92A6C6" w:rsidR="1907E458">
        <w:t xml:space="preserve"> ou que apresenta defeitos e irregularidades capazes de dificultar o julgamento de mérito, determinará que o autor, no prazo de 15 (quinze) dias, a emende ou a complete, indicando com precisão o que deve ser corrigido ou completado. </w:t>
      </w:r>
    </w:p>
    <w:p xmlns:w14="http://schemas.microsoft.com/office/word/2010/wordml" xmlns:w="http://schemas.openxmlformats.org/wordprocessingml/2006/main" w:rsidR="5E4E675C" w:rsidRDefault="526F8E46" w14:paraId="2D71D916" w14:textId="28189DAE">
      <w:pPr>
        <w:pStyle w:val="CommentText"/>
      </w:pPr>
      <w:r w:rsidRPr="25D15A27" w:rsidR="365A5024">
        <w:t xml:space="preserve">	</w:t>
      </w:r>
      <w:r w:rsidRPr="1D2885C9" w:rsidR="512B55BD">
        <w:rPr>
          <w:b w:val="1"/>
          <w:bCs w:val="1"/>
        </w:rPr>
        <w:t>Parágrafo único.</w:t>
      </w:r>
      <w:r w:rsidRPr="1773A1BC" w:rsidR="181BAB48">
        <w:t xml:space="preserve"> Se o autor não cumprir a diligência, o juiz indeferirá a petição inicial. </w:t>
      </w:r>
    </w:p>
  </w:comment>
  <w:comment xmlns:w="http://schemas.openxmlformats.org/wordprocessingml/2006/main" w:initials="RG" w:author="Raul Luiz Gonçalves Pamplona - GDSXSR" w:date="2026-10-09T13:28:10" w:id="371663285">
    <w:p xmlns:w14="http://schemas.microsoft.com/office/word/2010/wordml" xmlns:w="http://schemas.openxmlformats.org/wordprocessingml/2006/main" w:rsidR="4CEDD302" w:rsidRDefault="5104C4B5" w14:paraId="24A58533" w14:textId="3F1CD2CE">
      <w:pPr>
        <w:pStyle w:val="CommentText"/>
      </w:pPr>
      <w:r>
        <w:rPr>
          <w:rStyle w:val="CommentReference"/>
        </w:rPr>
        <w:annotationRef/>
      </w:r>
      <w:r w:rsidRPr="3332BD1E" w:rsidR="14F6BB63">
        <w:t>Dispõe sobre procedimentos para autorização e cancelamento de autorização de débitos em conta de depósitos e em conta-salário.</w:t>
      </w:r>
    </w:p>
  </w:comment>
  <w:comment xmlns:w="http://schemas.openxmlformats.org/wordprocessingml/2006/main" w:initials="RG" w:author="Raul Luiz Gonçalves Pamplona - GDSXSR" w:date="2026-10-09T13:28:27" w:id="549646529">
    <w:p xmlns:w14="http://schemas.microsoft.com/office/word/2010/wordml" xmlns:w="http://schemas.openxmlformats.org/wordprocessingml/2006/main" w:rsidR="63103AEF" w:rsidRDefault="7913D914" w14:paraId="1E0505BB" w14:textId="1B9C09A0">
      <w:pPr>
        <w:pStyle w:val="CommentText"/>
      </w:pPr>
      <w:r>
        <w:rPr>
          <w:rStyle w:val="CommentReference"/>
        </w:rPr>
        <w:annotationRef/>
      </w:r>
      <w:r w:rsidRPr="5CB09A0C" w:rsidR="1BF56914">
        <w:t>Art. 6º É assegurado ao titular da conta o direito de cancelar a autorização de débitos. Parágrafo único. O cancelamento da autorização de débitos em conta pode ser formalizado na instituição depositária ou por meio da instituição destinatária.</w:t>
      </w:r>
    </w:p>
  </w:comment>
  <w:comment xmlns:w="http://schemas.openxmlformats.org/wordprocessingml/2006/main" w:initials="RG" w:author="Raul Luiz Gonçalves Pamplona - GDSXSR" w:date="2026-10-09T15:32:13" w:id="1514408936">
    <w:p xmlns:w14="http://schemas.microsoft.com/office/word/2010/wordml" xmlns:w="http://schemas.openxmlformats.org/wordprocessingml/2006/main" w:rsidR="1F8F55B6" w:rsidRDefault="1DC579B1" w14:paraId="35E46097" w14:textId="6A99F4DB">
      <w:pPr>
        <w:pStyle w:val="CommentText"/>
      </w:pPr>
      <w:r>
        <w:rPr>
          <w:rStyle w:val="CommentReference"/>
        </w:rPr>
        <w:annotationRef/>
      </w:r>
      <w:r w:rsidRPr="3B9F5B4A" w:rsidR="5A8B228C">
        <w:t>Conclusão: 01/10/2026</w:t>
      </w:r>
    </w:p>
    <w:p xmlns:w14="http://schemas.microsoft.com/office/word/2010/wordml" xmlns:w="http://schemas.openxmlformats.org/wordprocessingml/2006/main" w:rsidR="540EE6A3" w:rsidRDefault="1FFCBF3A" w14:paraId="7638812B" w14:textId="4F4112D0">
      <w:pPr>
        <w:pStyle w:val="CommentText"/>
      </w:pPr>
      <w:r w:rsidRPr="283A4BE5" w:rsidR="3039CFB4">
        <w:t>Entrega: 09/10/2026</w:t>
      </w:r>
    </w:p>
    <w:p xmlns:w14="http://schemas.microsoft.com/office/word/2010/wordml" xmlns:w="http://schemas.openxmlformats.org/wordprocessingml/2006/main" w:rsidR="112852B6" w:rsidRDefault="571E50EF" w14:paraId="69F53CEF" w14:textId="42D244A7">
      <w:pPr>
        <w:pStyle w:val="CommentText"/>
      </w:pPr>
      <w:r w:rsidRPr="4DCE3A5C" w:rsidR="76E2BE5E">
        <w:t>Certeza: 10</w:t>
      </w:r>
    </w:p>
  </w:comment>
  <w:comment w:id="1514408937" w:author="Minuta GDSXSR" w:initials="MG" w:date="2026-10-28T18:00:51Z">
    <w:p>
      <w:pPr>
        <w:pStyle w:val="CommentText"/>
      </w:pPr>
      <w:r>
        <w:rPr>
          <w:rStyle w:val="CommentReference"/>
        </w:rPr>
        <w:annotationRef/>
      </w:r>
      <w:r>
        <w:t>MINUTA GDSXSR — Minuta do zero (AGI 0743334-66, DPP). Modelos lidos: AGI 0737653-18 (DPP, liminar confirmada; cabeçalho, relatório pela liminar e fecho), AGI 0750669-73 (N1, DPP, penhora de imóvel e cotas condominiais; cabeçalho e ementa) e AGI 0738547-91 (avaliação de imóvel). Sem sigla de precedente: o voto não cita jurisprudência, só o CPC; por isso não há linha de "Jurisprudência relevante citada". Sem contrarrazões, não há honorários recursais (perfil AGI, 3).</w:t>
      </w:r>
    </w:p>
  </w:comment>
  <w:comment w:id="1514408938" w:author="Minuta GDSXSR" w:initials="MG" w:date="2026-10-28T18:00:51Z">
    <w:p>
      <w:pPr>
        <w:pStyle w:val="CommentText"/>
      </w:pPr>
      <w:r>
        <w:rPr>
          <w:rStyle w:val="CommentReference"/>
        </w:rPr>
        <w:annotationRef/>
      </w:r>
      <w:r>
        <w:t>MINUTA GDSXSR — Peças da origem NÃO recebidas: ID 241758752 (petição com o novo endereço), ID 238279945 (a que o agravo atribui a atualização e o WhatsApp), ID 284201321 (decisão agravada, integral), ID 276196116 e 276196117 (avaliação do oficial) e ID 265004839 (laudo do exequente). Os fatos vêm da liminar (ID 89727446) e do agravo (ID 89625358). Atenção: o agravo aponta o ID 238279945 e a liminar o ID 241758752 para o mesmo fato (endereço atualizado); conferir qual petição informou o endereço antes de assinar (C-24, C-52). Pedido ao Marcos: juntar essas peças ou confirmar os IDs.</w:t>
      </w:r>
    </w:p>
  </w:comment>
  <w:comment w:id="1514408939" w:author="Minuta GDSXSR" w:initials="MG" w:date="2026-10-28T18:00:51Z">
    <w:p>
      <w:pPr>
        <w:pStyle w:val="CommentText"/>
      </w:pPr>
      <w:r>
        <w:rPr>
          <w:rStyle w:val="CommentReference"/>
        </w:rPr>
        <w:annotationRef/>
      </w:r>
      <w:r>
        <w:t>MINUTA GDSXSR — Resumo da decisão feito só com o trecho transcrito pela liminar (ID 89727446); a decisão integral (ID 284201321) não veio. O dispositivo da origem citado no agravo (prazo de 30 dias para averbar a penhora e remessa ao NULEJ para hasta) não consta do resumo por não estar na liminar.</w:t>
      </w:r>
    </w:p>
  </w:comment>
  <w:comment w:id="1514408940" w:author="Minuta GDSXSR" w:initials="MG" w:date="2026-10-28T18:00:51Z">
    <w:p>
      <w:pPr>
        <w:pStyle w:val="CommentText"/>
      </w:pPr>
      <w:r>
        <w:rPr>
          <w:rStyle w:val="CommentReference"/>
        </w:rPr>
        <w:annotationRef/>
      </w:r>
      <w:r>
        <w:t>MINUTA GDSXSR — Fórmula do relatório da liminar (C-3S): adotado o relatório da liminar (ID 89727446), com a enumeração das alegações em negrito (C-30/C-43). Os IDs de 1º grau ficam dentro da transcrição, com "processo de origem", como na liminar.</w:t>
      </w:r>
    </w:p>
  </w:comment>
  <w:comment w:id="1514408941" w:author="Minuta GDSXSR" w:initials="MG" w:date="2026-10-28T18:00:51Z">
    <w:p>
      <w:pPr>
        <w:pStyle w:val="CommentText"/>
      </w:pPr>
      <w:r>
        <w:rPr>
          <w:rStyle w:val="CommentReference"/>
        </w:rPr>
        <w:annotationRef/>
      </w:r>
      <w:r>
        <w:t>MINUTA GDSXSR — Certidão de ID 90927638: prazo da parte agravada para contrarrazões decorrido em 13/10/2026 sem manifestação. Intimação para contrarrazões determinada na liminar (ID 89727446).</w:t>
      </w:r>
    </w:p>
  </w:comment>
  <w:comment w:id="1514408942" w:author="Minuta GDSXSR" w:initials="MG" w:date="2026-10-28T18:00:51Z">
    <w:p>
      <w:pPr>
        <w:pStyle w:val="CommentText"/>
      </w:pPr>
      <w:r>
        <w:rPr>
          <w:rStyle w:val="CommentReference"/>
        </w:rPr>
        <w:annotationRef/>
      </w:r>
      <w:r>
        <w:t>MINUTA GDSXSR — Tempestividade e preparo não conferidos nos autos de origem. O agravo (ID 89625358) informa ciência em 03/08/2026, prazo em dobro (Defensoria) e termo final em 17/09/2026; foi protocolado em 15/09/2026. A capa informa justiça gratuita; o agravo afirma presumido o deferimento (ID 190814630 da origem). Seguida a C-3T: admissibilidade direta e sem parágrafo sobre gratuidade.</w:t>
      </w:r>
    </w:p>
  </w:comment>
  <w:comment w:id="1514408943" w:author="Minuta GDSXSR" w:initials="MG" w:date="2026-10-28T18:00:51Z">
    <w:p>
      <w:pPr>
        <w:pStyle w:val="CommentText"/>
      </w:pPr>
      <w:r>
        <w:rPr>
          <w:rStyle w:val="CommentReference"/>
        </w:rPr>
        <w:annotationRef/>
      </w:r>
      <w:r>
        <w:t>MINUTA GDSXSR — Capítulo único: os dois pedidos (intimação e avaliação) se resolvem pela mesma razão, a invalidade da intimação (C-3W). Alegações enumeradas em um só parágrafo (C-30).</w:t>
      </w:r>
    </w:p>
  </w:comment>
  <w:comment w:id="1514408944" w:author="Minuta GDSXSR" w:initials="MG" w:date="2026-10-28T18:00:51Z">
    <w:p>
      <w:pPr>
        <w:pStyle w:val="CommentText"/>
      </w:pPr>
      <w:r>
        <w:rPr>
          <w:rStyle w:val="CommentReference"/>
        </w:rPr>
        <w:annotationRef/>
      </w:r>
      <w:r>
        <w:t>MINUTA GDSXSR — C-17 v42: transcrita toda a fundamentação da liminar (ID 89727446), com a decisão agravada em bloco próprio, "– Grifei", sem substituir por "(...)". Excluído o dispositivo da liminar, que consta do relatório. Grifos amarelos nas premissas decisivas (C-43).</w:t>
      </w:r>
    </w:p>
  </w:comment>
  <w:comment w:id="1514408945" w:author="Minuta GDSXSR" w:initials="MG" w:date="2026-10-28T18:00:51Z">
    <w:p>
      <w:pPr>
        <w:pStyle w:val="CommentText"/>
      </w:pPr>
      <w:r>
        <w:rPr>
          <w:rStyle w:val="CommentReference"/>
        </w:rPr>
        <w:annotationRef/>
      </w:r>
      <w:r>
        <w:t>MINUTA GDSXSR — CPC 274, parágrafo único (Planalto, conferido no iajus): "Presumem-se válidas as intimações dirigidas ao endereço constante dos autos, ainda que não recebidas pessoalmente pelo interessado, se a modificação temporária ou definitiva não tiver sido devidamente comunicada ao juízo, fluindo os prazos a partir da juntada aos autos do comprovante de entrega da correspondência no primitivo endereço." A norma já aparece transcrita, na versão da decisão agravada, no bloco da liminar (C-66). Fecho na forma de C-17 v40 (razão presa por "pois").</w:t>
      </w:r>
    </w:p>
  </w:comment>
  <w:comment w:id="1514408946" w:author="Minuta GDSXSR" w:initials="MG" w:date="2026-10-28T18:00:51Z">
    <w:p>
      <w:pPr>
        <w:pStyle w:val="CommentText"/>
      </w:pPr>
      <w:r>
        <w:rPr>
          <w:rStyle w:val="CommentReference"/>
        </w:rPr>
        <w:annotationRef/>
      </w:r>
      <w:r>
        <w:t>MINUTA GDSXSR — Parágrafo acrescentado para decidir o pedido principal do agravo (adoção do valor do laudo do exequente), que a liminar não examinou. Segui a liminar (nova avaliação) e por isso o resultado é DPP, não DP; o fundamento é só consequência da nova avaliação, sem raciocínio novo (C-53). Divergência possível para o Desembargador: CPC 871, I e parágrafo único: "Não se procederá à avaliação quando: I - uma das partes aceitar a estimativa feita pela outra; (...) Parágrafo único. Ocorrendo a hipótese do inciso I deste artigo, a avaliação poderá ser realizada quando houver fundada dúvida do juiz quanto ao real valor do bem." A executada aceita a estimativa do exequente, o que, em tese, abriria caminho para adotar R$ 134.683,62; o agravo não invocou o art. 871. CPC 873 (texto literal): "É admitida nova avaliação quando: I - qualquer das partes arguir, fundamentadamente, a ocorrência de erro na avaliação ou dolo do avaliador; II - se verificar, posteriormente à avaliação, que houve majoração ou diminuição no valor do bem; III - o juiz tiver fundada dúvida sobre o valor atribuído ao bem na primeira avaliação."</w:t>
      </w:r>
    </w:p>
  </w:comment>
  <w:comment w:id="1514408947" w:author="Minuta GDSXSR" w:initials="MG" w:date="2026-10-28T18:00:51Z">
    <w:p>
      <w:pPr>
        <w:pStyle w:val="CommentText"/>
      </w:pPr>
      <w:r>
        <w:rPr>
          <w:rStyle w:val="CommentReference"/>
        </w:rPr>
        <w:annotationRef/>
      </w:r>
      <w:r>
        <w:t>MINUTA GDSXSR — Dispositivo em parágrafo único, com a determinação pela fórmula "a fim de que" (C-3F). Invalidade dos atos posteriores conforme o fundamento da liminar ("tornando-se inválidos os atos subsequentes realizados, notadamente a avaliação"). Sem honorários recursais (sem contrarrazões).</w:t>
      </w:r>
    </w:p>
  </w:comment>
  <w:comment w:id="1514408948" w:author="Minuta GDSXSR" w:initials="MG" w:date="2026-10-28T18:00:51Z">
    <w:p>
      <w:pPr>
        <w:pStyle w:val="CommentText"/>
      </w:pPr>
      <w:r>
        <w:rPr>
          <w:rStyle w:val="CommentReference"/>
        </w:rPr>
        <w:annotationRef/>
      </w:r>
      <w:r>
        <w:t>MINUTA GDSXSR — Pendência (C-52): anexar a decisão agravada (ID 284201321, do processo de origem) inteira, em verde 00B050 (C-45). Não consta dos autos recebidos; o texto que a liminar transcreve está no voto, mas não substitui o anexo.</w:t>
      </w:r>
    </w:p>
  </w:comment>
</w:comments>
</file>

<file path=word/commentsExtended.xml><?xml version="1.0" encoding="utf-8"?>
<w15:commentsEx xmlns:mc="http://schemas.openxmlformats.org/markup-compatibility/2006" xmlns:w15="http://schemas.microsoft.com/office/word/2012/wordml" mc:Ignorable="w15">
  <w15:commentEx w15:done="0" w15:paraId="69F53CEF"/>
  <w15:commentEx w15:done="0" w15:paraId="1E0505BB"/>
  <w15:commentEx w15:done="0" w15:paraId="24A58533"/>
  <w15:commentEx w15:done="0" w15:paraId="2D71D9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23BED4" w16cex:dateUtc="2026-10-09T18:32:13.847Z"/>
  <w16cex:commentExtensible w16cex:durableId="2415C63A" w16cex:dateUtc="2026-10-09T16:28:27.601Z"/>
  <w16cex:commentExtensible w16cex:durableId="04A1365B" w16cex:dateUtc="2026-10-09T16:28:10.397Z"/>
  <w16cex:commentExtensible w16cex:durableId="041EE0A5" w16cex:dateUtc="2026-10-09T16:27:17.327Z"/>
</w16cex:commentsExtensible>
</file>

<file path=word/commentsIds.xml><?xml version="1.0" encoding="utf-8"?>
<w16cid:commentsIds xmlns:mc="http://schemas.openxmlformats.org/markup-compatibility/2006" xmlns:w16cid="http://schemas.microsoft.com/office/word/2016/wordml/cid" mc:Ignorable="w16cid">
  <w16cid:commentId w16cid:paraId="2D71D916" w16cid:durableId="041EE0A5"/>
  <w16cid:commentId w16cid:paraId="24A58533" w16cid:durableId="04A1365B"/>
  <w16cid:commentId w16cid:paraId="1E0505BB" w16cid:durableId="2415C63A"/>
  <w16cid:commentId w16cid:paraId="69F53CEF" w16cid:durableId="3A23BE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2CF6" w:rsidP="003A42DE" w:rsidRDefault="006B2CF6" w14:paraId="5651EAEE" w14:textId="77777777">
      <w:pPr>
        <w:spacing w:after="0" w:line="240" w:lineRule="auto"/>
      </w:pPr>
      <w:r>
        <w:separator/>
      </w:r>
    </w:p>
  </w:endnote>
  <w:endnote w:type="continuationSeparator" w:id="0">
    <w:p w:rsidR="006B2CF6" w:rsidP="003A42DE" w:rsidRDefault="006B2CF6" w14:paraId="0911DF3B" w14:textId="77777777">
      <w:pPr>
        <w:spacing w:after="0" w:line="240" w:lineRule="auto"/>
      </w:pPr>
      <w:r>
        <w:continuationSeparator/>
      </w:r>
    </w:p>
  </w:endnote>
  <w:endnote w:type="continuationNotice" w:id="1">
    <w:p w:rsidR="006B2CF6" w:rsidRDefault="006B2CF6" w14:paraId="54BFC59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2CF6" w:rsidP="003A42DE" w:rsidRDefault="006B2CF6" w14:paraId="243CDD41" w14:textId="77777777">
      <w:pPr>
        <w:spacing w:after="0" w:line="240" w:lineRule="auto"/>
      </w:pPr>
      <w:r>
        <w:separator/>
      </w:r>
    </w:p>
  </w:footnote>
  <w:footnote w:type="continuationSeparator" w:id="0">
    <w:p w:rsidR="006B2CF6" w:rsidP="003A42DE" w:rsidRDefault="006B2CF6" w14:paraId="112E6525" w14:textId="77777777">
      <w:pPr>
        <w:spacing w:after="0" w:line="240" w:lineRule="auto"/>
      </w:pPr>
      <w:r>
        <w:continuationSeparator/>
      </w:r>
    </w:p>
  </w:footnote>
  <w:footnote w:type="continuationNotice" w:id="1">
    <w:p w:rsidR="006B2CF6" w:rsidRDefault="006B2CF6" w14:paraId="413642B2"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4d346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a93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370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715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bc4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2d9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ab7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892040057">
    <w:abstractNumId w:val="1"/>
  </w:num>
  <w:num w:numId="2" w16cid:durableId="1365403601">
    <w:abstractNumId w:val="0"/>
  </w:num>
  <w:num w:numId="3" w16cid:durableId="1872036300">
    <w:abstractNumId w:val="2"/>
  </w:num>
</w:numbering>
</file>

<file path=word/people.xml><?xml version="1.0" encoding="utf-8"?>
<w15:people xmlns:mc="http://schemas.openxmlformats.org/markup-compatibility/2006" xmlns:w15="http://schemas.microsoft.com/office/word/2012/wordml" mc:Ignorable="w15">
  <w15:person w15:author="Raul Luiz Gonçalves Pamplona - GDSXSR">
    <w15:presenceInfo w15:providerId="AD" w15:userId="S::t321693@tjdft.jus.br::47d45e0f-eae3-4a33-ab3f-8f6c1a951c82"/>
  </w15:person>
  <w15:person w15:author="Raul Luiz Gonçalves Pamplona - GDSXSR">
    <w15:presenceInfo w15:providerId="AD" w15:userId="S::t321693@tjdft.jus.br::47d45e0f-eae3-4a33-ab3f-8f6c1a951c8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4C11"/>
    <w:rsid w:val="00005FE1"/>
    <w:rsid w:val="00012123"/>
    <w:rsid w:val="0001A548"/>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1063D"/>
    <w:rsid w:val="00312291"/>
    <w:rsid w:val="00312DDE"/>
    <w:rsid w:val="00314FAC"/>
    <w:rsid w:val="00316B1F"/>
    <w:rsid w:val="00321068"/>
    <w:rsid w:val="00323779"/>
    <w:rsid w:val="00323D27"/>
    <w:rsid w:val="0033305F"/>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0C15"/>
    <w:rsid w:val="005A1AD9"/>
    <w:rsid w:val="005B1C70"/>
    <w:rsid w:val="005B3A9E"/>
    <w:rsid w:val="005B7851"/>
    <w:rsid w:val="005C2DC2"/>
    <w:rsid w:val="005C31C4"/>
    <w:rsid w:val="005C69F8"/>
    <w:rsid w:val="005D438E"/>
    <w:rsid w:val="005D6271"/>
    <w:rsid w:val="005E3F4E"/>
    <w:rsid w:val="005E5190"/>
    <w:rsid w:val="005EA67B"/>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15F80CC"/>
    <w:rsid w:val="0191F7C3"/>
    <w:rsid w:val="02480EC3"/>
    <w:rsid w:val="026E497E"/>
    <w:rsid w:val="02B1E412"/>
    <w:rsid w:val="02B1E412"/>
    <w:rsid w:val="03018451"/>
    <w:rsid w:val="03018451"/>
    <w:rsid w:val="0309018F"/>
    <w:rsid w:val="031F725A"/>
    <w:rsid w:val="03E55252"/>
    <w:rsid w:val="0406F2B1"/>
    <w:rsid w:val="0469E717"/>
    <w:rsid w:val="04EB9BAA"/>
    <w:rsid w:val="04FE6380"/>
    <w:rsid w:val="0598ED4B"/>
    <w:rsid w:val="05C072E5"/>
    <w:rsid w:val="061EE5CE"/>
    <w:rsid w:val="066636ED"/>
    <w:rsid w:val="06D2BD91"/>
    <w:rsid w:val="07084FFE"/>
    <w:rsid w:val="0741BAA1"/>
    <w:rsid w:val="079D3272"/>
    <w:rsid w:val="07BAB62F"/>
    <w:rsid w:val="08624999"/>
    <w:rsid w:val="08795635"/>
    <w:rsid w:val="087D1C37"/>
    <w:rsid w:val="08955680"/>
    <w:rsid w:val="089E911C"/>
    <w:rsid w:val="08BDBA2B"/>
    <w:rsid w:val="0902A466"/>
    <w:rsid w:val="09E2A60C"/>
    <w:rsid w:val="0A795B63"/>
    <w:rsid w:val="0A8ECADD"/>
    <w:rsid w:val="0BFCE006"/>
    <w:rsid w:val="0C436811"/>
    <w:rsid w:val="0C99678B"/>
    <w:rsid w:val="0D003B5C"/>
    <w:rsid w:val="0E2F4C66"/>
    <w:rsid w:val="0E60C260"/>
    <w:rsid w:val="0E71A7A9"/>
    <w:rsid w:val="0E7833D8"/>
    <w:rsid w:val="0E896E75"/>
    <w:rsid w:val="0ECBDBCC"/>
    <w:rsid w:val="0EFE4F3B"/>
    <w:rsid w:val="0F16BAD4"/>
    <w:rsid w:val="0F49A558"/>
    <w:rsid w:val="0F4CCC86"/>
    <w:rsid w:val="1010E271"/>
    <w:rsid w:val="105F35C5"/>
    <w:rsid w:val="106E20DE"/>
    <w:rsid w:val="10737481"/>
    <w:rsid w:val="10DFE56C"/>
    <w:rsid w:val="10E575B9"/>
    <w:rsid w:val="10E89CE7"/>
    <w:rsid w:val="11B4DFCD"/>
    <w:rsid w:val="1281461A"/>
    <w:rsid w:val="1299B7D4"/>
    <w:rsid w:val="12D0861A"/>
    <w:rsid w:val="1310ADC8"/>
    <w:rsid w:val="1322B3CC"/>
    <w:rsid w:val="13D9EAF8"/>
    <w:rsid w:val="1403BE3A"/>
    <w:rsid w:val="14261E79"/>
    <w:rsid w:val="147CBA5F"/>
    <w:rsid w:val="14B0854E"/>
    <w:rsid w:val="15075F5D"/>
    <w:rsid w:val="1522DC33"/>
    <w:rsid w:val="1540F7C4"/>
    <w:rsid w:val="159010E4"/>
    <w:rsid w:val="15A7C98E"/>
    <w:rsid w:val="160C8D89"/>
    <w:rsid w:val="161D075D"/>
    <w:rsid w:val="1685426F"/>
    <w:rsid w:val="169085A1"/>
    <w:rsid w:val="169A247F"/>
    <w:rsid w:val="16AFD0FD"/>
    <w:rsid w:val="17071F12"/>
    <w:rsid w:val="1754F7B4"/>
    <w:rsid w:val="17C7435F"/>
    <w:rsid w:val="182766FE"/>
    <w:rsid w:val="18301F4E"/>
    <w:rsid w:val="1890F764"/>
    <w:rsid w:val="1890F764"/>
    <w:rsid w:val="18BBA766"/>
    <w:rsid w:val="193E3D7C"/>
    <w:rsid w:val="194071AB"/>
    <w:rsid w:val="19AE2D67"/>
    <w:rsid w:val="19EFFB15"/>
    <w:rsid w:val="1A77651C"/>
    <w:rsid w:val="1AEDABFF"/>
    <w:rsid w:val="1B897297"/>
    <w:rsid w:val="1BB1DE98"/>
    <w:rsid w:val="1BBE419B"/>
    <w:rsid w:val="1C5B9B3B"/>
    <w:rsid w:val="1CA82C99"/>
    <w:rsid w:val="1CCDCA00"/>
    <w:rsid w:val="1CF4E54D"/>
    <w:rsid w:val="1D02AE0D"/>
    <w:rsid w:val="1D0C8FA4"/>
    <w:rsid w:val="1D833A47"/>
    <w:rsid w:val="1DA3F6E4"/>
    <w:rsid w:val="1DE275A0"/>
    <w:rsid w:val="1E7FFE4D"/>
    <w:rsid w:val="1FAFCC66"/>
    <w:rsid w:val="21529E37"/>
    <w:rsid w:val="22242253"/>
    <w:rsid w:val="2226EAE1"/>
    <w:rsid w:val="224F31B8"/>
    <w:rsid w:val="2259356D"/>
    <w:rsid w:val="227EDC7E"/>
    <w:rsid w:val="229F26FD"/>
    <w:rsid w:val="22C00AAB"/>
    <w:rsid w:val="232923D0"/>
    <w:rsid w:val="233FC49A"/>
    <w:rsid w:val="23846474"/>
    <w:rsid w:val="2474A6A4"/>
    <w:rsid w:val="248F4127"/>
    <w:rsid w:val="249E222A"/>
    <w:rsid w:val="24C00E7C"/>
    <w:rsid w:val="250056F1"/>
    <w:rsid w:val="25552D47"/>
    <w:rsid w:val="255B7F74"/>
    <w:rsid w:val="25627E6B"/>
    <w:rsid w:val="2592F5DF"/>
    <w:rsid w:val="25BA59F2"/>
    <w:rsid w:val="25DAE2F1"/>
    <w:rsid w:val="26437A82"/>
    <w:rsid w:val="26A9A53C"/>
    <w:rsid w:val="27623DE6"/>
    <w:rsid w:val="279C9AF7"/>
    <w:rsid w:val="27EDDD86"/>
    <w:rsid w:val="27F4F7D9"/>
    <w:rsid w:val="27FF6AAD"/>
    <w:rsid w:val="282CD004"/>
    <w:rsid w:val="28500164"/>
    <w:rsid w:val="29D9B832"/>
    <w:rsid w:val="29FC1AE8"/>
    <w:rsid w:val="2A1335FB"/>
    <w:rsid w:val="2A58FC23"/>
    <w:rsid w:val="2AE1B6B7"/>
    <w:rsid w:val="2AE79E71"/>
    <w:rsid w:val="2AF5D78B"/>
    <w:rsid w:val="2AF5FA84"/>
    <w:rsid w:val="2AFD096B"/>
    <w:rsid w:val="2B008F55"/>
    <w:rsid w:val="2BDF0338"/>
    <w:rsid w:val="2BF727A3"/>
    <w:rsid w:val="2C730A9B"/>
    <w:rsid w:val="2C890E75"/>
    <w:rsid w:val="2C93F8FF"/>
    <w:rsid w:val="2CF4CD87"/>
    <w:rsid w:val="2DA0D32B"/>
    <w:rsid w:val="2DD61D48"/>
    <w:rsid w:val="2DFD2B4C"/>
    <w:rsid w:val="2F1C19A9"/>
    <w:rsid w:val="2F6C8503"/>
    <w:rsid w:val="3007B261"/>
    <w:rsid w:val="3007B261"/>
    <w:rsid w:val="30160782"/>
    <w:rsid w:val="303A7B14"/>
    <w:rsid w:val="30508782"/>
    <w:rsid w:val="30587508"/>
    <w:rsid w:val="31EC57E3"/>
    <w:rsid w:val="332D13C9"/>
    <w:rsid w:val="3382D001"/>
    <w:rsid w:val="348DB4EB"/>
    <w:rsid w:val="34B6CAEC"/>
    <w:rsid w:val="34DED053"/>
    <w:rsid w:val="34E4E657"/>
    <w:rsid w:val="34EE336C"/>
    <w:rsid w:val="34FBDDCF"/>
    <w:rsid w:val="3510E67B"/>
    <w:rsid w:val="3556523A"/>
    <w:rsid w:val="3565AEC8"/>
    <w:rsid w:val="3601BA69"/>
    <w:rsid w:val="367267F9"/>
    <w:rsid w:val="369ED21D"/>
    <w:rsid w:val="36CA94C4"/>
    <w:rsid w:val="36EE3379"/>
    <w:rsid w:val="370C73D9"/>
    <w:rsid w:val="37408DCC"/>
    <w:rsid w:val="377F3110"/>
    <w:rsid w:val="37897B82"/>
    <w:rsid w:val="37B5A6B5"/>
    <w:rsid w:val="37BE17C0"/>
    <w:rsid w:val="38EEAB87"/>
    <w:rsid w:val="394C3135"/>
    <w:rsid w:val="39AE4A8D"/>
    <w:rsid w:val="39FF574E"/>
    <w:rsid w:val="3AC1809A"/>
    <w:rsid w:val="3AD2045E"/>
    <w:rsid w:val="3AD9B0B7"/>
    <w:rsid w:val="3B9011FD"/>
    <w:rsid w:val="3B9BF52E"/>
    <w:rsid w:val="3BB47562"/>
    <w:rsid w:val="3BB7291C"/>
    <w:rsid w:val="3C5D9607"/>
    <w:rsid w:val="3CB9A540"/>
    <w:rsid w:val="3CBACAC4"/>
    <w:rsid w:val="3CD07603"/>
    <w:rsid w:val="3D1A2DB7"/>
    <w:rsid w:val="3D8580A5"/>
    <w:rsid w:val="3DBB73A4"/>
    <w:rsid w:val="3DC89269"/>
    <w:rsid w:val="3DDFA35F"/>
    <w:rsid w:val="3DE70794"/>
    <w:rsid w:val="3DEAD688"/>
    <w:rsid w:val="3E1D45DC"/>
    <w:rsid w:val="3E66CBD1"/>
    <w:rsid w:val="3EF277C8"/>
    <w:rsid w:val="3F6506E4"/>
    <w:rsid w:val="3FBD6A61"/>
    <w:rsid w:val="3FD06354"/>
    <w:rsid w:val="3FFBFDAA"/>
    <w:rsid w:val="3FFE3DCC"/>
    <w:rsid w:val="41CAFA74"/>
    <w:rsid w:val="41E1021E"/>
    <w:rsid w:val="420D9061"/>
    <w:rsid w:val="4228454C"/>
    <w:rsid w:val="424EE23A"/>
    <w:rsid w:val="4271C7BD"/>
    <w:rsid w:val="4271C7BD"/>
    <w:rsid w:val="42F63EA0"/>
    <w:rsid w:val="4380C41B"/>
    <w:rsid w:val="43A63994"/>
    <w:rsid w:val="43A67A0B"/>
    <w:rsid w:val="43C54FAD"/>
    <w:rsid w:val="44049931"/>
    <w:rsid w:val="44334558"/>
    <w:rsid w:val="44688134"/>
    <w:rsid w:val="447AE2F1"/>
    <w:rsid w:val="44808C19"/>
    <w:rsid w:val="4495E4C2"/>
    <w:rsid w:val="44FB294E"/>
    <w:rsid w:val="454ECC03"/>
    <w:rsid w:val="45D7D81A"/>
    <w:rsid w:val="45ECA08E"/>
    <w:rsid w:val="45EE95F0"/>
    <w:rsid w:val="4614B705"/>
    <w:rsid w:val="462A1541"/>
    <w:rsid w:val="463AD933"/>
    <w:rsid w:val="46C7D927"/>
    <w:rsid w:val="46DE1ACD"/>
    <w:rsid w:val="47FFA841"/>
    <w:rsid w:val="486374E3"/>
    <w:rsid w:val="4962903A"/>
    <w:rsid w:val="49AAD572"/>
    <w:rsid w:val="4A6D32A3"/>
    <w:rsid w:val="4AAFC961"/>
    <w:rsid w:val="4AF457DF"/>
    <w:rsid w:val="4B409B22"/>
    <w:rsid w:val="4BB98733"/>
    <w:rsid w:val="4C936001"/>
    <w:rsid w:val="4C936001"/>
    <w:rsid w:val="4D3433F4"/>
    <w:rsid w:val="4D45AE2A"/>
    <w:rsid w:val="4D5D3872"/>
    <w:rsid w:val="4D9C753D"/>
    <w:rsid w:val="4E4DFBED"/>
    <w:rsid w:val="4EB5970F"/>
    <w:rsid w:val="4FBA8710"/>
    <w:rsid w:val="508888C8"/>
    <w:rsid w:val="509ECC93"/>
    <w:rsid w:val="515F5732"/>
    <w:rsid w:val="5212BFAD"/>
    <w:rsid w:val="5249445F"/>
    <w:rsid w:val="52E52664"/>
    <w:rsid w:val="530C09BC"/>
    <w:rsid w:val="53174421"/>
    <w:rsid w:val="539FE824"/>
    <w:rsid w:val="53A37578"/>
    <w:rsid w:val="53E739DB"/>
    <w:rsid w:val="53E739DB"/>
    <w:rsid w:val="54A48A63"/>
    <w:rsid w:val="54AAEF1D"/>
    <w:rsid w:val="56696897"/>
    <w:rsid w:val="571FE888"/>
    <w:rsid w:val="57608C97"/>
    <w:rsid w:val="5774762B"/>
    <w:rsid w:val="581B792C"/>
    <w:rsid w:val="58BC1B45"/>
    <w:rsid w:val="58E3B572"/>
    <w:rsid w:val="595140BA"/>
    <w:rsid w:val="59531952"/>
    <w:rsid w:val="5A6A67D7"/>
    <w:rsid w:val="5B105B2D"/>
    <w:rsid w:val="5B188E3D"/>
    <w:rsid w:val="5BC75A8B"/>
    <w:rsid w:val="5C83E0D1"/>
    <w:rsid w:val="5D37D7FE"/>
    <w:rsid w:val="5DC7BB1E"/>
    <w:rsid w:val="5E27D90B"/>
    <w:rsid w:val="5E6879DC"/>
    <w:rsid w:val="5F1409FE"/>
    <w:rsid w:val="5FAA896D"/>
    <w:rsid w:val="5FAEFB24"/>
    <w:rsid w:val="606F78C0"/>
    <w:rsid w:val="60ADD95D"/>
    <w:rsid w:val="60C98BFC"/>
    <w:rsid w:val="60D920B7"/>
    <w:rsid w:val="61757AFC"/>
    <w:rsid w:val="6194D198"/>
    <w:rsid w:val="620B4921"/>
    <w:rsid w:val="62AAAE4B"/>
    <w:rsid w:val="63342658"/>
    <w:rsid w:val="63C11CD1"/>
    <w:rsid w:val="63C2EF9E"/>
    <w:rsid w:val="64275D2D"/>
    <w:rsid w:val="643043B2"/>
    <w:rsid w:val="64374E83"/>
    <w:rsid w:val="6465318A"/>
    <w:rsid w:val="64971A8F"/>
    <w:rsid w:val="64B2D6F6"/>
    <w:rsid w:val="64BEBE7C"/>
    <w:rsid w:val="64BF5EDA"/>
    <w:rsid w:val="650595E1"/>
    <w:rsid w:val="6542E9E3"/>
    <w:rsid w:val="657557CB"/>
    <w:rsid w:val="65A9FB65"/>
    <w:rsid w:val="65C26DF6"/>
    <w:rsid w:val="65C41DC2"/>
    <w:rsid w:val="65CCD4F6"/>
    <w:rsid w:val="664F280D"/>
    <w:rsid w:val="666768FE"/>
    <w:rsid w:val="667AE318"/>
    <w:rsid w:val="66D15BCD"/>
    <w:rsid w:val="6708FB6D"/>
    <w:rsid w:val="67216F22"/>
    <w:rsid w:val="673F0D5B"/>
    <w:rsid w:val="675A84C2"/>
    <w:rsid w:val="67C15F89"/>
    <w:rsid w:val="67CD610C"/>
    <w:rsid w:val="68212234"/>
    <w:rsid w:val="68A32AA9"/>
    <w:rsid w:val="6973583F"/>
    <w:rsid w:val="6A1CED46"/>
    <w:rsid w:val="6AA8681E"/>
    <w:rsid w:val="6AD98ABF"/>
    <w:rsid w:val="6AECB699"/>
    <w:rsid w:val="6B5F13C4"/>
    <w:rsid w:val="6B888368"/>
    <w:rsid w:val="6BAB7290"/>
    <w:rsid w:val="6BAC55FA"/>
    <w:rsid w:val="6BB8BDA7"/>
    <w:rsid w:val="6BC0D677"/>
    <w:rsid w:val="6BC51F58"/>
    <w:rsid w:val="6BD3715A"/>
    <w:rsid w:val="6C0D23A0"/>
    <w:rsid w:val="6CAA19FA"/>
    <w:rsid w:val="6D09AFC2"/>
    <w:rsid w:val="6D2A23B4"/>
    <w:rsid w:val="6D53E1DA"/>
    <w:rsid w:val="6D81CE5E"/>
    <w:rsid w:val="6D8F90B1"/>
    <w:rsid w:val="6DC85E06"/>
    <w:rsid w:val="6E561A2D"/>
    <w:rsid w:val="6E776DB3"/>
    <w:rsid w:val="6EE9C512"/>
    <w:rsid w:val="6F82B7AC"/>
    <w:rsid w:val="6FB44F01"/>
    <w:rsid w:val="70B4B380"/>
    <w:rsid w:val="712DA350"/>
    <w:rsid w:val="71E69A32"/>
    <w:rsid w:val="7306BEE6"/>
    <w:rsid w:val="730E4851"/>
    <w:rsid w:val="730E8E67"/>
    <w:rsid w:val="73F93DF2"/>
    <w:rsid w:val="741CCF1B"/>
    <w:rsid w:val="74B9330C"/>
    <w:rsid w:val="74CA8615"/>
    <w:rsid w:val="7557E461"/>
    <w:rsid w:val="756F79F5"/>
    <w:rsid w:val="75A5DC19"/>
    <w:rsid w:val="75A5DC19"/>
    <w:rsid w:val="772D2BEE"/>
    <w:rsid w:val="77A54DBC"/>
    <w:rsid w:val="78C9106D"/>
    <w:rsid w:val="78D56322"/>
    <w:rsid w:val="79463321"/>
    <w:rsid w:val="79C2F2AF"/>
    <w:rsid w:val="79E10E21"/>
    <w:rsid w:val="79F68BA2"/>
    <w:rsid w:val="7B97EA29"/>
    <w:rsid w:val="7BE30F5E"/>
    <w:rsid w:val="7C0D5C19"/>
    <w:rsid w:val="7C2F9071"/>
    <w:rsid w:val="7C523032"/>
    <w:rsid w:val="7C7DE001"/>
    <w:rsid w:val="7CA89785"/>
    <w:rsid w:val="7CCD017B"/>
    <w:rsid w:val="7D55416F"/>
    <w:rsid w:val="7E272F86"/>
    <w:rsid w:val="7E37E6E8"/>
    <w:rsid w:val="7E47B7BC"/>
    <w:rsid w:val="7E65F309"/>
    <w:rsid w:val="7EF28E72"/>
    <w:rsid w:val="7F023EFE"/>
    <w:rsid w:val="7F36A8BB"/>
    <w:rsid w:val="7FF8019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e89dd8e34e1b40a6" Type="http://schemas.openxmlformats.org/officeDocument/2006/relationships/hyperlink" Target="https://pje.tjdft.jus.br/pje/seam/resource/rest/pje-legacy/documento/download/286759174#" TargetMode="External"/><Relationship Id="R47fcc248bff943fe" Type="http://schemas.openxmlformats.org/officeDocument/2006/relationships/hyperlink" Target="https://pje.tjdft.jus.br/pje/seam/resource/rest/pje-legacy/documento/download/TJDFT/1g/5043786/283310910" TargetMode="External"/><Relationship Id="Rbbf9d9b723b345e5" Type="http://schemas.openxmlformats.org/officeDocument/2006/relationships/hyperlink" Target="https://pje.tjdft.jus.br/pje/seam/resource/rest/pje-legacy/documento/download/TJDFT/1g/5043786/285630916" TargetMode="External"/><Relationship Id="Rf98bd10ca506431b" Type="http://schemas.openxmlformats.org/officeDocument/2006/relationships/hyperlink" Target="https://pje.tjdft.jus.br/pje/seam/resource/rest/pje-legacy/documento/download/TJDFT/1g/5043786/283310910" TargetMode="External"/><Relationship Id="R12ca7539c4c64d24" Type="http://schemas.openxmlformats.org/officeDocument/2006/relationships/hyperlink" Target="https://pje.tjdft.jus.br/pje/seam/resource/rest/pje-legacy/documento/download/TJDFT/1g/5043786/285630916" TargetMode="External"/><Relationship Id="Rf62c4e79b66e487c" Type="http://schemas.openxmlformats.org/officeDocument/2006/relationships/hyperlink" Target="https://pje.tjdft.jus.br/pje/seam/resource/rest/pje-legacy/documento/download/TJDFT/1g/5043786/283310910" TargetMode="External"/><Relationship Id="R7bc79006c28c491e" Type="http://schemas.openxmlformats.org/officeDocument/2006/relationships/hyperlink" Target="https://pje.tjdft.jus.br/pje/seam/resource/rest/pje-legacy/documento/download/TJDFT/1g/5043786/285630930" TargetMode="External"/><Relationship Id="R210c3ff7501e4303" Type="http://schemas.openxmlformats.org/officeDocument/2006/relationships/hyperlink" Target="https://pje.tjdft.jus.br/pje/seam/resource/rest/pje-legacy/documento/download/TJDFT/1g/5043786/285630929" TargetMode="External"/><Relationship Id="R1992f6d1be7b4a0a" Type="http://schemas.openxmlformats.org/officeDocument/2006/relationships/hyperlink" Target="https://pje.tjdft.jus.br/pje/seam/resource/rest/pje-legacy/documento/download/TJDFT/1g/5043786/285630921" TargetMode="External"/><Relationship Id="Rd86c4822f998498e" Type="http://schemas.openxmlformats.org/officeDocument/2006/relationships/hyperlink" Target="https://pje.tjdft.jus.br/pje/seam/resource/rest/pje-legacy/documento/download/TJDFT/1g/5043786/285630923" TargetMode="External"/><Relationship Id="R8270d31f7ea84400" Type="http://schemas.openxmlformats.org/officeDocument/2006/relationships/hyperlink" Target="https://pje.tjdft.jus.br/pje/seam/resource/rest/pje-legacy/documento/download/TJDFT/1g/5043786/285630924" TargetMode="External"/><Relationship Id="Rf8e6a2b0dd8b4ffb" Type="http://schemas.openxmlformats.org/officeDocument/2006/relationships/hyperlink" Target="https://pje.tjdft.jus.br/pje/seam/resource/rest/pje-legacy/documento/download/TJDFT/1g/5043786/285630925" TargetMode="External"/><Relationship Id="Rd095debd3e074bee" Type="http://schemas.openxmlformats.org/officeDocument/2006/relationships/hyperlink" Target="https://pje.tjdft.jus.br/pje/seam/resource/rest/pje-legacy/documento/download/TJDFT/1g/5043786/28331091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xmlns:wp14="http://schemas.microsoft.com/office/word/2010/wordml" w:rsidR="00773803" w:rsidP="00773803" w:rsidRDefault="00773803" w14:paraId="21A1D5B3" wp14:textId="77777777">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xmlns:wp14="http://schemas.microsoft.com/office/word/2010/wordml" w:rsidR="00773803" w:rsidP="00773803" w:rsidRDefault="00773803" w14:paraId="214B1BDF" wp14:textId="77777777">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xmlns:wp14="http://schemas.microsoft.com/office/word/2010/wordml" w:rsidR="00773803" w:rsidP="00773803" w:rsidRDefault="00773803" w14:paraId="675683F6" wp14:textId="77777777">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xmlns:wp14="http://schemas.microsoft.com/office/word/2010/wordml" w:rsidR="00773803" w:rsidP="00773803" w:rsidRDefault="00773803" w14:paraId="79D92E25" wp14:textId="77777777">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77029"/>
    <w:rsid w:val="002F13AB"/>
    <w:rsid w:val="003060EF"/>
    <w:rsid w:val="003D50C8"/>
    <w:rsid w:val="00465A25"/>
    <w:rsid w:val="004756EB"/>
    <w:rsid w:val="004C591E"/>
    <w:rsid w:val="00515AB3"/>
    <w:rsid w:val="00534782"/>
    <w:rsid w:val="005953DB"/>
    <w:rsid w:val="00730800"/>
    <w:rsid w:val="00773803"/>
    <w:rsid w:val="0077693D"/>
    <w:rsid w:val="00816916"/>
    <w:rsid w:val="00855F86"/>
    <w:rsid w:val="008C4978"/>
    <w:rsid w:val="009C5448"/>
    <w:rsid w:val="00AB26AC"/>
    <w:rsid w:val="00AD59B1"/>
    <w:rsid w:val="00B9403F"/>
    <w:rsid w:val="00C34425"/>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Raul Luiz Gonçalves Pamplona - GDSXSR</lastModifiedBy>
  <revision>352</revision>
  <dcterms:created xsi:type="dcterms:W3CDTF">2026-03-09T19:42:00.0000000Z</dcterms:created>
  <dcterms:modified xsi:type="dcterms:W3CDTF">2026-10-13T18:20:41.4199360Z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