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00173733">
        <w:trPr>
          <w:gridAfter w:val="1"/>
          <w:wAfter w:w="219" w:type="dxa"/>
        </w:trPr>
        <w:tc>
          <w:tcPr>
            <w:tcW w:w="2822" w:type="dxa"/>
            <w:hideMark/>
          </w:tcPr>
          <w:p w14:paraId="6DE29C9C"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themeColor="text1" w:themeTint="A6"/>
                <w:sz w:val="20"/>
                <w:szCs w:val="20"/>
              </w:rPr>
              <w:t>Tribunal de Justiça do Distrito Federal e dos Territórios</w:t>
            </w:r>
            <w:r>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4236F7" w:rsidRPr="009F36E1" w14:paraId="506E1C45"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1380D4BD" w14:textId="77777777" w:rsidR="004236F7"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590B43">
                  <w:rPr>
                    <w:rFonts w:ascii="Arial" w:hAnsi="Arial" w:cs="Arial"/>
                    <w:sz w:val="28"/>
                    <w:szCs w:val="28"/>
                  </w:rPr>
                  <w:t>4ª Turma Cível</w:t>
                </w:r>
              </w:sdtContent>
            </w:sdt>
          </w:p>
        </w:tc>
      </w:tr>
      <w:tr w:rsidR="004236F7" w:rsidRPr="009F36E1" w14:paraId="722A4191"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77B2906D" w14:textId="77777777" w:rsidR="004236F7" w:rsidRPr="009F36E1" w:rsidRDefault="004236F7">
            <w:pPr>
              <w:ind w:right="-675"/>
              <w:rPr>
                <w:rFonts w:ascii="Arial" w:hAnsi="Arial" w:cs="Arial"/>
                <w:sz w:val="28"/>
                <w:szCs w:val="28"/>
              </w:rPr>
            </w:pPr>
            <w:commentRangeStart w:id="0"/>
            <w:commentRangeStart w:id="1"/>
            <w:r>
              <w:rPr>
                <w:rFonts w:ascii="Arial" w:hAnsi="Arial" w:cs="Arial"/>
                <w:sz w:val="28"/>
                <w:szCs w:val="28"/>
              </w:rPr>
              <w:t>0738492-43.2026.8.07.0000</w:t>
            </w:r>
            <w:commentRangeEnd w:id="0"/>
            <w:r w:rsidRPr="009F36E1">
              <w:rPr>
                <w:rStyle w:val="Refdecomentrio"/>
                <w:rFonts w:ascii="Arial" w:hAnsi="Arial" w:cs="Arial"/>
                <w:sz w:val="28"/>
                <w:szCs w:val="28"/>
              </w:rPr>
            </w:r>
            <w:commentRangeEnd w:id="1"/>
            <w:r w:rsidR="004612A9" w:rsidRPr="009F36E1">
              <w:rPr>
                <w:rStyle w:val="Refdecomentrio"/>
                <w:rFonts w:ascii="Arial" w:hAnsi="Arial" w:cs="Arial"/>
                <w:sz w:val="28"/>
                <w:szCs w:val="28"/>
              </w:rPr>
            </w:r>
          </w:p>
        </w:tc>
      </w:tr>
      <w:tr w:rsidR="004236F7" w:rsidRPr="009F36E1" w14:paraId="4B19599A"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590B43">
                  <w:rPr>
                    <w:rFonts w:ascii="Arial" w:eastAsia="Times New Roman" w:hAnsi="Arial" w:cs="Arial"/>
                    <w:sz w:val="28"/>
                    <w:szCs w:val="28"/>
                    <w:lang w:eastAsia="zh-CN"/>
                  </w:rPr>
                  <w:t>Agravante</w:t>
                </w:r>
              </w:sdtContent>
            </w:sdt>
            <w:r w:rsidR="00590B43">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30B7F23" w14:textId="280B1EB7" w:rsidR="004236F7" w:rsidRPr="009F36E1" w:rsidRDefault="00CB4353">
            <w:pPr>
              <w:rPr>
                <w:rFonts w:ascii="Arial" w:hAnsi="Arial" w:cs="Arial"/>
                <w:sz w:val="28"/>
                <w:szCs w:val="28"/>
              </w:rPr>
            </w:pPr>
            <w:r w:rsidRPr="00CB4353">
              <w:rPr>
                <w:rFonts w:ascii="Arial" w:hAnsi="Arial" w:cs="Arial"/>
                <w:sz w:val="28"/>
                <w:szCs w:val="28"/>
              </w:rPr>
              <w:t>DISTRITO FEDERAL</w:t>
            </w:r>
          </w:p>
        </w:tc>
      </w:tr>
      <w:tr w:rsidR="004236F7" w:rsidRPr="009F36E1" w14:paraId="01956A99"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000000">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590B43">
                  <w:rPr>
                    <w:rFonts w:ascii="Arial" w:eastAsia="Times New Roman" w:hAnsi="Arial" w:cs="Arial"/>
                    <w:sz w:val="28"/>
                    <w:szCs w:val="28"/>
                    <w:lang w:eastAsia="zh-CN"/>
                  </w:rPr>
                  <w:t>Agravado</w:t>
                </w:r>
              </w:sdtContent>
            </w:sdt>
            <w:r w:rsidR="00590B43">
              <w:rPr>
                <w:rFonts w:ascii="Arial" w:hAnsi="Arial" w:cs="Arial"/>
                <w:sz w:val="28"/>
                <w:szCs w:val="28"/>
              </w:rPr>
              <w:t xml:space="preserve"> (a)(s)</w:t>
            </w:r>
          </w:p>
        </w:tc>
        <w:tc>
          <w:tcPr>
            <w:tcW w:w="447" w:type="dxa"/>
            <w:vAlign w:val="center"/>
          </w:tcPr>
          <w:p w14:paraId="5EDA038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CC5F6AE" w14:textId="0EEE0F78" w:rsidR="004236F7" w:rsidRPr="009F36E1" w:rsidRDefault="00CB4353">
            <w:pPr>
              <w:ind w:right="-74"/>
              <w:rPr>
                <w:rFonts w:ascii="Arial" w:hAnsi="Arial" w:cs="Arial"/>
                <w:sz w:val="28"/>
                <w:szCs w:val="28"/>
              </w:rPr>
            </w:pPr>
            <w:r w:rsidRPr="00CB4353">
              <w:rPr>
                <w:rFonts w:ascii="Arial" w:hAnsi="Arial" w:cs="Arial"/>
                <w:sz w:val="28"/>
                <w:szCs w:val="28"/>
              </w:rPr>
              <w:t>GRAZIELLA SANTOS SILVA</w:t>
            </w:r>
          </w:p>
        </w:tc>
      </w:tr>
      <w:tr w:rsidR="004236F7" w:rsidRPr="009F36E1" w14:paraId="04C2C9E0"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Pr>
                <w:rFonts w:ascii="Arial" w:hAnsi="Arial" w:cs="Arial"/>
                <w:b/>
                <w:bCs/>
                <w:sz w:val="28"/>
                <w:szCs w:val="28"/>
              </w:rPr>
              <w:t>Des. Sérgio Rocha</w:t>
            </w:r>
          </w:p>
        </w:tc>
      </w:tr>
    </w:tbl>
    <w:p>
      <w:pPr>
        <w:spacing w:line="360" w:lineRule="auto" w:after="0" w:before="0"/>
        <w:jc w:val="left"/>
      </w:pPr>
      <w:commentRangeStart w:id="0"/>
      <w:r>
        <w:rPr>
          <w:rFonts w:ascii="Arial" w:hAnsi="Arial" w:cs="Arial"/>
          <w:b/>
          <w:i w:val="0"/>
          <w:sz w:val="28"/>
        </w:rPr>
        <w:t>EMENTA</w:t>
      </w:r>
      <w:commentRangeEnd w:id="0"/>
      <w:r>
        <w:rPr>
          <w:rStyle w:val="CommentReference"/>
        </w:rPr>
        <w:commentReference w:id="0"/>
      </w:r>
    </w:p>
    <w:p>
      <w:pPr>
        <w:spacing w:line="360" w:lineRule="auto" w:after="0" w:before="0"/>
        <w:jc w:val="both"/>
      </w:pPr>
      <w:r>
        <w:rPr>
          <w:rFonts w:ascii="Arial" w:hAnsi="Arial" w:cs="Arial"/>
          <w:b w:val="0"/>
          <w:i w:val="0"/>
          <w:sz w:val="28"/>
        </w:rPr>
        <w:t>AGRAVO DE INSTRUMENTO. DIREITO PROCESSUAL CIVIL. CUMPRIMENTO INDIVIDUAL DE SENTENÇA DE AÇÃO COLETIVA CONTRA A FAZENDA PÚBLICA. IMPUGNAÇÃO AOS CÁLCULOS. PARÂMETROS DE ATUALIZAÇÃO FIXADOS EM DECISÃO PRECLUSA. TAXA SELIC. INCIDÊNCIA SOBRE O VALOR CONSOLIDADO. RESOLUÇÃO CNJ Nº 303/2019. ANATOCISMO. INOCORRÊNCIA. RECURSO NÃO PROVIDO.</w:t>
      </w:r>
    </w:p>
    <w:p>
      <w:pPr>
        <w:spacing w:line="360" w:lineRule="auto" w:after="0" w:before="0"/>
        <w:jc w:val="both"/>
      </w:pPr>
      <w:r>
        <w:rPr>
          <w:rFonts w:ascii="Arial" w:hAnsi="Arial" w:cs="Arial"/>
          <w:b/>
          <w:i w:val="0"/>
          <w:sz w:val="28"/>
        </w:rPr>
        <w:t>I. Caso em exame</w:t>
      </w:r>
    </w:p>
    <w:p>
      <w:pPr>
        <w:spacing w:line="360" w:lineRule="auto" w:after="0" w:before="0"/>
        <w:jc w:val="both"/>
      </w:pPr>
      <w:r>
        <w:rPr>
          <w:rFonts w:ascii="Arial" w:hAnsi="Arial" w:cs="Arial"/>
          <w:b w:val="0"/>
          <w:i w:val="0"/>
          <w:sz w:val="28"/>
        </w:rPr>
        <w:t>1. Cumprimento individual de sentença de ações coletivas proposto por pessoa natural, exequente, contra o Distrito Federal, executado, visando ao pagamento de diferenças remuneratórias reconhecidas na ação coletiva nº 0707454-03.2019.8.07.0018 (R$ 6.446,55).</w:t>
      </w:r>
    </w:p>
    <w:p>
      <w:pPr>
        <w:spacing w:line="360" w:lineRule="auto" w:after="0" w:before="0"/>
        <w:jc w:val="both"/>
      </w:pPr>
      <w:r>
        <w:rPr>
          <w:rFonts w:ascii="Arial" w:hAnsi="Arial" w:cs="Arial"/>
          <w:b w:val="0"/>
          <w:i w:val="0"/>
          <w:sz w:val="28"/>
        </w:rPr>
        <w:t>2. A decisão agravada rejeitou a impugnação do Distrito Federal, homologou o valor apurado pela Contadoria Judicial (R$ 6.446,55) e determinou a expedição dos requisitórios de pagamento.</w:t>
      </w:r>
    </w:p>
    <w:p>
      <w:pPr>
        <w:spacing w:line="360" w:lineRule="auto" w:after="0" w:before="0"/>
        <w:jc w:val="both"/>
      </w:pPr>
      <w:r>
        <w:rPr>
          <w:rFonts w:ascii="Arial" w:hAnsi="Arial" w:cs="Arial"/>
          <w:b w:val="0"/>
          <w:i w:val="0"/>
          <w:sz w:val="28"/>
        </w:rPr>
        <w:t>3. O executado agrava requerendo o reconhecimento de excesso de execução, com a incidência da taxa SELIC apenas sobre o principal corrigido monetariamente, a homologação dos seus cálculos e a condenação do exequente em honorários sucumbenciais.</w:t>
      </w:r>
    </w:p>
    <w:p>
      <w:pPr>
        <w:spacing w:line="360" w:lineRule="auto" w:after="0" w:before="0"/>
        <w:jc w:val="both"/>
      </w:pPr>
      <w:r>
        <w:rPr>
          <w:rFonts w:ascii="Arial" w:hAnsi="Arial" w:cs="Arial"/>
          <w:b/>
          <w:i w:val="0"/>
          <w:sz w:val="28"/>
        </w:rPr>
        <w:t>II. Questão em discussão</w:t>
      </w:r>
    </w:p>
    <w:p>
      <w:pPr>
        <w:spacing w:line="360" w:lineRule="auto" w:after="0" w:before="0"/>
        <w:jc w:val="both"/>
      </w:pPr>
      <w:r>
        <w:rPr>
          <w:rFonts w:ascii="Arial" w:hAnsi="Arial" w:cs="Arial"/>
          <w:b w:val="0"/>
          <w:i w:val="0"/>
          <w:sz w:val="28"/>
        </w:rPr>
        <w:t>4. Há uma questão em discussão: saber se a incidência da taxa SELIC sobre o crédito consolidado (principal, correção monetária e juros) configura anatocismo e excesso de execução.</w:t>
      </w:r>
    </w:p>
    <w:p>
      <w:pPr>
        <w:spacing w:line="360" w:lineRule="auto" w:after="0" w:before="0"/>
        <w:jc w:val="both"/>
      </w:pPr>
      <w:r>
        <w:rPr>
          <w:rFonts w:ascii="Arial" w:hAnsi="Arial" w:cs="Arial"/>
          <w:b/>
          <w:i w:val="0"/>
          <w:sz w:val="28"/>
        </w:rPr>
        <w:t>III. Razões de decidir</w:t>
      </w:r>
    </w:p>
    <w:p>
      <w:pPr>
        <w:spacing w:line="360" w:lineRule="auto" w:after="0" w:before="0"/>
        <w:jc w:val="both"/>
      </w:pPr>
      <w:r>
        <w:rPr>
          <w:rFonts w:ascii="Arial" w:hAnsi="Arial" w:cs="Arial"/>
          <w:b w:val="0"/>
          <w:i w:val="0"/>
          <w:sz w:val="28"/>
        </w:rPr>
        <w:t>5. Os parâmetros de cálculo fixados em decisão da qual não se recorreu estão preclusos e não podem ser rediscutidos em impugnação ao cumprimento de sentença (CPC 507).</w:t>
      </w:r>
    </w:p>
    <w:p>
      <w:pPr>
        <w:spacing w:line="360" w:lineRule="auto" w:after="0" w:before="0"/>
        <w:jc w:val="both"/>
      </w:pPr>
      <w:r>
        <w:rPr>
          <w:rFonts w:ascii="Arial" w:hAnsi="Arial" w:cs="Arial"/>
          <w:b w:val="0"/>
          <w:i w:val="0"/>
          <w:sz w:val="28"/>
        </w:rPr>
        <w:t>6. No caso, a decisão que fixou a base de cálculo e os índices de atualização do crédito transitou em julgado sem recurso, e a Contadoria Judicial observou integralmente esses parâmetros (ID 281293742, do processo de origem).</w:t>
      </w:r>
    </w:p>
    <w:p>
      <w:pPr>
        <w:spacing w:line="360" w:lineRule="auto" w:after="0" w:before="0"/>
        <w:jc w:val="both"/>
      </w:pPr>
      <w:r>
        <w:rPr>
          <w:rFonts w:ascii="Arial" w:hAnsi="Arial" w:cs="Arial"/>
          <w:b w:val="0"/>
          <w:i w:val="0"/>
          <w:sz w:val="28"/>
        </w:rPr>
        <w:t>7. A partir de dezembro de 2021, a taxa SELIC incide sobre o valor consolidado, correspondente ao crédito principal atualizado monetariamente até novembro de 2021 e aos juros de mora (Resolução CNJ 303/2019 art. 22 § 1º).</w:t>
      </w:r>
    </w:p>
    <w:p>
      <w:pPr>
        <w:spacing w:line="360" w:lineRule="auto" w:after="0" w:before="0"/>
        <w:jc w:val="both"/>
      </w:pPr>
      <w:r>
        <w:rPr>
          <w:rFonts w:ascii="Arial" w:hAnsi="Arial" w:cs="Arial"/>
          <w:b w:val="0"/>
          <w:i w:val="0"/>
          <w:sz w:val="28"/>
        </w:rPr>
        <w:t>8. A incidência da SELIC sobre o valor consolidado é sucessão de índices, e não dupla incidência sobre um mesmo período, o que afasta o anatocismo e o excesso de execução.</w:t>
      </w:r>
    </w:p>
    <w:p>
      <w:pPr>
        <w:spacing w:line="360" w:lineRule="auto" w:after="0" w:before="0"/>
        <w:jc w:val="both"/>
      </w:pPr>
      <w:r>
        <w:rPr>
          <w:rFonts w:ascii="Arial" w:hAnsi="Arial" w:cs="Arial"/>
          <w:b/>
          <w:i w:val="0"/>
          <w:sz w:val="28"/>
        </w:rPr>
        <w:t>IV. Dispositivo</w:t>
      </w:r>
    </w:p>
    <w:p>
      <w:pPr>
        <w:spacing w:line="360" w:lineRule="auto" w:after="0" w:before="0"/>
        <w:jc w:val="both"/>
      </w:pPr>
      <w:r>
        <w:rPr>
          <w:rFonts w:ascii="Arial" w:hAnsi="Arial" w:cs="Arial"/>
          <w:b w:val="0"/>
          <w:i w:val="0"/>
          <w:sz w:val="28"/>
        </w:rPr>
        <w:t>9. Negou-se provimento ao agravo de instrumento do executado, Distrito Federal.</w:t>
      </w:r>
    </w:p>
    <w:p>
      <w:pPr>
        <w:spacing w:line="360" w:lineRule="auto" w:after="0" w:before="0"/>
        <w:jc w:val="both"/>
      </w:pPr>
      <w:r>
        <w:rPr>
          <w:rFonts w:ascii="Arial" w:hAnsi="Arial" w:cs="Arial"/>
          <w:b w:val="0"/>
          <w:i w:val="0"/>
          <w:sz w:val="28"/>
          <w:u w:val="single"/>
        </w:rPr>
        <w:t>_</w:t>
      </w:r>
    </w:p>
    <w:p>
      <w:pPr>
        <w:spacing w:line="360" w:lineRule="auto" w:after="0" w:before="0"/>
        <w:jc w:val="both"/>
      </w:pPr>
      <w:commentRangeStart w:id="1"/>
      <w:r>
        <w:rPr>
          <w:rFonts w:ascii="Arial" w:hAnsi="Arial" w:cs="Arial"/>
          <w:b w:val="0"/>
          <w:i/>
          <w:sz w:val="28"/>
        </w:rPr>
        <w:t>Dispositivos relevantes citados:</w:t>
      </w:r>
      <w:r>
        <w:rPr>
          <w:rFonts w:ascii="Arial" w:hAnsi="Arial" w:cs="Arial"/>
          <w:b w:val="0"/>
          <w:i w:val="0"/>
          <w:sz w:val="28"/>
        </w:rPr>
        <w:t xml:space="preserve"> CPC, art. 507; Resolução CNJ nº 303/2019, art. 22, § 1º (redação da Resolução CNJ nº 482/2022).</w:t>
      </w:r>
      <w:commentRangeEnd w:id="1"/>
      <w:r>
        <w:rPr>
          <w:rStyle w:val="CommentReference"/>
        </w:rPr>
        <w:commentReference w:id="1"/>
      </w:r>
    </w:p>
    <w:p>
      <w:pPr>
        <w:spacing w:line="360" w:lineRule="auto" w:after="0" w:before="0"/>
        <w:jc w:val="both"/>
      </w:pPr>
      <w:commentRangeStart w:id="2"/>
      <w:r>
        <w:rPr>
          <w:rFonts w:ascii="Arial" w:hAnsi="Arial" w:cs="Arial"/>
          <w:b w:val="0"/>
          <w:i/>
          <w:sz w:val="28"/>
        </w:rPr>
        <w:t>Jurisprudência relevante citada:</w:t>
      </w:r>
      <w:r>
        <w:rPr>
          <w:rFonts w:ascii="Arial" w:hAnsi="Arial" w:cs="Arial"/>
          <w:b w:val="0"/>
          <w:i w:val="0"/>
          <w:sz w:val="28"/>
        </w:rPr>
        <w:t xml:space="preserve"> Acórdão 2159763, Processo nº 0700209-48.2026.8.07.0000, Rel. Des. Aiston Henrique de Sousa, 4ª Turma Cível, j. 29/07/2026, DJe 20/08/2026.</w:t>
      </w:r>
      <w:commentRangeEnd w:id="2"/>
      <w:r>
        <w:rPr>
          <w:rStyle w:val="CommentReference"/>
        </w:rPr>
        <w:commentReference w:id="2"/>
      </w:r>
    </w:p>
    <w:p>
      <w:pPr>
        <w:spacing w:line="360" w:lineRule="auto" w:after="0"/>
        <w:ind w:firstLine="2268"/>
      </w:pPr>
      <w:r>
        <w:rPr>
          <w:sz w:val="28"/>
        </w:rPr>
      </w:r>
    </w:p>
    <w:p>
      <w:pPr>
        <w:spacing w:line="360" w:lineRule="auto" w:after="0"/>
        <w:ind w:firstLine="2268"/>
      </w:pPr>
      <w:r>
        <w:rPr>
          <w:sz w:val="28"/>
        </w:rPr>
      </w:r>
    </w:p>
    <w:p>
      <w:pPr>
        <w:spacing w:line="360" w:lineRule="auto" w:after="0" w:before="0"/>
        <w:jc w:val="both"/>
      </w:pPr>
      <w:r>
        <w:rPr>
          <w:rFonts w:ascii="Arial" w:hAnsi="Arial" w:cs="Arial"/>
          <w:b/>
          <w:i w:val="0"/>
          <w:color w:val="EE0000"/>
          <w:sz w:val="28"/>
          <w:highlight w:val="yellow"/>
        </w:rPr>
        <w:t>RESUMO DO AGRAVO DE INSTRUMENTO</w:t>
      </w:r>
    </w:p>
    <w:p>
      <w:pPr>
        <w:spacing w:line="360" w:lineRule="auto" w:after="0" w:before="0"/>
        <w:jc w:val="both"/>
      </w:pPr>
      <w:r>
        <w:rPr>
          <w:rFonts w:ascii="Arial" w:hAnsi="Arial" w:cs="Arial"/>
          <w:b/>
          <w:i w:val="0"/>
          <w:color w:val="EE0000"/>
          <w:sz w:val="28"/>
        </w:rPr>
        <w:t>I. RAZÕES RECURSAIS</w:t>
      </w:r>
    </w:p>
    <w:p>
      <w:pPr>
        <w:spacing w:line="360" w:lineRule="auto" w:after="0" w:before="0"/>
        <w:jc w:val="both"/>
      </w:pPr>
      <w:r>
        <w:rPr>
          <w:rFonts w:ascii="Arial" w:hAnsi="Arial" w:cs="Arial"/>
          <w:b/>
          <w:i w:val="0"/>
          <w:color w:val="EE0000"/>
          <w:sz w:val="28"/>
        </w:rPr>
        <w:t>Anatocismo na incidência da SELIC sobre o crédito consolidado</w:t>
      </w:r>
    </w:p>
    <w:p>
      <w:pPr>
        <w:spacing w:line="360" w:lineRule="auto" w:after="0" w:before="0"/>
        <w:ind w:hanging="357" w:left="720"/>
        <w:jc w:val="both"/>
      </w:pPr>
      <w:r>
        <w:rPr>
          <w:rFonts w:ascii="Arial" w:hAnsi="Arial" w:cs="Arial"/>
          <w:b w:val="0"/>
          <w:i w:val="0"/>
          <w:color w:val="EE0000"/>
          <w:sz w:val="28"/>
        </w:rPr>
        <w:t>1. Sustenta que a SELIC, por ser índice composto que serve como indexador de correção monetária e de juros de mora, não pode incidir sobre juros, pois a incidência cumulada com os juros do crédito consolidado repete juros sobre um mesmo débito e majora indevidamente os valores (ID 88458906).</w:t>
      </w:r>
    </w:p>
    <w:p>
      <w:pPr>
        <w:spacing w:line="360" w:lineRule="auto" w:after="0" w:before="0"/>
        <w:jc w:val="both"/>
      </w:pPr>
      <w:r>
        <w:rPr>
          <w:rFonts w:ascii="Arial" w:hAnsi="Arial" w:cs="Arial"/>
          <w:b/>
          <w:i w:val="0"/>
          <w:color w:val="EE0000"/>
          <w:sz w:val="28"/>
        </w:rPr>
        <w:t>Jurisprudência do TJDFT</w:t>
      </w:r>
    </w:p>
    <w:p>
      <w:pPr>
        <w:spacing w:line="360" w:lineRule="auto" w:after="0" w:before="0"/>
        <w:ind w:hanging="357" w:left="720"/>
        <w:jc w:val="both"/>
      </w:pPr>
      <w:r>
        <w:rPr>
          <w:rFonts w:ascii="Arial" w:hAnsi="Arial" w:cs="Arial"/>
          <w:b w:val="0"/>
          <w:i w:val="0"/>
          <w:color w:val="EE0000"/>
          <w:sz w:val="28"/>
        </w:rPr>
        <w:t>2. Invoca os Acórdãos 1749721, 1737534 e 1343741, que reconhecem que o cálculo deve evitar a incidência da SELIC sobre o montante total apurado até 08/12/2021 e a cobrança de juros sobre juros.</w:t>
      </w:r>
    </w:p>
    <w:p>
      <w:pPr>
        <w:spacing w:line="360" w:lineRule="auto" w:after="0" w:before="0"/>
        <w:jc w:val="both"/>
      </w:pPr>
      <w:r>
        <w:rPr>
          <w:rFonts w:ascii="Arial" w:hAnsi="Arial" w:cs="Arial"/>
          <w:b/>
          <w:i w:val="0"/>
          <w:color w:val="EE0000"/>
          <w:sz w:val="28"/>
        </w:rPr>
        <w:t>Efeito suspensivo</w:t>
      </w:r>
    </w:p>
    <w:p>
      <w:pPr>
        <w:spacing w:line="360" w:lineRule="auto" w:after="0" w:before="0"/>
        <w:ind w:hanging="357" w:left="720"/>
        <w:jc w:val="both"/>
      </w:pPr>
      <w:r>
        <w:rPr>
          <w:rFonts w:ascii="Arial" w:hAnsi="Arial" w:cs="Arial"/>
          <w:b w:val="0"/>
          <w:i w:val="0"/>
          <w:color w:val="EE0000"/>
          <w:sz w:val="28"/>
        </w:rPr>
        <w:t>3. Alega que a plausibilidade do direito decorre das razões do recurso e que o prosseguimento do cumprimento de sentença com critérios incorretos pode levar à expedição de precatório.</w:t>
      </w:r>
    </w:p>
    <w:p>
      <w:pPr>
        <w:spacing w:line="360" w:lineRule="auto" w:after="0" w:before="0"/>
        <w:jc w:val="both"/>
      </w:pPr>
      <w:r>
        <w:rPr>
          <w:rFonts w:ascii="Arial" w:hAnsi="Arial" w:cs="Arial"/>
          <w:b/>
          <w:i w:val="0"/>
          <w:color w:val="EE0000"/>
          <w:sz w:val="28"/>
        </w:rPr>
        <w:t>II. PEDIDO</w:t>
      </w:r>
    </w:p>
    <w:p>
      <w:pPr>
        <w:spacing w:line="360" w:lineRule="auto" w:after="0" w:before="0"/>
        <w:ind w:hanging="357" w:left="720"/>
        <w:jc w:val="both"/>
      </w:pPr>
      <w:r>
        <w:rPr>
          <w:rFonts w:ascii="Arial" w:hAnsi="Arial" w:cs="Arial"/>
          <w:b w:val="0"/>
          <w:i w:val="0"/>
          <w:color w:val="EE0000"/>
          <w:sz w:val="28"/>
        </w:rPr>
        <w:t>Requer o efeito suspensivo, o provimento do recurso para reconhecer o excesso de execução e homologar os cálculos do ente público e a condenação do exequente em honorários sucumbenciais decorrentes do acolhimento da impugnação ao cumprimento de sentença.</w:t>
      </w:r>
    </w:p>
    <w:p>
      <w:pPr>
        <w:pageBreakBefore/>
        <w:spacing w:line="360" w:lineRule="auto" w:after="0" w:before="0"/>
        <w:jc w:val="center"/>
      </w:pPr>
      <w:r>
        <w:rPr>
          <w:rFonts w:ascii="Arial" w:hAnsi="Arial" w:cs="Arial"/>
          <w:b/>
          <w:i w:val="0"/>
          <w:sz w:val="28"/>
        </w:rPr>
        <w:t>RELATÓRIO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Adoto o relatório da liminar (ID 88768660):</w:t>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“Trata-se de cumprimento individual de sentença de ações coletivas instaurado por Graziella Santos Silva em face do Distrito Federal, tendo por objeto a satisfação de crédito decorrente de diferenças remuneratórias reconhecidas em favor da parte exequente nos autos nº 0707454-03.2019.8.07.0018 (R$ 6.446,55).</w:t>
      </w:r>
    </w:p>
    <w:p>
      <w:pPr>
        <w:spacing w:line="360" w:lineRule="auto" w:after="0" w:before="0"/>
        <w:ind w:firstLine="1134" w:left="2268"/>
        <w:jc w:val="both"/>
      </w:pPr>
      <w:r>
        <w:rPr>
          <w:rFonts w:ascii="Arial" w:hAnsi="Arial" w:cs="Arial"/>
          <w:b w:val="0"/>
          <w:i/>
          <w:sz w:val="26"/>
        </w:rPr>
        <w:t>O Juízo de origem rejeitou a impugnação aos cálculos apresentada pelo Distrito Federal, homologou o valor apurado pela Contadoria Judicial (R$ 6.446,55) e determinou a expedição dos requisitórios de pagamento.</w:t>
      </w:r>
    </w:p>
    <w:p>
      <w:pPr>
        <w:spacing w:line="360" w:lineRule="auto" w:after="0" w:before="0"/>
        <w:ind w:firstLine="1134" w:left="2268"/>
        <w:jc w:val="both"/>
      </w:pPr>
      <w:r>
        <w:rPr>
          <w:rFonts w:ascii="Arial" w:hAnsi="Arial" w:cs="Arial"/>
          <w:b w:val="0"/>
          <w:i/>
          <w:sz w:val="26"/>
        </w:rPr>
        <w:t>Consignou que a decisão de ID 257764443, processo de origem, que fixou as obrigações, a base de cálculo e os índices de atualização do crédito, transitou em julgado sem interposição de recurso, estando preclusa a matéria nela decidida.</w:t>
      </w:r>
    </w:p>
    <w:p>
      <w:pPr>
        <w:spacing w:line="360" w:lineRule="auto" w:after="0" w:before="0"/>
        <w:ind w:firstLine="1134" w:left="2268"/>
        <w:jc w:val="both"/>
      </w:pPr>
      <w:r>
        <w:rPr>
          <w:rFonts w:ascii="Arial" w:hAnsi="Arial" w:cs="Arial"/>
          <w:b w:val="0"/>
          <w:i/>
          <w:sz w:val="26"/>
        </w:rPr>
        <w:t>Esclareceu, ainda, que a Contadoria Judicial observou integralmente os parâmetros fixados na decisão preclusa, de modo que as razões deduzidas na impugnação configuram mera discordância da parte executada em relação ao que já fora decidido, e não erro de cálculo (ID 281293742, processo de origem).</w:t>
      </w:r>
    </w:p>
    <w:p>
      <w:pPr>
        <w:spacing w:line="360" w:lineRule="auto" w:after="0" w:before="0"/>
        <w:ind w:firstLine="1134" w:left="2268"/>
        <w:jc w:val="both"/>
      </w:pPr>
      <w:r>
        <w:rPr>
          <w:rFonts w:ascii="Arial" w:hAnsi="Arial" w:cs="Arial"/>
          <w:b w:val="0"/>
          <w:i/>
          <w:sz w:val="26"/>
        </w:rPr>
        <w:t xml:space="preserve">Inconformado, o executado/agravante interpõe o presente agravo de instrumento, sustentando, em síntese, que: </w:t>
      </w:r>
      <w:r>
        <w:rPr>
          <w:rFonts w:ascii="Arial" w:hAnsi="Arial" w:cs="Arial"/>
          <w:b/>
          <w:i/>
          <w:sz w:val="26"/>
        </w:rPr>
        <w:t>1)</w:t>
      </w:r>
      <w:r>
        <w:rPr>
          <w:rFonts w:ascii="Arial" w:hAnsi="Arial" w:cs="Arial"/>
          <w:b w:val="0"/>
          <w:i/>
          <w:sz w:val="26"/>
        </w:rPr>
        <w:t xml:space="preserve"> a taxa SELIC, por se tratar de índice composto que já engloba correção monetária e juros moratórios, não pode incidir sobre o crédito consolidado (principal, correção monetária e juros), sob pena de configurar anatocismo; </w:t>
      </w:r>
      <w:r>
        <w:rPr>
          <w:rFonts w:ascii="Arial" w:hAnsi="Arial" w:cs="Arial"/>
          <w:b/>
          <w:i/>
          <w:sz w:val="26"/>
        </w:rPr>
        <w:t>2)</w:t>
      </w:r>
      <w:r>
        <w:rPr>
          <w:rFonts w:ascii="Arial" w:hAnsi="Arial" w:cs="Arial"/>
          <w:b w:val="0"/>
          <w:i/>
          <w:sz w:val="26"/>
        </w:rPr>
        <w:t xml:space="preserve"> a incidência cumulada da SELIC com os juros já integrantes do crédito consolidado acarreta indevida majoração dos valores discutidos; e </w:t>
      </w:r>
      <w:r>
        <w:rPr>
          <w:rFonts w:ascii="Arial" w:hAnsi="Arial" w:cs="Arial"/>
          <w:b/>
          <w:i/>
          <w:sz w:val="26"/>
        </w:rPr>
        <w:t>3)</w:t>
      </w:r>
      <w:r>
        <w:rPr>
          <w:rFonts w:ascii="Arial" w:hAnsi="Arial" w:cs="Arial"/>
          <w:b w:val="0"/>
          <w:i/>
          <w:sz w:val="26"/>
        </w:rPr>
        <w:t xml:space="preserve"> a jurisprudência do e. TJDFT reconhece que o cálculo deve evitar a incidência de juros sobre juros e de correção sobre correção, devendo a SELIC incidir apenas sobre o montante já corrigido monetariamente até o termo inicial de sua aplicação.</w:t>
      </w:r>
    </w:p>
    <w:p>
      <w:pPr>
        <w:spacing w:line="360" w:lineRule="auto" w:after="0" w:before="0"/>
        <w:ind w:firstLine="1134" w:left="2268"/>
        <w:jc w:val="both"/>
      </w:pPr>
      <w:r>
        <w:rPr>
          <w:rFonts w:ascii="Arial" w:hAnsi="Arial" w:cs="Arial"/>
          <w:b w:val="0"/>
          <w:i/>
          <w:sz w:val="26"/>
        </w:rPr>
        <w:t>Requer a concessão de efeito suspensivo para obstar o prosseguimento do feito originário até o julgamento definitivo do recurso.</w:t>
      </w:r>
    </w:p>
    <w:p>
      <w:pPr>
        <w:spacing w:line="360" w:lineRule="auto" w:after="0" w:before="0"/>
        <w:ind w:firstLine="1134" w:left="2268"/>
        <w:jc w:val="both"/>
      </w:pPr>
      <w:r>
        <w:rPr>
          <w:rFonts w:ascii="Arial" w:hAnsi="Arial" w:cs="Arial"/>
          <w:b w:val="0"/>
          <w:i/>
          <w:sz w:val="26"/>
        </w:rPr>
        <w:t>No mérito, postula o provimento do agravo de instrumento para reconhecer o excesso de execução, homologar os cálculos apresentados pelo ente público e condenar a parte agravada em honorários sucumbenciais decorrentes do acolhimento da impugnação ao cumprimento de sentença.”</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Indeferi o efeito suspensivo (ID 88768660).</w:t>
      </w:r>
    </w:p>
    <w:p>
      <w:pPr>
        <w:spacing w:line="360" w:lineRule="auto" w:after="0"/>
        <w:ind w:firstLine="2268"/>
      </w:pPr>
      <w:r>
        <w:rPr>
          <w:sz w:val="28"/>
        </w:rPr>
      </w:r>
    </w:p>
    <w:p>
      <w:pPr>
        <w:spacing w:line="360" w:lineRule="auto" w:after="0" w:before="0"/>
        <w:ind w:firstLine="2268"/>
        <w:jc w:val="both"/>
      </w:pPr>
      <w:commentRangeStart w:id="3"/>
      <w:r>
        <w:rPr>
          <w:rFonts w:ascii="Arial" w:hAnsi="Arial" w:cs="Arial"/>
          <w:b w:val="0"/>
          <w:i w:val="0"/>
          <w:sz w:val="28"/>
        </w:rPr>
        <w:t>Sem contrarrazões.</w:t>
      </w:r>
      <w:commentRangeEnd w:id="3"/>
      <w:r>
        <w:rPr>
          <w:rStyle w:val="CommentReference"/>
        </w:rPr>
        <w:commentReference w:id="3"/>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É o relatório.</w:t>
      </w:r>
    </w:p>
    <w:p>
      <w:pPr>
        <w:spacing w:line="360" w:lineRule="auto" w:after="0"/>
        <w:ind w:firstLine="2268"/>
      </w:pPr>
      <w:r>
        <w:rPr>
          <w:sz w:val="28"/>
        </w:rPr>
      </w:r>
    </w:p>
    <w:p>
      <w:pPr>
        <w:pageBreakBefore/>
        <w:spacing w:line="360" w:lineRule="auto" w:after="0" w:before="0"/>
        <w:jc w:val="center"/>
      </w:pPr>
      <w:r>
        <w:rPr>
          <w:rFonts w:ascii="Arial" w:hAnsi="Arial" w:cs="Arial"/>
          <w:b/>
          <w:i w:val="0"/>
          <w:sz w:val="28"/>
        </w:rPr>
        <w:t>VOTO</w:t>
      </w:r>
    </w:p>
    <w:p>
      <w:pPr>
        <w:spacing w:line="360" w:lineRule="auto" w:after="0"/>
        <w:ind w:firstLine="2268"/>
      </w:pPr>
      <w:r>
        <w:rPr>
          <w:sz w:val="28"/>
        </w:rPr>
      </w:r>
    </w:p>
    <w:p>
      <w:pPr>
        <w:spacing w:line="360" w:lineRule="auto" w:after="0" w:before="0"/>
        <w:jc w:val="both"/>
      </w:pPr>
      <w:r>
        <w:rPr>
          <w:rFonts w:ascii="Arial" w:hAnsi="Arial" w:cs="Arial"/>
          <w:b/>
          <w:i w:val="0"/>
          <w:sz w:val="28"/>
        </w:rPr>
        <w:t>O Senhor Desembargador SÉRGIO ROCHA – Relator.</w:t>
      </w:r>
    </w:p>
    <w:p>
      <w:pPr>
        <w:spacing w:line="360" w:lineRule="auto" w:after="0"/>
        <w:ind w:firstLine="2268"/>
      </w:pPr>
      <w:r>
        <w:rPr>
          <w:sz w:val="28"/>
        </w:rPr>
      </w:r>
    </w:p>
    <w:p>
      <w:pPr>
        <w:spacing w:line="360" w:lineRule="auto" w:after="0" w:before="0"/>
        <w:jc w:val="center"/>
      </w:pPr>
      <w:r>
        <w:rPr>
          <w:rFonts w:ascii="Arial" w:hAnsi="Arial" w:cs="Arial"/>
          <w:b/>
          <w:i w:val="0"/>
          <w:sz w:val="28"/>
        </w:rPr>
        <w:t>AGRAVO DE INSTRUMENTO DO EXECUTADO, DISTRITO FEDERAL</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Presentes os pressupostos de admissibilidade, conheço do agravo de instrumento.</w:t>
      </w:r>
    </w:p>
    <w:p>
      <w:pPr>
        <w:spacing w:line="360" w:lineRule="auto" w:after="0"/>
        <w:ind w:firstLine="2268"/>
      </w:pPr>
      <w:r>
        <w:rPr>
          <w:sz w:val="28"/>
        </w:rPr>
      </w:r>
    </w:p>
    <w:p>
      <w:pPr>
        <w:spacing w:line="360" w:lineRule="auto" w:after="0" w:before="0"/>
        <w:jc w:val="center"/>
      </w:pPr>
      <w:commentRangeStart w:id="4"/>
      <w:r>
        <w:rPr>
          <w:rFonts w:ascii="Arial" w:hAnsi="Arial" w:cs="Arial"/>
          <w:b w:val="0"/>
          <w:i w:val="0"/>
          <w:sz w:val="28"/>
          <w:highlight w:val="yellow"/>
        </w:rPr>
        <w:t>DA AUSÊNCIA DE EXCESSO DE EXECUÇÃO NA INCIDÊNCIA DA TAXA SELIC SOBRE O CRÉDITO CONSOLIDADO</w:t>
      </w:r>
      <w:commentRangeEnd w:id="4"/>
      <w:r>
        <w:rPr>
          <w:rStyle w:val="CommentReference"/>
        </w:rPr>
        <w:commentReference w:id="4"/>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O executado/agravante, Distrito Federal, alega que: </w:t>
      </w:r>
      <w:r>
        <w:rPr>
          <w:rFonts w:ascii="Arial" w:hAnsi="Arial" w:cs="Arial"/>
          <w:b/>
          <w:i w:val="0"/>
          <w:sz w:val="28"/>
        </w:rPr>
        <w:t>1)</w:t>
      </w:r>
      <w:r>
        <w:rPr>
          <w:rFonts w:ascii="Arial" w:hAnsi="Arial" w:cs="Arial"/>
          <w:b w:val="0"/>
          <w:i w:val="0"/>
          <w:sz w:val="28"/>
        </w:rPr>
        <w:t xml:space="preserve"> a taxa SELIC, índice composto que já engloba correção monetária e juros de mora, não pode incidir sobre o crédito consolidado (principal, correção monetária e juros), sob pena de anatocismo; </w:t>
      </w:r>
      <w:r>
        <w:rPr>
          <w:rFonts w:ascii="Arial" w:hAnsi="Arial" w:cs="Arial"/>
          <w:b/>
          <w:i w:val="0"/>
          <w:sz w:val="28"/>
        </w:rPr>
        <w:t>2)</w:t>
      </w:r>
      <w:r>
        <w:rPr>
          <w:rFonts w:ascii="Arial" w:hAnsi="Arial" w:cs="Arial"/>
          <w:b w:val="0"/>
          <w:i w:val="0"/>
          <w:sz w:val="28"/>
        </w:rPr>
        <w:t xml:space="preserve"> a incidência cumulada da SELIC com os juros do crédito consolidado majora indevidamente os valores; e </w:t>
      </w:r>
      <w:r>
        <w:rPr>
          <w:rFonts w:ascii="Arial" w:hAnsi="Arial" w:cs="Arial"/>
          <w:b/>
          <w:i w:val="0"/>
          <w:sz w:val="28"/>
        </w:rPr>
        <w:t>3)</w:t>
      </w:r>
      <w:r>
        <w:rPr>
          <w:rFonts w:ascii="Arial" w:hAnsi="Arial" w:cs="Arial"/>
          <w:b w:val="0"/>
          <w:i w:val="0"/>
          <w:sz w:val="28"/>
        </w:rPr>
        <w:t xml:space="preserve"> a jurisprudência do e. TJDFT impõe evitar juros sobre juros e correção sobre correção, de modo que a SELIC incida apenas sobre o montante corrigido monetariamente até o termo inicial de sua aplicação (ID 88458906).</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Requer a reforma da r. decisão agravada para reconhecer o excesso de execução, homologar os cálculos do ente público e condenar o exequente em honorários sucumbenciais.</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highlight w:val="yellow"/>
        </w:rPr>
        <w:t>Sem razão o agravante.</w:t>
      </w:r>
    </w:p>
    <w:p>
      <w:pPr>
        <w:spacing w:line="360" w:lineRule="auto" w:after="0"/>
        <w:ind w:firstLine="2268"/>
      </w:pPr>
      <w:r>
        <w:rPr>
          <w:sz w:val="28"/>
        </w:rPr>
      </w:r>
    </w:p>
    <w:p>
      <w:pPr>
        <w:spacing w:line="360" w:lineRule="auto" w:after="0" w:before="0"/>
        <w:ind w:firstLine="2268"/>
        <w:jc w:val="both"/>
      </w:pPr>
      <w:commentRangeStart w:id="5"/>
      <w:r>
        <w:rPr>
          <w:rFonts w:ascii="Arial" w:hAnsi="Arial" w:cs="Arial"/>
          <w:b w:val="0"/>
          <w:i w:val="0"/>
          <w:sz w:val="28"/>
        </w:rPr>
        <w:t>Mantenho as razões expostas na decisão liminar que indeferiu o efeito suspensivo (ID 88768660):</w:t>
      </w:r>
      <w:commentRangeEnd w:id="5"/>
      <w:r>
        <w:rPr>
          <w:rStyle w:val="CommentReference"/>
        </w:rPr>
        <w:commentReference w:id="5"/>
      </w:r>
    </w:p>
    <w:p>
      <w:pPr>
        <w:spacing w:line="360" w:lineRule="auto" w:after="0"/>
        <w:ind w:firstLine="2268"/>
      </w:pPr>
      <w:r>
        <w:rPr>
          <w:sz w:val="28"/>
        </w:rPr>
      </w:r>
    </w:p>
    <w:p>
      <w:pPr>
        <w:spacing w:line="360" w:lineRule="auto" w:after="0" w:before="0"/>
        <w:ind w:firstLine="1134" w:left="2268"/>
        <w:jc w:val="both"/>
      </w:pPr>
      <w:r>
        <w:rPr>
          <w:rFonts w:ascii="Arial" w:hAnsi="Arial" w:cs="Arial"/>
          <w:b w:val="0"/>
          <w:i/>
          <w:sz w:val="26"/>
        </w:rPr>
        <w:t>“(...) Não vislumbro a probabilidade do direito alegado, ao menos nesta sede de cognição sumária.</w:t>
      </w:r>
    </w:p>
    <w:p>
      <w:pPr>
        <w:spacing w:line="360" w:lineRule="auto" w:after="0" w:before="0"/>
        <w:ind w:firstLine="1134" w:left="2268"/>
        <w:jc w:val="both"/>
      </w:pPr>
      <w:r>
        <w:rPr>
          <w:rFonts w:ascii="Arial" w:hAnsi="Arial" w:cs="Arial"/>
          <w:b w:val="0"/>
          <w:i/>
          <w:sz w:val="26"/>
        </w:rPr>
        <w:t>Conforme constou da r. decisão agravada:</w:t>
      </w:r>
    </w:p>
    <w:p>
      <w:pPr>
        <w:spacing w:line="360" w:lineRule="auto" w:after="0" w:before="0"/>
        <w:ind w:firstLine="0" w:left="3402"/>
        <w:jc w:val="both"/>
      </w:pPr>
      <w:r>
        <w:rPr>
          <w:rFonts w:ascii="Arial" w:hAnsi="Arial" w:cs="Arial"/>
          <w:b w:val="0"/>
          <w:i/>
          <w:sz w:val="26"/>
        </w:rPr>
        <w:t>‘(...) O primeiro ponto a ser ressaltado por este Juízo é que a decisão de ID 257764443 fixou todos os pontos que serviram de baliza a d. Contadoria Judicial elaborar os seus cálculos. A referida decisão foi prolatada no dia 24/11/2025 e decorreu o prazo para impugnação no dia 19/02/2026.</w:t>
      </w:r>
    </w:p>
    <w:p>
      <w:pPr>
        <w:spacing w:line="360" w:lineRule="auto" w:after="0" w:before="0"/>
        <w:ind w:firstLine="0" w:left="3402"/>
        <w:jc w:val="both"/>
      </w:pPr>
      <w:r>
        <w:rPr>
          <w:rFonts w:ascii="Arial" w:hAnsi="Arial" w:cs="Arial"/>
          <w:b w:val="0"/>
          <w:i/>
          <w:sz w:val="26"/>
        </w:rPr>
        <w:t>Compulsando os autos, verifica-se que dessa decisão não foi interposto qualquer recurso, por qualquer das partes, estando, portanto, preclusa, de modo que não é mais passível de discussão.</w:t>
      </w:r>
    </w:p>
    <w:p>
      <w:pPr>
        <w:spacing w:line="360" w:lineRule="auto" w:after="0" w:before="0"/>
        <w:ind w:firstLine="0" w:left="3402"/>
        <w:jc w:val="both"/>
      </w:pPr>
      <w:r>
        <w:rPr>
          <w:rFonts w:ascii="Arial" w:hAnsi="Arial" w:cs="Arial"/>
          <w:b w:val="0"/>
          <w:i/>
          <w:sz w:val="26"/>
        </w:rPr>
        <w:t>Em resposta, à Contadoria Judicial informou que elaborou os seus cálculos nos exatos termos contidos na decisão.</w:t>
      </w:r>
    </w:p>
    <w:p>
      <w:pPr>
        <w:spacing w:line="360" w:lineRule="auto" w:after="0" w:before="0"/>
        <w:ind w:firstLine="0" w:left="3402"/>
        <w:jc w:val="both"/>
      </w:pPr>
      <w:r>
        <w:rPr>
          <w:rFonts w:ascii="Arial" w:hAnsi="Arial" w:cs="Arial"/>
          <w:b w:val="0"/>
          <w:i/>
          <w:sz w:val="26"/>
        </w:rPr>
        <w:t>O requerido não demonstra que a Contadoria procedeu de forma diversa do fixado na decisão, aponta erros da Contadoria que, na verdade, são discordâncias em relação à decisão do Juízo.</w:t>
      </w:r>
    </w:p>
    <w:p>
      <w:pPr>
        <w:spacing w:line="360" w:lineRule="auto" w:after="0" w:before="0"/>
        <w:ind w:firstLine="0" w:left="3402"/>
        <w:jc w:val="both"/>
      </w:pPr>
      <w:r>
        <w:rPr>
          <w:rFonts w:ascii="Arial" w:hAnsi="Arial" w:cs="Arial"/>
          <w:b w:val="0"/>
          <w:i/>
          <w:sz w:val="26"/>
        </w:rPr>
        <w:t>Analisando o cálculo da Contadoria Judicial, nota-se que observou integralmente os parâmetros fixados na decisão, especialmente quanto à base de cálculo das diferenças de gratificação, mediante aplicação dos percentuais legais sobre o vencimento básico da carreira, conforme determinado, bem como quanto aos critérios de atualização monetária e incidência de juros.</w:t>
      </w:r>
    </w:p>
    <w:p>
      <w:pPr>
        <w:spacing w:line="360" w:lineRule="auto" w:after="0" w:before="0"/>
        <w:ind w:firstLine="0" w:left="3402"/>
        <w:jc w:val="both"/>
      </w:pPr>
      <w:r>
        <w:rPr>
          <w:rFonts w:ascii="Arial" w:hAnsi="Arial" w:cs="Arial"/>
          <w:b w:val="0"/>
          <w:i/>
          <w:sz w:val="26"/>
        </w:rPr>
        <w:t>Assim, o que se tem é uma tentativa do requerido, via impugnação aos cálculos, alterar conteúdo e decisão já preclusa, o que não é possível por força do art. 507, do Código de Processo Civil.’ (ID 281293742, processo de origem) – Grifei</w:t>
      </w:r>
    </w:p>
    <w:p>
      <w:pPr>
        <w:spacing w:line="360" w:lineRule="auto" w:after="0" w:before="0"/>
        <w:ind w:firstLine="1134" w:left="2268"/>
        <w:jc w:val="both"/>
      </w:pPr>
      <w:r>
        <w:rPr>
          <w:rFonts w:ascii="Arial" w:hAnsi="Arial" w:cs="Arial"/>
          <w:b w:val="0"/>
          <w:i/>
          <w:sz w:val="26"/>
        </w:rPr>
        <w:t>Verifica-se, assim, que a decisão de ID 257764443, processo de origem, fixou os parâmetros para o cálculo da Contadoria Judicial, a qual não foi impugnada pelo executado/agravante, estando, assim, preclusa.</w:t>
      </w:r>
    </w:p>
    <w:p>
      <w:pPr>
        <w:spacing w:line="360" w:lineRule="auto" w:after="0" w:before="0"/>
        <w:ind w:firstLine="1134" w:left="2268"/>
        <w:jc w:val="both"/>
      </w:pPr>
      <w:r>
        <w:rPr>
          <w:rFonts w:ascii="Arial" w:hAnsi="Arial" w:cs="Arial"/>
          <w:b w:val="0"/>
          <w:i/>
          <w:sz w:val="26"/>
        </w:rPr>
        <w:t>No que diz respeito à forma de cálculo da Taxa Selic, o art. 22, § 1º, da Resolução CNJ n. 303/2019, determina a sua incidência sobre o valor consolidado, tratando-se de sucessão de índices, e não de dupla incidência sobre um mesmo período, o que afasta a alegação de anatocismo, in verbis:</w:t>
      </w:r>
    </w:p>
    <w:p>
      <w:pPr>
        <w:spacing w:line="360" w:lineRule="auto" w:after="0" w:before="0"/>
        <w:ind w:firstLine="0" w:left="3402"/>
        <w:jc w:val="both"/>
      </w:pPr>
      <w:r>
        <w:rPr>
          <w:rFonts w:ascii="Arial" w:hAnsi="Arial" w:cs="Arial"/>
          <w:b w:val="0"/>
          <w:i/>
          <w:sz w:val="26"/>
        </w:rPr>
        <w:t>‘Art. 22. Na atualização da conta do precatório não tributário os juros de mora devem incidir somente até o mês de novembro de 2021, observado o disposto no § 5º do artigo anterior. (redação dada pela Resolução n. 482, de 19.12.2022)</w:t>
      </w:r>
    </w:p>
    <w:p>
      <w:pPr>
        <w:spacing w:line="360" w:lineRule="auto" w:after="0" w:before="0"/>
        <w:ind w:firstLine="0" w:left="3402"/>
        <w:jc w:val="both"/>
      </w:pPr>
      <w:r>
        <w:rPr>
          <w:rFonts w:ascii="Arial" w:hAnsi="Arial" w:cs="Arial"/>
          <w:b w:val="0"/>
          <w:i/>
          <w:sz w:val="26"/>
        </w:rPr>
        <w:t>§ 1º A partir de dezembro de 2021, a compensação da mora dar-se-á da forma discriminada no art. 20 desta Resolução, ocasião em que a taxa referencial do Sistema Especial de Liquidação e de Custódia – Selic incidirá sobre o valor consolidado, correspondente ao crédito principal atualizado monetariamente na forma do art. 22 desta Resolução até novembro de 2021 e aos juros de mora, observado o disposto nos §§ 5º e 6º do artigo anterior. (redação dada pela Resolução n. 482, de 19.12.2022)’ – Grifei</w:t>
      </w:r>
    </w:p>
    <w:p>
      <w:pPr>
        <w:spacing w:line="360" w:lineRule="auto" w:after="0" w:before="0"/>
        <w:ind w:firstLine="1134" w:left="2268"/>
        <w:jc w:val="both"/>
      </w:pPr>
      <w:r>
        <w:rPr>
          <w:rFonts w:ascii="Arial" w:hAnsi="Arial" w:cs="Arial"/>
          <w:b w:val="0"/>
          <w:i/>
          <w:sz w:val="26"/>
        </w:rPr>
        <w:t>Nesse sentido:</w:t>
      </w:r>
    </w:p>
    <w:p>
      <w:pPr>
        <w:spacing w:line="360" w:lineRule="auto" w:after="0" w:before="0"/>
        <w:ind w:firstLine="0" w:left="3402"/>
        <w:jc w:val="both"/>
      </w:pPr>
      <w:r>
        <w:rPr>
          <w:rFonts w:ascii="Arial" w:hAnsi="Arial" w:cs="Arial"/>
          <w:b w:val="0"/>
          <w:i/>
          <w:sz w:val="26"/>
        </w:rPr>
        <w:t>‘(...) Tese de julgamento: “1. O ajuizamento de ação rescisória sem efeito suspensivo não impede o prosseguimento do cumprimento de sentença; 2. Não há omissão quando o acórdão enfrenta expressamente a inaplicabilidade do Tema 864 do STF e afasta a inexigibilidade do título; 3. A incidência da Taxa SELIC a partir da EC nº 113/2021, de forma única e prospectiva sobre o débito consolidado, não configura anatocismo; 4. A análise da Resolução CNJ nº 303/2019 e sua compatibilidade com a EC nº 113/2021 afasta alegação de omissão; 5. Embargos de declaração não se prestam à rediscussão do mérito.” (...)’ (Acórdão 2159763, 0700209-48.2026.8.07.0000, Relator(a): AISTON HENRIQUE DE SOUSA, 4ª TURMA CÍVEL, data de julgamento: 29/07/2026, publicado no DJe: 20/08/2026.) – Grifei</w:t>
      </w:r>
    </w:p>
    <w:p>
      <w:pPr>
        <w:spacing w:line="360" w:lineRule="auto" w:after="0" w:before="0"/>
        <w:ind w:firstLine="1134" w:left="2268"/>
        <w:jc w:val="both"/>
      </w:pPr>
      <w:r>
        <w:rPr>
          <w:rFonts w:ascii="Arial" w:hAnsi="Arial" w:cs="Arial"/>
          <w:b w:val="0"/>
          <w:i/>
          <w:sz w:val="26"/>
        </w:rPr>
        <w:t>Os cálculos apresentados pela Contadoria Judicial (ID 268466321, processo de origem), por sua vez, demonstram correspondência com os parâmetros fixados pelo Juízo de origem (ID 257764443 e 280042155, processo de origem) e, a princípio, observância quanto à forma de cálculo da Taxa Selic.”</w:t>
      </w:r>
    </w:p>
    <w:p>
      <w:pPr>
        <w:spacing w:line="360" w:lineRule="auto" w:after="0"/>
        <w:ind w:firstLine="2268"/>
      </w:pPr>
      <w:r>
        <w:rPr>
          <w:sz w:val="28"/>
        </w:rPr>
      </w:r>
    </w:p>
    <w:p>
      <w:pPr>
        <w:spacing w:line="360" w:lineRule="auto" w:after="0" w:before="0"/>
        <w:ind w:firstLine="2268"/>
        <w:jc w:val="both"/>
      </w:pPr>
      <w:commentRangeStart w:id="6"/>
      <w:r>
        <w:rPr>
          <w:rFonts w:ascii="Arial" w:hAnsi="Arial" w:cs="Arial"/>
          <w:b w:val="0"/>
          <w:i w:val="0"/>
          <w:sz w:val="28"/>
        </w:rPr>
        <w:t xml:space="preserve">Desse modo, ausente elemento novo capaz de infirmar os fundamentos já expostos, </w:t>
      </w:r>
      <w:r>
        <w:rPr>
          <w:rFonts w:ascii="Arial" w:hAnsi="Arial" w:cs="Arial"/>
          <w:b w:val="0"/>
          <w:i w:val="0"/>
          <w:sz w:val="28"/>
          <w:highlight w:val="yellow"/>
        </w:rPr>
        <w:t>deve ser mantida a r. decisão agravada que rejeitou a impugnação aos cálculos, homologou o valor apurado pela Contadoria Judicial e determinou a expedição dos requisitórios de pagamento</w:t>
      </w:r>
      <w:r>
        <w:rPr>
          <w:rFonts w:ascii="Arial" w:hAnsi="Arial" w:cs="Arial"/>
          <w:b w:val="0"/>
          <w:i w:val="0"/>
          <w:sz w:val="28"/>
        </w:rPr>
        <w:t xml:space="preserve"> (ID 281293742, do processo de origem).</w:t>
      </w:r>
      <w:commentRangeEnd w:id="6"/>
      <w:r>
        <w:rPr>
          <w:rStyle w:val="CommentReference"/>
        </w:rPr>
        <w:commentReference w:id="6"/>
      </w:r>
    </w:p>
    <w:p>
      <w:pPr>
        <w:spacing w:line="360" w:lineRule="auto" w:after="0"/>
        <w:ind w:firstLine="2268"/>
      </w:pPr>
      <w:r>
        <w:rPr>
          <w:sz w:val="28"/>
        </w:rPr>
      </w:r>
    </w:p>
    <w:p>
      <w:pPr>
        <w:spacing w:line="360" w:lineRule="auto" w:after="0" w:before="0"/>
        <w:jc w:val="center"/>
      </w:pPr>
      <w:r>
        <w:rPr>
          <w:rFonts w:ascii="Arial" w:hAnsi="Arial" w:cs="Arial"/>
          <w:b/>
          <w:i w:val="0"/>
          <w:sz w:val="28"/>
        </w:rPr>
        <w:t>DISPOSITIVO</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 xml:space="preserve">Ante o exposto, </w:t>
      </w:r>
      <w:r>
        <w:rPr>
          <w:rFonts w:ascii="Arial" w:hAnsi="Arial" w:cs="Arial"/>
          <w:b/>
          <w:i w:val="0"/>
          <w:sz w:val="28"/>
        </w:rPr>
        <w:t>nego provimento</w:t>
      </w:r>
      <w:r>
        <w:rPr>
          <w:rFonts w:ascii="Arial" w:hAnsi="Arial" w:cs="Arial"/>
          <w:b w:val="0"/>
          <w:i w:val="0"/>
          <w:sz w:val="28"/>
        </w:rPr>
        <w:t xml:space="preserve"> ao agravo de instrumento do executado, Distrito Federal.</w:t>
      </w:r>
    </w:p>
    <w:p>
      <w:pPr>
        <w:spacing w:line="360" w:lineRule="auto" w:after="0"/>
        <w:ind w:firstLine="2268"/>
      </w:pPr>
      <w:r>
        <w:rPr>
          <w:sz w:val="28"/>
        </w:rPr>
      </w:r>
    </w:p>
    <w:p>
      <w:pPr>
        <w:spacing w:line="360" w:lineRule="auto" w:after="0" w:before="0"/>
        <w:ind w:firstLine="2268"/>
        <w:jc w:val="both"/>
      </w:pPr>
      <w:r>
        <w:rPr>
          <w:rFonts w:ascii="Arial" w:hAnsi="Arial" w:cs="Arial"/>
          <w:b w:val="0"/>
          <w:i w:val="0"/>
          <w:sz w:val="28"/>
        </w:rPr>
        <w:t>É como voto.</w:t>
      </w:r>
    </w:p>
    <w:p>
      <w:pPr>
        <w:spacing w:line="360" w:lineRule="auto" w:after="0"/>
        <w:ind w:firstLine="2268"/>
      </w:pPr>
      <w:r>
        <w:rPr>
          <w:sz w:val="28"/>
        </w:rPr>
      </w:r>
    </w:p>
    <w:p>
      <w:pPr>
        <w:pageBreakBefore/>
        <w:spacing w:line="360" w:lineRule="auto" w:after="0" w:before="0"/>
        <w:jc w:val="center"/>
      </w:pPr>
      <w:r>
        <w:rPr>
          <w:rFonts w:ascii="Arial" w:hAnsi="Arial" w:cs="Arial"/>
          <w:b/>
          <w:i w:val="0"/>
          <w:color w:val="00B050"/>
          <w:sz w:val="27"/>
        </w:rPr>
        <w:t>DECISÃO AGRAVADA (trecho transcrito na decisão liminar)</w:t>
      </w:r>
    </w:p>
    <w:p>
      <w:pPr>
        <w:spacing w:line="360" w:lineRule="auto" w:after="0" w:before="0"/>
        <w:jc w:val="both"/>
      </w:pPr>
      <w:r>
        <w:rPr>
          <w:rFonts w:ascii="Arial" w:hAnsi="Arial" w:cs="Arial"/>
          <w:b w:val="0"/>
          <w:i w:val="0"/>
          <w:color w:val="00B050"/>
          <w:sz w:val="27"/>
        </w:rPr>
        <w:t>Número do processo de origem: 0712649-56.2025.8.07.0018 (7ª Vara da Fazenda Pública do DF) – decisão interlocutória de ID 281293742.</w:t>
      </w:r>
    </w:p>
    <w:p>
      <w:pPr>
        <w:spacing w:line="360" w:lineRule="auto" w:after="0" w:before="0"/>
        <w:jc w:val="both"/>
      </w:pPr>
      <w:r>
        <w:rPr>
          <w:rFonts w:ascii="Arial" w:hAnsi="Arial" w:cs="Arial"/>
          <w:b w:val="0"/>
          <w:i w:val="0"/>
          <w:color w:val="00B050"/>
          <w:sz w:val="27"/>
        </w:rPr>
        <w:t>“(...) O primeiro ponto a ser ressaltado por este Juízo é que a decisão de ID 257764443 fixou todos os pontos que serviram de baliza a d. Contadoria Judicial elaborar os seus cálculos. A referida decisão foi prolatada no dia 24/11/2025 e decorreu o prazo para impugnação no dia 19/02/2026.</w:t>
      </w:r>
    </w:p>
    <w:p>
      <w:pPr>
        <w:spacing w:line="360" w:lineRule="auto" w:after="0" w:before="0"/>
        <w:jc w:val="both"/>
      </w:pPr>
      <w:r>
        <w:rPr>
          <w:rFonts w:ascii="Arial" w:hAnsi="Arial" w:cs="Arial"/>
          <w:b w:val="0"/>
          <w:i w:val="0"/>
          <w:color w:val="00B050"/>
          <w:sz w:val="27"/>
        </w:rPr>
        <w:t>Compulsando os autos, verifica-se que dessa decisão não foi interposto qualquer recurso, por qualquer das partes, estando, portanto, preclusa, de modo que não é mais passível de discussão.</w:t>
      </w:r>
    </w:p>
    <w:p>
      <w:pPr>
        <w:spacing w:line="360" w:lineRule="auto" w:after="0" w:before="0"/>
        <w:jc w:val="both"/>
      </w:pPr>
      <w:r>
        <w:rPr>
          <w:rFonts w:ascii="Arial" w:hAnsi="Arial" w:cs="Arial"/>
          <w:b w:val="0"/>
          <w:i w:val="0"/>
          <w:color w:val="00B050"/>
          <w:sz w:val="27"/>
        </w:rPr>
        <w:t>Em resposta, à Contadoria Judicial informou que elaborou os seus cálculos nos exatos termos contidos na decisão.</w:t>
      </w:r>
    </w:p>
    <w:p>
      <w:pPr>
        <w:spacing w:line="360" w:lineRule="auto" w:after="0" w:before="0"/>
        <w:jc w:val="both"/>
      </w:pPr>
      <w:r>
        <w:rPr>
          <w:rFonts w:ascii="Arial" w:hAnsi="Arial" w:cs="Arial"/>
          <w:b w:val="0"/>
          <w:i w:val="0"/>
          <w:color w:val="00B050"/>
          <w:sz w:val="27"/>
        </w:rPr>
        <w:t>O requerido não demonstra que a Contadoria procedeu de forma diversa do fixado na decisão, aponta erros da Contadoria que, na verdade, são discordâncias em relação à decisão do Juízo.</w:t>
      </w:r>
    </w:p>
    <w:p>
      <w:pPr>
        <w:spacing w:line="360" w:lineRule="auto" w:after="0" w:before="0"/>
        <w:jc w:val="both"/>
      </w:pPr>
      <w:r>
        <w:rPr>
          <w:rFonts w:ascii="Arial" w:hAnsi="Arial" w:cs="Arial"/>
          <w:b w:val="0"/>
          <w:i w:val="0"/>
          <w:color w:val="00B050"/>
          <w:sz w:val="27"/>
        </w:rPr>
        <w:t>Analisando o cálculo da Contadoria Judicial, nota-se que observou integralmente os parâmetros fixados na decisão, especialmente quanto à base de cálculo das diferenças de gratificação, mediante aplicação dos percentuais legais sobre o vencimento básico da carreira, conforme determinado, bem como quanto aos critérios de atualização monetária e incidência de juros.</w:t>
      </w:r>
    </w:p>
    <w:p>
      <w:pPr>
        <w:spacing w:line="360" w:lineRule="auto" w:after="0" w:before="0"/>
        <w:jc w:val="both"/>
      </w:pPr>
      <w:r>
        <w:rPr>
          <w:rFonts w:ascii="Arial" w:hAnsi="Arial" w:cs="Arial"/>
          <w:b w:val="0"/>
          <w:i w:val="0"/>
          <w:color w:val="00B050"/>
          <w:sz w:val="27"/>
        </w:rPr>
        <w:t>Assim, o que se tem é uma tentativa do requerido, via impugnação aos cálculos, alterar conteúdo e decisão já preclusa, o que não é possível por força do art. 507, do Código de Processo Civil.” (ID 281293742, processo de origem)</w:t>
      </w:r>
    </w:p>
    <w:p>
      <w:pPr>
        <w:spacing w:line="360" w:lineRule="auto" w:after="0" w:before="0"/>
        <w:jc w:val="center"/>
      </w:pPr>
      <w:commentRangeStart w:id="7"/>
      <w:r>
        <w:rPr>
          <w:rFonts w:ascii="Arial" w:hAnsi="Arial" w:cs="Arial"/>
          <w:b/>
          <w:i w:val="0"/>
          <w:color w:val="800080"/>
          <w:sz w:val="28"/>
        </w:rPr>
        <w:t>PRECEDENTES CONTRÁRIOS AO VOTO</w:t>
      </w:r>
      <w:commentRangeEnd w:id="7"/>
      <w:r>
        <w:rPr>
          <w:rStyle w:val="CommentReference"/>
        </w:rPr>
        <w:commentReference w:id="7"/>
      </w:r>
    </w:p>
    <w:p>
      <w:pPr>
        <w:spacing w:line="360" w:lineRule="auto" w:after="0"/>
        <w:ind w:firstLine="2268"/>
      </w:pPr>
      <w:r>
        <w:rPr>
          <w:sz w:val="28"/>
        </w:rPr>
      </w:r>
    </w:p>
    <w:p>
      <w:pPr>
        <w:spacing w:line="360" w:lineRule="auto" w:after="0" w:before="0"/>
        <w:ind w:left="2268"/>
        <w:jc w:val="both"/>
      </w:pPr>
      <w:r>
        <w:rPr>
          <w:rFonts w:ascii="Arial" w:hAnsi="Arial" w:cs="Arial"/>
          <w:b w:val="0"/>
          <w:i/>
          <w:color w:val="800080"/>
          <w:sz w:val="26"/>
        </w:rPr>
        <w:t>AGRAVO DE INSTRUMENTO. CONSTITUCIONAL. CUMPRIMENTO DE SENTENÇA CONDENATÓRIA DA FAZENDA PÚBLICA. TR. INAPLICABILIDADE. IPCA-E. UTILIZAÇÃO DO IPCA-E COMO FATOR DE CORREÇÃO MONETÁRIA. INCIDÊNCIA EXCLUSIVA DA TAXA SELIC A PARTIR DE 09/12/2021, DATA DA ENTRADA EM VIGORA DA EMENDA CONSTITUCIONAL Nº 113/2021. SELIC. CÁLCULO DEVE SER FEITO DE MODO A EVITAR CORREÇÃO MONETÁRIA SOBRE CORREÇÃO MONETÁRIA E JUROS SOBRE JUROS. AGRAVO DE INSTRUMENTO PARCIALMENTE PROVIDO. 1. O entendimento firmado pelo c. STF, no julgamento do RE nº 870.947/SE (Tema 810), em que foi considerada inconstitucional a atualização monetária das condenações impostas à Fazenda Pública pela remuneração oficial da caderneta de poupança, uma vez que o índice de remuneração da caderneta de poupança, Taxa Referencial (TR), não é capaz de recompor o valor da moeda, sendo manifesta e abstratamente incapaz de mensurar a variação do poder aquisitivo da moeda. Ou seja, foi afastada a utilização da Taxa Referencial (TR) como índice de correção monetária dos débitos devidos pela Fazenda Pública, havendo de ser substituída pelo IPCA-E, a fim de garantir a correta e justa atualização do valor. 2. No dia 09/12/20221, foi promulgada a Emenda Constitucional nº 113/2021, que institui nova regra de atualização dos débitos fazendários. 3. O art. 3º, desse diploma constitucional, que se aplica imediatamente às condenações da Fazenda Pública, inclusive aos precatórios, institui que a atualização dos débitos fazendários deve ser feita por meio da SELIC, cabendo ressaltar que esse fator de atualização engloba os juros de mora e a correção monetária. 4. A Selic, que engloba juros e correção monetária, não pode incidir sobre o montante já apurado pela incidência de correção monetária e juros de mora. Para que não ocorra correção monetária sobre correção monetária e juros sobre juros, devem ser feitos dois cálculos distintos e, ao final, somados os resultados de ambos. 5. O primeiro cálculo deve consistir na incidência do IPCA-E sobre o valor nominal do crédito até 08/12/21 e juros de mora do período, sem anatocismo, sobre esse montante. O segundo cálculo deve consistir na incidência da SELIC sobre o valor do crédito de 09/12/21 em diante. O valor total da execução corresponderá à soma das quantias obtidas em ambas as operações mencionadas. 6. Agravo de instrumento parcialmente provido.</w:t>
      </w:r>
    </w:p>
    <w:p>
      <w:pPr>
        <w:spacing w:line="360" w:lineRule="auto" w:after="0" w:before="0"/>
        <w:ind w:left="2268"/>
        <w:jc w:val="both"/>
      </w:pPr>
      <w:r>
        <w:rPr>
          <w:rFonts w:ascii="Arial" w:hAnsi="Arial" w:cs="Arial"/>
          <w:b w:val="0"/>
          <w:i/>
          <w:color w:val="800080"/>
          <w:sz w:val="26"/>
        </w:rPr>
        <w:t>(Acórdão 1737534, 07003238920238070000, Relator: ARNOLDO CAMANHO, 4ª Turma Cível, data de julgamento: 27/7/2023, publicado no DJE: 24/8/2023.)</w:t>
      </w:r>
    </w:p>
    <w:p>
      <w:pPr>
        <w:spacing w:line="360" w:lineRule="auto" w:after="0"/>
        <w:ind w:firstLine="2268"/>
      </w:pPr>
      <w:r>
        <w:rPr>
          <w:sz w:val="28"/>
        </w:rPr>
      </w:r>
    </w:p>
    <w:p>
      <w:pPr>
        <w:spacing w:line="360" w:lineRule="auto" w:after="0" w:before="0"/>
        <w:ind w:left="2268"/>
        <w:jc w:val="both"/>
      </w:pPr>
      <w:r>
        <w:rPr>
          <w:rFonts w:ascii="Arial" w:hAnsi="Arial" w:cs="Arial"/>
          <w:b w:val="0"/>
          <w:i/>
          <w:color w:val="800080"/>
          <w:sz w:val="26"/>
        </w:rPr>
        <w:t>AGRAVO DE INSTRUMENTO. CUMPRIMENTO INDIVIDUAL DE SENTENÇA COLETIVA. IMPUGNAÇÃO. EXCESSO DE EXECUÇÃO. DECISÃO REFORMADA. 1. A despeito da correta utilização do IPCA-E como índice de correção monetária até dezembro/2021 e, a partir de então, da taxa SELIC, houve a incidência de juros sobre juros na hipótese. 2. Embora os juros (sem anatocismo) incidam sobre o valor nominal já corrigido monetariamente, não pode haver incidência de juros sobre juros. Assim, o cálculo deve ser feito de modo a evitar incidência da taxa Selic sobre o montante total apurado até 08/12/2021. 3. Agravo de instrumento conhecido e provido.</w:t>
      </w:r>
    </w:p>
    <w:p>
      <w:pPr>
        <w:spacing w:line="360" w:lineRule="auto" w:after="0" w:before="0"/>
        <w:ind w:left="2268"/>
        <w:jc w:val="both"/>
      </w:pPr>
      <w:r>
        <w:rPr>
          <w:rFonts w:ascii="Arial" w:hAnsi="Arial" w:cs="Arial"/>
          <w:b w:val="0"/>
          <w:i/>
          <w:color w:val="800080"/>
          <w:sz w:val="26"/>
        </w:rPr>
        <w:t>(Acórdão 1749721, 07166527920238070000, Relator: FÁBIO EDUARDO MARQUES, 5ª Turma Cível, data de julgamento: 24/8/2023, publicado no DJE: 13/9/2023.)</w:t>
      </w:r>
    </w:p>
    <w:sectPr w:rsidR="007B0B27" w:rsidRPr="00AF5AFB">
      <w:headerReference w:type="even" r:id="rId32"/>
      <w:headerReference w:type="default" r:id="rId33"/>
      <w:footerReference w:type="even" r:id="rId34"/>
      <w:footerReference w:type="default" r:id="rId35"/>
      <w:headerReference w:type="first" r:id="rId36"/>
      <w:footerReference w:type="first" r:id="rId3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sessor GDSXSR" w:initials="MG" w:date="2026-10-28T18:02:18Z">
    <w:p>
      <w:pPr>
        <w:pStyle w:val="CommentText"/>
      </w:pPr>
      <w:r>
        <w:rPr>
          <w:rStyle w:val="CommentReference"/>
        </w:rPr>
        <w:annotationRef/>
      </w:r>
      <w:r>
        <w:t>ASSESSOR GDSXSR — Minuta do zero (AGI 0738492-43), feita sem minuta do assessor. Modelos consultados: AGI 0724482-91 (OURO, NP, SELIC sobre o valor consolidado), AGI 0753610-93 (NP, anatocismo) e AGI 0703637-38 (NP, homologação de cálculos). Linha: NP aderente à liminar (C-17, C-3S). Jurisprudência em sentido contrário ao voto, invocada no agravo, está no fim do documento, em violeta (C-46, C-53).</w:t>
      </w:r>
    </w:p>
  </w:comment>
  <w:comment w:id="1" w:author="Assessor GDSXSR" w:initials="MG" w:date="2026-10-28T18:02:18Z">
    <w:p>
      <w:pPr>
        <w:pStyle w:val="CommentText"/>
      </w:pPr>
      <w:r>
        <w:rPr>
          <w:rStyle w:val="CommentReference"/>
        </w:rPr>
        <w:annotationRef/>
      </w:r>
      <w:r>
        <w:t>ASSESSOR GDSXSR — Texto literal (C-63): CPC, art. 507: “É vedado à parte discutir no curso do processo as questões já decididas a cujo respeito se operou a preclusão.” (fonte: Planalto, Lei nº 13.105/2015).</w:t>
      </w:r>
    </w:p>
  </w:comment>
  <w:comment w:id="2" w:author="Assessor GDSXSR" w:initials="MG" w:date="2026-10-28T18:02:18Z">
    <w:p>
      <w:pPr>
        <w:pStyle w:val="CommentText"/>
      </w:pPr>
      <w:r>
        <w:rPr>
          <w:rStyle w:val="CommentReference"/>
        </w:rPr>
        <w:annotationRef/>
      </w:r>
      <w:r>
        <w:t>ASSESSOR GDSXSR — PENDENTE (C-60, C-72): não localizei o Acórdão 2159763 no iajus (busca por CNJ e pela frase da tese, sem resultado). Mantive porque a liminar do Relator (ID 88768660) o transcreve com esses dados; conferir no JurisDF. Se preferir um acórdão da Turma já conferido, o Acórdão 1905164 (Proc. 0712846-02.2024.8.07.0000, Des. Aiston, 4ª TCiv, j. 08/08/2024, DJe 22/08/2024) tem a mesma tese e foi confirmado no iajus.</w:t>
      </w:r>
    </w:p>
  </w:comment>
  <w:comment w:id="3" w:author="Assessor GDSXSR" w:initials="MG" w:date="2026-10-28T18:02:18Z">
    <w:p>
      <w:pPr>
        <w:pStyle w:val="CommentText"/>
      </w:pPr>
      <w:r>
        <w:rPr>
          <w:rStyle w:val="CommentReference"/>
        </w:rPr>
        <w:annotationRef/>
      </w:r>
      <w:r>
        <w:t>ASSESSOR GDSXSR — PENDENTE (C-52, C-24): não localizei contrarrazões nos autos recebidos. A liminar mandou intimar a agravada (ID 88768660), mas a única manifestação dela é a petição de ID 89135541 (ciente do indeferimento do efeito suspensivo, sem razões). Conferir no PJe o decurso do prazo para contrarrazões antes de liberar.</w:t>
      </w:r>
    </w:p>
  </w:comment>
  <w:comment w:id="4" w:author="Assessor GDSXSR" w:initials="MG" w:date="2026-10-28T18:02:18Z">
    <w:p>
      <w:pPr>
        <w:pStyle w:val="CommentText"/>
      </w:pPr>
      <w:r>
        <w:rPr>
          <w:rStyle w:val="CommentReference"/>
        </w:rPr>
        <w:annotationRef/>
      </w:r>
      <w:r>
        <w:t>ASSESSOR GDSXSR — Título que nomeia a matéria decidida, com “DA” (C-3C, C-42). Capítulo único: sem mini-dispositivo (C-3A). O pedido de honorários sucumbenciais do agravante depende do acolhimento da impugnação e cai com o desprovimento; por isso não tem capítulo.</w:t>
      </w:r>
    </w:p>
  </w:comment>
  <w:comment w:id="5" w:author="Assessor GDSXSR" w:initials="MG" w:date="2026-10-28T18:02:18Z">
    <w:p>
      <w:pPr>
        <w:pStyle w:val="CommentText"/>
      </w:pPr>
      <w:r>
        <w:rPr>
          <w:rStyle w:val="CommentReference"/>
        </w:rPr>
        <w:annotationRef/>
      </w:r>
      <w:r>
        <w:t>ASSESSOR GDSXSR — C-17 v42: transcrevi a fundamentação inteira da liminar, com os trechos da decisão agravada, da Resolução CNJ 303/2019 e do acórdão que ela cita, cada um em bloco próprio e com “– Grifei”, sem trocar nada por “(...)”. Só omiti o último parágrafo da liminar (“Assim, eventual conclusão em sentido contrário, demanda uma análise mais detida… prévio contraditório”), que trata do rito da cognição sumária e perde o sentido no julgamento do mérito. O texto transcrito foi tomado da própria liminar nos autos (ID 88768660, pp. 10-14).</w:t>
      </w:r>
    </w:p>
  </w:comment>
  <w:comment w:id="6" w:author="Assessor GDSXSR" w:initials="MG" w:date="2026-10-28T18:02:18Z">
    <w:p>
      <w:pPr>
        <w:pStyle w:val="CommentText"/>
      </w:pPr>
      <w:r>
        <w:rPr>
          <w:rStyle w:val="CommentReference"/>
        </w:rPr>
        <w:annotationRef/>
      </w:r>
      <w:r>
        <w:t>ASSESSOR GDSXSR — PENDENTE (C-52, C-24, C-64). (1) Peças da origem não recebidas: decisão de ID 257764443 (parâmetros de cálculo, trânsito em julgado), decisão de ID 280042155, cálculos da Contadoria (ID 268466321) e a decisão agravada de ID 281293742 na íntegra. O voto se apoia só no que a liminar (ID 88768660) e a decisão agravada, nela transcrita, descrevem; não conferi nos autos de origem o que diz a decisão preclusa nem a data-base e a forma da SELIC na conta. (2) Vigência: a EC 136/2025 deu nova redação ao art. 3º da EC 113/2021 (requisitórios da Fazenda federal: IPCA e juros simples de 2% a.a., com a SELIC como teto, art. 3º, caput e § 1º) e o Provimento 207/2025 da Corregedoria Nacional (30/10/2025) fixou, até nova atualização da Res. CNJ 303/2019, critérios próprios para precatórios de Estados e DF a partir de agosto/2025 (art. 3º). Não encontrei texto que diga se isso alcança o cálculo do cumprimento de sentença anterior à expedição, nem nova redação do art. 22 § 1º da Res. 303/2019. Por isso o voto não invoca o art. 3º da EC 113 como fundamento e segue a liminar e a Turma (Acórdão 2159763, de 29/07/2026). Conferir no site do CNJ se o art. 22 § 1º continua em vigor para a fase anterior ao requisitório.</w:t>
      </w:r>
    </w:p>
  </w:comment>
  <w:comment w:id="7" w:author="Assessor GDSXSR" w:initials="MG" w:date="2026-10-28T18:02:18Z">
    <w:p>
      <w:pPr>
        <w:pStyle w:val="CommentText"/>
      </w:pPr>
      <w:r>
        <w:rPr>
          <w:rStyle w:val="CommentReference"/>
        </w:rPr>
        <w:annotationRef/>
      </w:r>
      <w:r>
        <w:t>ASSESSOR GDSXSR — C-46, C-53: jurisprudência invocada no agravo em sentido contrário ao voto (SELIC não incide sobre o montante já acrescido de juros; dois cálculos separados). O primeiro é da própria 4ª Turma Cível (Des. Arnoldo Camanho, 2023) e diverge da linha atual da Turma (Acórdãos de 2024 a 2026, Des. Aiston e Relator). Não escrevi parágrafo de distinção (C-53) e não os pus na ementa. Ementas copiadas do agravo (ID 88458906, pp. 4-5); processo, relator, Turma e data de julgamento conferidos no iajus (0700323-89.2023.8.07.0000 e 0716652-79.2023.8.07.0000). PENDENTE (C-60, C-72): número do acórdão e data do DJe vêm só do agravo; completar/conferir no JurisDF. O Acórdão 1343741 (6ª TCiv, 2021) citado no agravo trata de SELIC simples e honorários e não foi trazido para cá.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50FC09" w15:done="0"/>
  <w15:commentEx w15:paraId="085DAE53" w15:paraIdParent="1550FC09" w15:done="0"/>
  <w15:commentEx w15:paraId="4BE29BA5" w15:done="0"/>
  <w15:commentEx w15:paraId="74324399" w15:done="0"/>
  <w15:commentEx w15:paraId="47584802" w15:done="0"/>
  <w15:commentEx w15:paraId="5C4E2311" w15:done="0"/>
  <w15:commentEx w15:paraId="3CA42ACD" w15:done="0"/>
  <w15:commentEx w15:paraId="010ADC55" w15:done="0"/>
  <w15:commentEx w15:paraId="18B364E6" w15:done="0"/>
  <w15:commentEx w15:paraId="353291FD" w15:done="0"/>
  <w15:commentEx w15:paraId="7017725C" w15:done="0"/>
  <w15:commentEx w15:paraId="4267B081" w15:done="0"/>
  <w15:commentEx w15:paraId="4E8B14A4" w15:done="0"/>
  <w15:commentEx w15:paraId="48A3B8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64D754" w16cex:dateUtc="2026-10-16T20:43:00Z"/>
  <w16cex:commentExtensible w16cex:durableId="614DCF7C" w16cex:dateUtc="2026-10-28T03:51:00Z"/>
  <w16cex:commentExtensible w16cex:durableId="68ACA5CA" w16cex:dateUtc="2026-10-17T2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50FC09" w16cid:durableId="6364D754"/>
  <w16cid:commentId w16cid:paraId="085DAE53" w16cid:durableId="614DCF7C"/>
  <w16cid:commentId w16cid:paraId="4BE29BA5" w16cid:durableId="4BE29BA5"/>
  <w16cid:commentId w16cid:paraId="74324399" w16cid:durableId="74324399"/>
  <w16cid:commentId w16cid:paraId="47584802" w16cid:durableId="47584802"/>
  <w16cid:commentId w16cid:paraId="5C4E2311" w16cid:durableId="5C4E2311"/>
  <w16cid:commentId w16cid:paraId="3CA42ACD" w16cid:durableId="3CA42ACD"/>
  <w16cid:commentId w16cid:paraId="010ADC55" w16cid:durableId="010ADC55"/>
  <w16cid:commentId w16cid:paraId="18B364E6" w16cid:durableId="18B364E6"/>
  <w16cid:commentId w16cid:paraId="353291FD" w16cid:durableId="353291FD"/>
  <w16cid:commentId w16cid:paraId="7017725C" w16cid:durableId="7017725C"/>
  <w16cid:commentId w16cid:paraId="4267B081" w16cid:durableId="68ACA5CA"/>
  <w16cid:commentId w16cid:paraId="4E8B14A4" w16cid:durableId="4E8B14A4"/>
  <w16cid:commentId w16cid:paraId="48A3B84F" w16cid:durableId="48A3B8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E5168" w14:textId="77777777" w:rsidR="00D8137E" w:rsidRDefault="00D8137E" w:rsidP="003A42DE">
      <w:pPr>
        <w:spacing w:after="0" w:line="240" w:lineRule="auto"/>
      </w:pPr>
      <w:r>
        <w:separator/>
      </w:r>
    </w:p>
  </w:endnote>
  <w:endnote w:type="continuationSeparator" w:id="0">
    <w:p w14:paraId="5D14E5AB" w14:textId="77777777" w:rsidR="00D8137E" w:rsidRDefault="00D8137E" w:rsidP="003A42DE">
      <w:pPr>
        <w:spacing w:after="0" w:line="240" w:lineRule="auto"/>
      </w:pPr>
      <w:r>
        <w:continuationSeparator/>
      </w:r>
    </w:p>
  </w:endnote>
  <w:endnote w:type="continuationNotice" w:id="1">
    <w:p w14:paraId="0D4F5D63" w14:textId="77777777" w:rsidR="00D8137E" w:rsidRDefault="00D813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8039" w14:textId="77777777" w:rsidR="00F7315A" w:rsidRDefault="00F7315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7BAA" w14:textId="77777777" w:rsidR="00F7315A" w:rsidRDefault="00F7315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D5BB1" w14:textId="77777777" w:rsidR="00D8137E" w:rsidRDefault="00D8137E" w:rsidP="003A42DE">
      <w:pPr>
        <w:spacing w:after="0" w:line="240" w:lineRule="auto"/>
      </w:pPr>
      <w:r>
        <w:separator/>
      </w:r>
    </w:p>
  </w:footnote>
  <w:footnote w:type="continuationSeparator" w:id="0">
    <w:p w14:paraId="579BCA10" w14:textId="77777777" w:rsidR="00D8137E" w:rsidRDefault="00D8137E" w:rsidP="003A42DE">
      <w:pPr>
        <w:spacing w:after="0" w:line="240" w:lineRule="auto"/>
      </w:pPr>
      <w:r>
        <w:continuationSeparator/>
      </w:r>
    </w:p>
  </w:footnote>
  <w:footnote w:type="continuationNotice" w:id="1">
    <w:p w14:paraId="3A5748FB" w14:textId="77777777" w:rsidR="00D8137E" w:rsidRDefault="00D813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55E7" w14:textId="77777777" w:rsidR="00F7315A" w:rsidRDefault="00F7315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F94B" w14:textId="77777777" w:rsidR="00F7315A" w:rsidRDefault="00F7315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8372" w14:textId="77777777" w:rsidR="00F7315A" w:rsidRDefault="00F7315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12C5E"/>
    <w:rsid w:val="0002189B"/>
    <w:rsid w:val="00022D84"/>
    <w:rsid w:val="0002738F"/>
    <w:rsid w:val="00033AFD"/>
    <w:rsid w:val="00034BFA"/>
    <w:rsid w:val="000354CF"/>
    <w:rsid w:val="000364B1"/>
    <w:rsid w:val="00040E39"/>
    <w:rsid w:val="00040EFC"/>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B2DAD"/>
    <w:rsid w:val="000C1A64"/>
    <w:rsid w:val="000D184E"/>
    <w:rsid w:val="000D1D2F"/>
    <w:rsid w:val="000D2E62"/>
    <w:rsid w:val="000D59B2"/>
    <w:rsid w:val="000E3374"/>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44295"/>
    <w:rsid w:val="00151611"/>
    <w:rsid w:val="00161CD2"/>
    <w:rsid w:val="001653BF"/>
    <w:rsid w:val="00173733"/>
    <w:rsid w:val="001801E9"/>
    <w:rsid w:val="00182C91"/>
    <w:rsid w:val="00183178"/>
    <w:rsid w:val="00183B77"/>
    <w:rsid w:val="00183D34"/>
    <w:rsid w:val="00187D84"/>
    <w:rsid w:val="0019695A"/>
    <w:rsid w:val="001A09B8"/>
    <w:rsid w:val="001B5F56"/>
    <w:rsid w:val="001C3A23"/>
    <w:rsid w:val="001C466B"/>
    <w:rsid w:val="001D2162"/>
    <w:rsid w:val="001D2880"/>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1684"/>
    <w:rsid w:val="00274644"/>
    <w:rsid w:val="00277029"/>
    <w:rsid w:val="00282BB9"/>
    <w:rsid w:val="0028319F"/>
    <w:rsid w:val="0028377E"/>
    <w:rsid w:val="00283BF5"/>
    <w:rsid w:val="00292D3B"/>
    <w:rsid w:val="00292E82"/>
    <w:rsid w:val="00296DAE"/>
    <w:rsid w:val="002A2038"/>
    <w:rsid w:val="002A3D11"/>
    <w:rsid w:val="002A43EA"/>
    <w:rsid w:val="002A5205"/>
    <w:rsid w:val="002B1184"/>
    <w:rsid w:val="002B210E"/>
    <w:rsid w:val="002B2B77"/>
    <w:rsid w:val="002B6CCD"/>
    <w:rsid w:val="002C2464"/>
    <w:rsid w:val="002C42D2"/>
    <w:rsid w:val="002D0BA1"/>
    <w:rsid w:val="002D127E"/>
    <w:rsid w:val="002D2D56"/>
    <w:rsid w:val="002D3FF3"/>
    <w:rsid w:val="002F13AB"/>
    <w:rsid w:val="00303FAE"/>
    <w:rsid w:val="00307027"/>
    <w:rsid w:val="0031063D"/>
    <w:rsid w:val="00312291"/>
    <w:rsid w:val="00312DDE"/>
    <w:rsid w:val="00314FAC"/>
    <w:rsid w:val="00316B1F"/>
    <w:rsid w:val="00321068"/>
    <w:rsid w:val="00323779"/>
    <w:rsid w:val="00323D27"/>
    <w:rsid w:val="0033305F"/>
    <w:rsid w:val="003350D0"/>
    <w:rsid w:val="00337362"/>
    <w:rsid w:val="0034511C"/>
    <w:rsid w:val="00347818"/>
    <w:rsid w:val="00351653"/>
    <w:rsid w:val="00351BF2"/>
    <w:rsid w:val="003524E5"/>
    <w:rsid w:val="00352D66"/>
    <w:rsid w:val="00353DC8"/>
    <w:rsid w:val="00354AA2"/>
    <w:rsid w:val="00355C73"/>
    <w:rsid w:val="00361B6F"/>
    <w:rsid w:val="003624B4"/>
    <w:rsid w:val="00364B04"/>
    <w:rsid w:val="003668EB"/>
    <w:rsid w:val="003717FC"/>
    <w:rsid w:val="003749AB"/>
    <w:rsid w:val="00375FE4"/>
    <w:rsid w:val="0038410E"/>
    <w:rsid w:val="00386EEC"/>
    <w:rsid w:val="00396413"/>
    <w:rsid w:val="00396C9A"/>
    <w:rsid w:val="003A42DE"/>
    <w:rsid w:val="003A4E55"/>
    <w:rsid w:val="003B3398"/>
    <w:rsid w:val="003C7935"/>
    <w:rsid w:val="003D11BE"/>
    <w:rsid w:val="003D3FEE"/>
    <w:rsid w:val="003D4AC5"/>
    <w:rsid w:val="003E436D"/>
    <w:rsid w:val="003F6A6A"/>
    <w:rsid w:val="00413928"/>
    <w:rsid w:val="00423538"/>
    <w:rsid w:val="004236F7"/>
    <w:rsid w:val="00423F93"/>
    <w:rsid w:val="00427B4D"/>
    <w:rsid w:val="004310D8"/>
    <w:rsid w:val="0044278D"/>
    <w:rsid w:val="004436D1"/>
    <w:rsid w:val="004451BA"/>
    <w:rsid w:val="00445ED9"/>
    <w:rsid w:val="00447ECC"/>
    <w:rsid w:val="00451A6D"/>
    <w:rsid w:val="00456F19"/>
    <w:rsid w:val="00460071"/>
    <w:rsid w:val="004612A9"/>
    <w:rsid w:val="00463883"/>
    <w:rsid w:val="00466CB5"/>
    <w:rsid w:val="00467E86"/>
    <w:rsid w:val="00470D8F"/>
    <w:rsid w:val="0047216B"/>
    <w:rsid w:val="00472F5B"/>
    <w:rsid w:val="00475E1F"/>
    <w:rsid w:val="004762F1"/>
    <w:rsid w:val="00480A33"/>
    <w:rsid w:val="00485185"/>
    <w:rsid w:val="00485643"/>
    <w:rsid w:val="0049206E"/>
    <w:rsid w:val="00495EB5"/>
    <w:rsid w:val="00496EB5"/>
    <w:rsid w:val="004A3312"/>
    <w:rsid w:val="004B14BB"/>
    <w:rsid w:val="004B2A9C"/>
    <w:rsid w:val="004B65CF"/>
    <w:rsid w:val="004C0465"/>
    <w:rsid w:val="004C33F1"/>
    <w:rsid w:val="004C591E"/>
    <w:rsid w:val="004C7418"/>
    <w:rsid w:val="004D3E2F"/>
    <w:rsid w:val="004E27C1"/>
    <w:rsid w:val="004E5E69"/>
    <w:rsid w:val="004E61E1"/>
    <w:rsid w:val="004E6253"/>
    <w:rsid w:val="004F262B"/>
    <w:rsid w:val="004F58CC"/>
    <w:rsid w:val="00506A7D"/>
    <w:rsid w:val="00506D76"/>
    <w:rsid w:val="00510C7F"/>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0B43"/>
    <w:rsid w:val="005925FC"/>
    <w:rsid w:val="005953DB"/>
    <w:rsid w:val="0059689A"/>
    <w:rsid w:val="00597864"/>
    <w:rsid w:val="005A1AD9"/>
    <w:rsid w:val="005B1C70"/>
    <w:rsid w:val="005B3A9E"/>
    <w:rsid w:val="005B7851"/>
    <w:rsid w:val="005C2DC2"/>
    <w:rsid w:val="005C31C4"/>
    <w:rsid w:val="005C69F8"/>
    <w:rsid w:val="005D3F12"/>
    <w:rsid w:val="005D438E"/>
    <w:rsid w:val="005D6271"/>
    <w:rsid w:val="005E3F4E"/>
    <w:rsid w:val="00600D42"/>
    <w:rsid w:val="00601B09"/>
    <w:rsid w:val="0060333D"/>
    <w:rsid w:val="00606896"/>
    <w:rsid w:val="00611216"/>
    <w:rsid w:val="0061262D"/>
    <w:rsid w:val="00612974"/>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ACD"/>
    <w:rsid w:val="00661CF3"/>
    <w:rsid w:val="00665626"/>
    <w:rsid w:val="006658A2"/>
    <w:rsid w:val="00671C2C"/>
    <w:rsid w:val="00672FEA"/>
    <w:rsid w:val="00684AF2"/>
    <w:rsid w:val="00684EAC"/>
    <w:rsid w:val="006921E1"/>
    <w:rsid w:val="00693B0D"/>
    <w:rsid w:val="006B2691"/>
    <w:rsid w:val="006B2A89"/>
    <w:rsid w:val="006B2CF6"/>
    <w:rsid w:val="006B555B"/>
    <w:rsid w:val="006C2F8C"/>
    <w:rsid w:val="006C6C58"/>
    <w:rsid w:val="006C6E29"/>
    <w:rsid w:val="006D07B9"/>
    <w:rsid w:val="006D0993"/>
    <w:rsid w:val="006D3824"/>
    <w:rsid w:val="006F10C9"/>
    <w:rsid w:val="006F725D"/>
    <w:rsid w:val="007055C1"/>
    <w:rsid w:val="00711FE9"/>
    <w:rsid w:val="007135BF"/>
    <w:rsid w:val="00723715"/>
    <w:rsid w:val="00726567"/>
    <w:rsid w:val="00730800"/>
    <w:rsid w:val="007324D4"/>
    <w:rsid w:val="007378F8"/>
    <w:rsid w:val="0074412C"/>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0B27"/>
    <w:rsid w:val="007B265E"/>
    <w:rsid w:val="007B4139"/>
    <w:rsid w:val="007C0FEF"/>
    <w:rsid w:val="007C196D"/>
    <w:rsid w:val="007C4969"/>
    <w:rsid w:val="007C4990"/>
    <w:rsid w:val="007C6C7B"/>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6390F"/>
    <w:rsid w:val="0087110A"/>
    <w:rsid w:val="00877CCC"/>
    <w:rsid w:val="00877F2B"/>
    <w:rsid w:val="00882188"/>
    <w:rsid w:val="00885C87"/>
    <w:rsid w:val="008962D0"/>
    <w:rsid w:val="008966E3"/>
    <w:rsid w:val="008A01E9"/>
    <w:rsid w:val="008A4445"/>
    <w:rsid w:val="008A49BC"/>
    <w:rsid w:val="008A56A3"/>
    <w:rsid w:val="008A7E58"/>
    <w:rsid w:val="008B45C4"/>
    <w:rsid w:val="008B686B"/>
    <w:rsid w:val="008C306F"/>
    <w:rsid w:val="008C34E5"/>
    <w:rsid w:val="008C4183"/>
    <w:rsid w:val="008C641E"/>
    <w:rsid w:val="008C76BC"/>
    <w:rsid w:val="008C7D23"/>
    <w:rsid w:val="008D0C9F"/>
    <w:rsid w:val="008D5996"/>
    <w:rsid w:val="008D721A"/>
    <w:rsid w:val="008E143C"/>
    <w:rsid w:val="008F4440"/>
    <w:rsid w:val="008F7683"/>
    <w:rsid w:val="00911601"/>
    <w:rsid w:val="00921617"/>
    <w:rsid w:val="00921948"/>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B6853"/>
    <w:rsid w:val="009C1026"/>
    <w:rsid w:val="009C4045"/>
    <w:rsid w:val="009C5448"/>
    <w:rsid w:val="009C7BCB"/>
    <w:rsid w:val="009D0769"/>
    <w:rsid w:val="009D0BA0"/>
    <w:rsid w:val="009D1137"/>
    <w:rsid w:val="009D2DF1"/>
    <w:rsid w:val="009D349F"/>
    <w:rsid w:val="009D46CA"/>
    <w:rsid w:val="009E1221"/>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37A9D"/>
    <w:rsid w:val="00A40F2C"/>
    <w:rsid w:val="00A41999"/>
    <w:rsid w:val="00A430EB"/>
    <w:rsid w:val="00A47396"/>
    <w:rsid w:val="00A573A3"/>
    <w:rsid w:val="00A6481B"/>
    <w:rsid w:val="00A72414"/>
    <w:rsid w:val="00A7422B"/>
    <w:rsid w:val="00A743A0"/>
    <w:rsid w:val="00A773CE"/>
    <w:rsid w:val="00A80091"/>
    <w:rsid w:val="00A8346D"/>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E64B6"/>
    <w:rsid w:val="00AF1B4E"/>
    <w:rsid w:val="00AF5AFB"/>
    <w:rsid w:val="00B00941"/>
    <w:rsid w:val="00B04942"/>
    <w:rsid w:val="00B0675D"/>
    <w:rsid w:val="00B12207"/>
    <w:rsid w:val="00B1604B"/>
    <w:rsid w:val="00B17310"/>
    <w:rsid w:val="00B248B7"/>
    <w:rsid w:val="00B25170"/>
    <w:rsid w:val="00B30DAE"/>
    <w:rsid w:val="00B3408D"/>
    <w:rsid w:val="00B37857"/>
    <w:rsid w:val="00B41866"/>
    <w:rsid w:val="00B525A4"/>
    <w:rsid w:val="00B5663B"/>
    <w:rsid w:val="00B606B1"/>
    <w:rsid w:val="00B60851"/>
    <w:rsid w:val="00B62DB5"/>
    <w:rsid w:val="00B641BB"/>
    <w:rsid w:val="00B73FAD"/>
    <w:rsid w:val="00B75D6D"/>
    <w:rsid w:val="00B87BF7"/>
    <w:rsid w:val="00B90CEF"/>
    <w:rsid w:val="00B96606"/>
    <w:rsid w:val="00BA3360"/>
    <w:rsid w:val="00BA65D0"/>
    <w:rsid w:val="00BA6F38"/>
    <w:rsid w:val="00BA700C"/>
    <w:rsid w:val="00BB2608"/>
    <w:rsid w:val="00BB2A4E"/>
    <w:rsid w:val="00BB32DE"/>
    <w:rsid w:val="00BB6749"/>
    <w:rsid w:val="00BC1A88"/>
    <w:rsid w:val="00BC439E"/>
    <w:rsid w:val="00BD03AB"/>
    <w:rsid w:val="00BE143B"/>
    <w:rsid w:val="00BE75D7"/>
    <w:rsid w:val="00BF1494"/>
    <w:rsid w:val="00BF173F"/>
    <w:rsid w:val="00BF4903"/>
    <w:rsid w:val="00C01659"/>
    <w:rsid w:val="00C06269"/>
    <w:rsid w:val="00C12218"/>
    <w:rsid w:val="00C13D11"/>
    <w:rsid w:val="00C20481"/>
    <w:rsid w:val="00C21B40"/>
    <w:rsid w:val="00C22469"/>
    <w:rsid w:val="00C249B8"/>
    <w:rsid w:val="00C30F6D"/>
    <w:rsid w:val="00C32ACE"/>
    <w:rsid w:val="00C33B77"/>
    <w:rsid w:val="00C341CF"/>
    <w:rsid w:val="00C34425"/>
    <w:rsid w:val="00C35090"/>
    <w:rsid w:val="00C3701F"/>
    <w:rsid w:val="00C40A19"/>
    <w:rsid w:val="00C4378B"/>
    <w:rsid w:val="00C57E17"/>
    <w:rsid w:val="00C64F90"/>
    <w:rsid w:val="00C6664A"/>
    <w:rsid w:val="00C7116D"/>
    <w:rsid w:val="00C85DF2"/>
    <w:rsid w:val="00C86C2D"/>
    <w:rsid w:val="00C92DD5"/>
    <w:rsid w:val="00C940E8"/>
    <w:rsid w:val="00C94119"/>
    <w:rsid w:val="00C952EA"/>
    <w:rsid w:val="00C962CA"/>
    <w:rsid w:val="00CA06BB"/>
    <w:rsid w:val="00CA324E"/>
    <w:rsid w:val="00CB0848"/>
    <w:rsid w:val="00CB4353"/>
    <w:rsid w:val="00CB4E4C"/>
    <w:rsid w:val="00CB6E7F"/>
    <w:rsid w:val="00CB7FF8"/>
    <w:rsid w:val="00CC0AA1"/>
    <w:rsid w:val="00CC7150"/>
    <w:rsid w:val="00CD0AA9"/>
    <w:rsid w:val="00CD23C3"/>
    <w:rsid w:val="00CD417F"/>
    <w:rsid w:val="00CF0581"/>
    <w:rsid w:val="00CF247F"/>
    <w:rsid w:val="00CF6AE6"/>
    <w:rsid w:val="00CF75DB"/>
    <w:rsid w:val="00CF7709"/>
    <w:rsid w:val="00D0207F"/>
    <w:rsid w:val="00D04BD8"/>
    <w:rsid w:val="00D06E4A"/>
    <w:rsid w:val="00D07310"/>
    <w:rsid w:val="00D101EF"/>
    <w:rsid w:val="00D1067B"/>
    <w:rsid w:val="00D12579"/>
    <w:rsid w:val="00D12D71"/>
    <w:rsid w:val="00D135AB"/>
    <w:rsid w:val="00D1396B"/>
    <w:rsid w:val="00D14D52"/>
    <w:rsid w:val="00D1563B"/>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7647D"/>
    <w:rsid w:val="00D80EBC"/>
    <w:rsid w:val="00D8137E"/>
    <w:rsid w:val="00D84490"/>
    <w:rsid w:val="00D85E07"/>
    <w:rsid w:val="00D9046F"/>
    <w:rsid w:val="00D954E7"/>
    <w:rsid w:val="00DA13F0"/>
    <w:rsid w:val="00DA7998"/>
    <w:rsid w:val="00DB1301"/>
    <w:rsid w:val="00DB342D"/>
    <w:rsid w:val="00DB6222"/>
    <w:rsid w:val="00DC71DB"/>
    <w:rsid w:val="00DD433D"/>
    <w:rsid w:val="00DE599B"/>
    <w:rsid w:val="00DF0654"/>
    <w:rsid w:val="00DF2670"/>
    <w:rsid w:val="00DF2730"/>
    <w:rsid w:val="00E00326"/>
    <w:rsid w:val="00E15F4E"/>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771BF"/>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EF330D"/>
    <w:rsid w:val="00F041BA"/>
    <w:rsid w:val="00F055DD"/>
    <w:rsid w:val="00F10BB8"/>
    <w:rsid w:val="00F10D23"/>
    <w:rsid w:val="00F10D69"/>
    <w:rsid w:val="00F12768"/>
    <w:rsid w:val="00F143F5"/>
    <w:rsid w:val="00F154E7"/>
    <w:rsid w:val="00F1627D"/>
    <w:rsid w:val="00F20A80"/>
    <w:rsid w:val="00F21219"/>
    <w:rsid w:val="00F3251E"/>
    <w:rsid w:val="00F32608"/>
    <w:rsid w:val="00F51F47"/>
    <w:rsid w:val="00F547F1"/>
    <w:rsid w:val="00F55638"/>
    <w:rsid w:val="00F565F8"/>
    <w:rsid w:val="00F62DEE"/>
    <w:rsid w:val="00F63CDB"/>
    <w:rsid w:val="00F66640"/>
    <w:rsid w:val="00F7315A"/>
    <w:rsid w:val="00F82A85"/>
    <w:rsid w:val="00F82B6F"/>
    <w:rsid w:val="00F8453C"/>
    <w:rsid w:val="00F84974"/>
    <w:rsid w:val="00F87022"/>
    <w:rsid w:val="00F90DC1"/>
    <w:rsid w:val="00F91D92"/>
    <w:rsid w:val="00F9351B"/>
    <w:rsid w:val="00F93A32"/>
    <w:rsid w:val="00F94A81"/>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406F2B1"/>
    <w:rsid w:val="04EB9BAA"/>
    <w:rsid w:val="05C072E5"/>
    <w:rsid w:val="061EE5CE"/>
    <w:rsid w:val="066636ED"/>
    <w:rsid w:val="0741BAA1"/>
    <w:rsid w:val="07BAB62F"/>
    <w:rsid w:val="08624999"/>
    <w:rsid w:val="08795635"/>
    <w:rsid w:val="08BDBA2B"/>
    <w:rsid w:val="0A795B63"/>
    <w:rsid w:val="0A8ECADD"/>
    <w:rsid w:val="0BFCE006"/>
    <w:rsid w:val="0D003B5C"/>
    <w:rsid w:val="0E60C260"/>
    <w:rsid w:val="0E71A7A9"/>
    <w:rsid w:val="0ECBDBCC"/>
    <w:rsid w:val="0F16BAD4"/>
    <w:rsid w:val="0F49A558"/>
    <w:rsid w:val="0F4CCC86"/>
    <w:rsid w:val="105F35C5"/>
    <w:rsid w:val="106E20DE"/>
    <w:rsid w:val="10E575B9"/>
    <w:rsid w:val="10E89CE7"/>
    <w:rsid w:val="1281461A"/>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E275A0"/>
    <w:rsid w:val="1FAFCC66"/>
    <w:rsid w:val="22242253"/>
    <w:rsid w:val="2259356D"/>
    <w:rsid w:val="232923D0"/>
    <w:rsid w:val="248F4127"/>
    <w:rsid w:val="249E222A"/>
    <w:rsid w:val="255B7F74"/>
    <w:rsid w:val="26A9A53C"/>
    <w:rsid w:val="27623DE6"/>
    <w:rsid w:val="27FF6AAD"/>
    <w:rsid w:val="28500164"/>
    <w:rsid w:val="29FC1AE8"/>
    <w:rsid w:val="2AE1B6B7"/>
    <w:rsid w:val="2AE79E71"/>
    <w:rsid w:val="2AF5D78B"/>
    <w:rsid w:val="2B008F55"/>
    <w:rsid w:val="2BDF0338"/>
    <w:rsid w:val="2DA0D32B"/>
    <w:rsid w:val="2DD61D48"/>
    <w:rsid w:val="2F1C19A9"/>
    <w:rsid w:val="2F6C8503"/>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15F5732"/>
    <w:rsid w:val="5212BFAD"/>
    <w:rsid w:val="52E52664"/>
    <w:rsid w:val="53A37578"/>
    <w:rsid w:val="54AAEF1D"/>
    <w:rsid w:val="57608C97"/>
    <w:rsid w:val="5774762B"/>
    <w:rsid w:val="58BC1B45"/>
    <w:rsid w:val="595140BA"/>
    <w:rsid w:val="5B188E3D"/>
    <w:rsid w:val="5D37D7FE"/>
    <w:rsid w:val="5DC7BB1E"/>
    <w:rsid w:val="5E27D90B"/>
    <w:rsid w:val="5E6879DC"/>
    <w:rsid w:val="5F1409FE"/>
    <w:rsid w:val="606F78C0"/>
    <w:rsid w:val="60D920B7"/>
    <w:rsid w:val="61757AFC"/>
    <w:rsid w:val="620B4921"/>
    <w:rsid w:val="62AAAE4B"/>
    <w:rsid w:val="63342658"/>
    <w:rsid w:val="63C11CD1"/>
    <w:rsid w:val="63C2EF9E"/>
    <w:rsid w:val="64275D2D"/>
    <w:rsid w:val="643043B2"/>
    <w:rsid w:val="6465318A"/>
    <w:rsid w:val="64971A8F"/>
    <w:rsid w:val="64BEBE7C"/>
    <w:rsid w:val="6542E9E3"/>
    <w:rsid w:val="65A9FB65"/>
    <w:rsid w:val="65C26DF6"/>
    <w:rsid w:val="666768FE"/>
    <w:rsid w:val="667AE318"/>
    <w:rsid w:val="6708FB6D"/>
    <w:rsid w:val="675A84C2"/>
    <w:rsid w:val="67CD610C"/>
    <w:rsid w:val="68A32AA9"/>
    <w:rsid w:val="6A1CED46"/>
    <w:rsid w:val="6BAC55FA"/>
    <w:rsid w:val="6BB8BDA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pje.tjdft.jus.br/pje/seam/resource/rest/pje-legacy/documento/download/TJDFT/1g/4559007/253143879" TargetMode="External"/><Relationship Id="rId26" Type="http://schemas.openxmlformats.org/officeDocument/2006/relationships/hyperlink" Target="https://pje.tjdft.jus.br/pje/seam/resource/rest/pje-legacy/documento/download/TJDFT/1g/4559007/268153459" TargetMode="External"/><Relationship Id="rId39"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pje.tjdft.jus.br/pje/seam/resource/rest/pje-legacy/documento/download/TJDFT/1g/4559007/261045297" TargetMode="External"/><Relationship Id="rId34" Type="http://schemas.openxmlformats.org/officeDocument/2006/relationships/footer" Target="footer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pje.tjdft.jus.br/pje/seam/resource/rest/pje-legacy/documento/download/TJDFT/1g/4559007/250812668" TargetMode="External"/><Relationship Id="rId25" Type="http://schemas.openxmlformats.org/officeDocument/2006/relationships/hyperlink" Target="https://pje.tjdft.jus.br/pje/seam/resource/rest/pje-legacy/documento/download/TJDFT/1g/4559007/264945169"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TJDFT/1g/4559007/250020964" TargetMode="External"/><Relationship Id="rId20" Type="http://schemas.openxmlformats.org/officeDocument/2006/relationships/hyperlink" Target="https://pje.tjdft.jus.br/pje/seam/resource/rest/pje-legacy/documento/download/TJDFT/1g/4559007/257901515" TargetMode="External"/><Relationship Id="rId29" Type="http://schemas.openxmlformats.org/officeDocument/2006/relationships/hyperlink" Target="https://pje.tjdft.jus.br/pje/seam/resource/rest/pje-legacy/documento/download/TJDFT/1g/4559007/27491091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pje.tjdft.jus.br/pje/seam/resource/rest/pje-legacy/documento/download/TJDFT/1g/4559007/268145515"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yperlink" Target="https://pje.tjdft.jus.br/pje/seam/resource/rest/pje-legacy/documento/download/278952686" TargetMode="External"/><Relationship Id="rId23" Type="http://schemas.openxmlformats.org/officeDocument/2006/relationships/hyperlink" Target="https://pje.tjdft.jus.br/pje/seam/resource/rest/pje-legacy/documento/download/TJDFT/1g/4559007/264945193" TargetMode="External"/><Relationship Id="rId28" Type="http://schemas.openxmlformats.org/officeDocument/2006/relationships/hyperlink" Target="https://pje.tjdft.jus.br/pje/seam/resource/rest/pje-legacy/documento/download/TJDFT/1g/4559007/274791470" TargetMode="External"/><Relationship Id="rId36"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pje.tjdft.jus.br/pje/seam/resource/rest/pje-legacy/documento/download/TJDFT/1g/4559007/256883117" TargetMode="External"/><Relationship Id="rId31" Type="http://schemas.openxmlformats.org/officeDocument/2006/relationships/hyperlink" Target="https://pje.tjdft.jus.br/pje/seam/resource/rest/pje-legacy/documento/download/TJDFT/1g/4559007/278922334"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pje.tjdft.jus.br/pje/seam/resource/rest/pje-legacy/documento/download/TJDFT/1g/4559007/268141477" TargetMode="External"/><Relationship Id="rId27" Type="http://schemas.openxmlformats.org/officeDocument/2006/relationships/hyperlink" Target="https://pje.tjdft.jus.br/pje/seam/resource/rest/pje-legacy/documento/download/TJDFT/1g/4559007/265477833" TargetMode="External"/><Relationship Id="rId30" Type="http://schemas.openxmlformats.org/officeDocument/2006/relationships/hyperlink" Target="https://pje.tjdft.jus.br/pje/seam/resource/rest/pje-legacy/documento/download/TJDFT/1g/4559007/274932139" TargetMode="External"/><Relationship Id="rId35"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9695A"/>
    <w:rsid w:val="001B0F6A"/>
    <w:rsid w:val="001E2AC0"/>
    <w:rsid w:val="00277029"/>
    <w:rsid w:val="002C7E0E"/>
    <w:rsid w:val="002F13AB"/>
    <w:rsid w:val="003060EF"/>
    <w:rsid w:val="00364B04"/>
    <w:rsid w:val="003D50C8"/>
    <w:rsid w:val="00427B4D"/>
    <w:rsid w:val="00465A25"/>
    <w:rsid w:val="004756EB"/>
    <w:rsid w:val="00480A0E"/>
    <w:rsid w:val="004C591E"/>
    <w:rsid w:val="00515AB3"/>
    <w:rsid w:val="00534782"/>
    <w:rsid w:val="005953DB"/>
    <w:rsid w:val="005E4FE9"/>
    <w:rsid w:val="007055C1"/>
    <w:rsid w:val="00730800"/>
    <w:rsid w:val="007644D6"/>
    <w:rsid w:val="00773803"/>
    <w:rsid w:val="0077693D"/>
    <w:rsid w:val="00816916"/>
    <w:rsid w:val="00855F86"/>
    <w:rsid w:val="008B686B"/>
    <w:rsid w:val="008C4978"/>
    <w:rsid w:val="009A52A1"/>
    <w:rsid w:val="009C5448"/>
    <w:rsid w:val="00AB26AC"/>
    <w:rsid w:val="00AD59B1"/>
    <w:rsid w:val="00B9403F"/>
    <w:rsid w:val="00C34425"/>
    <w:rsid w:val="00C7198A"/>
    <w:rsid w:val="00CB636A"/>
    <w:rsid w:val="00CC4909"/>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94DF51-C626-46D6-9B34-7D002B23C576}">
  <we:reference id="WA200010453" version="1.0.0.1" store="Omex" storeType="OMEX"/>
  <we:alternateReferences>
    <we:reference id="WA200010453" version="1.0.0.1" store="WA200010453" storeType="OMEX"/>
  </we:alternateReferences>
  <we:properties>
    <we:property name="claude.fileId" value="&quot;93b4da58-1fb2-4d92-8594-52e9ff4244d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8" ma:contentTypeDescription="Crie um novo documento." ma:contentTypeScope="" ma:versionID="3cee0f4348c9f87d467916823ae4111d">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eda96f669a4dc346093512d88a350045"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3.xml><?xml version="1.0" encoding="utf-8"?>
<ds:datastoreItem xmlns:ds="http://schemas.openxmlformats.org/officeDocument/2006/customXml" ds:itemID="{02C1B89D-59C7-4079-B593-01F9D156F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4374</Words>
  <Characters>23623</Characters>
  <Application>Microsoft Office Word</Application>
  <DocSecurity>0</DocSecurity>
  <Lines>196</Lines>
  <Paragraphs>55</Paragraphs>
  <ScaleCrop>false</ScaleCrop>
  <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3</cp:revision>
  <dcterms:created xsi:type="dcterms:W3CDTF">2026-10-27T22:07:00Z</dcterms:created>
  <dcterms:modified xsi:type="dcterms:W3CDTF">2026-10-28T03:51:00Z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