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:rsidTr="65CCD4F6" w14:paraId="4680266B" w14:textId="77777777">
        <w:trPr>
          <w:gridAfter w:val="1"/>
          <w:wAfter w:w="219" w:type="dxa"/>
        </w:trPr>
        <w:tc>
          <w:tcPr>
            <w:tcW w:w="2822" w:type="dxa"/>
            <w:tcMar/>
            <w:hideMark/>
          </w:tcPr>
          <w:p w:rsidR="00264107" w:rsidRDefault="00264107" w14:paraId="6DE29C9C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tcMar/>
            <w:hideMark/>
          </w:tcPr>
          <w:p w:rsidR="00264107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2DA0D32B" w:rsidRDefault="00264107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1D02AE0D" w:rsidRDefault="00264107" w14:paraId="15750CFE" w14:textId="77777777">
            <w:pPr>
              <w:pStyle w:val="paragraph"/>
              <w:spacing w:before="0" w:beforeAutospacing="off" w:after="0" w:afterAutospacing="off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1D02AE0D" w:rsidR="00264107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 xml:space="preserve">GABINETE DO DESEMBARGADOR SÉRGIO </w:t>
            </w:r>
            <w:commentRangeStart w:id="1514408936"/>
            <w:r w:rsidRPr="1D02AE0D" w:rsidR="00264107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ROCHA</w:t>
            </w:r>
            <w:r w:rsidRPr="1D02AE0D" w:rsidR="00264107">
              <w:rPr>
                <w:rStyle w:val="eop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 </w:t>
            </w:r>
            <w:commentRangeEnd w:id="1514408936"/>
            <w:r>
              <w:rPr>
                <w:rStyle w:val="CommentReference"/>
              </w:rPr>
              <w:commentReference w:id="1514408936"/>
            </w:r>
          </w:p>
        </w:tc>
      </w:tr>
      <w:tr w:rsidRPr="009F36E1" w:rsidR="004236F7" w:rsidTr="65CCD4F6" w14:paraId="506E1C45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1B672758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5F5D25D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000000" w14:paraId="1380D4BD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Pr="009F36E1" w:rsidR="004236F7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4236F7" w:rsidTr="65CCD4F6" w14:paraId="722A4191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585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2B3F531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376372E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sdt>
            <w:sdt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  <w:rPr>
                <w:rFonts w:cs="Arial"/>
                <w:i w:val="0"/>
                <w:iCs w:val="0"/>
                <w:sz w:val="28"/>
                <w:szCs w:val="28"/>
              </w:rPr>
            </w:sdtPr>
            <w:sdtContent>
              <w:p w:rsidRPr="009F36E1" w:rsidR="004236F7" w:rsidRDefault="004236F7" w14:paraId="7D3B975A" w14:textId="7777777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  <w:sdtEndPr>
              <w:rPr>
                <w:rFonts w:cs="Arial"/>
                <w:i w:val="0"/>
                <w:iCs w:val="0"/>
                <w:sz w:val="28"/>
                <w:szCs w:val="28"/>
              </w:rPr>
            </w:sdtEndPr>
          </w:sdt>
        </w:tc>
      </w:tr>
      <w:tr w:rsidRPr="009F36E1" w:rsidR="004236F7" w:rsidTr="65CCD4F6" w14:paraId="185BA19B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5A224AD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709DFA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4236F7" w14:paraId="77B2906D" w14:textId="709019E3">
            <w:pPr>
              <w:ind w:right="-675"/>
            </w:pPr>
            <w:r w:rsidRPr="1D02AE0D" w:rsidR="79C2F2AF">
              <w:rPr>
                <w:rFonts w:ascii="Arial" w:hAnsi="Arial" w:cs="Arial"/>
                <w:sz w:val="28"/>
                <w:szCs w:val="28"/>
              </w:rPr>
              <w:t>0740782-31.2026.8.07.0000</w:t>
            </w:r>
          </w:p>
        </w:tc>
      </w:tr>
      <w:tr w:rsidRPr="009F36E1" w:rsidR="004236F7" w:rsidTr="65CCD4F6" w14:paraId="4B19599A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F63CDB" w:rsidR="004236F7" w:rsidRDefault="00000000" w14:paraId="0E538277" w14:textId="77777777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Pr="00F63CDB" w:rsidR="004236F7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34C0C9D3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P="650595E1" w:rsidRDefault="004236F7" w14:paraId="630B7F23" w14:textId="0BFB1D5C">
            <w:pPr>
              <w:jc w:val="both"/>
            </w:pPr>
            <w:r w:rsidRPr="1D02AE0D" w:rsidR="6973583F">
              <w:rPr>
                <w:rFonts w:ascii="Arial" w:hAnsi="Arial" w:cs="Arial"/>
                <w:sz w:val="28"/>
                <w:szCs w:val="28"/>
              </w:rPr>
              <w:t>ADILSON JUNHO PEREIRA BRITO</w:t>
            </w:r>
          </w:p>
        </w:tc>
      </w:tr>
      <w:tr w:rsidRPr="009F36E1" w:rsidR="004236F7" w:rsidTr="65CCD4F6" w14:paraId="01956A99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000000" w14:paraId="268F3466" w14:textId="77777777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Pr="009F36E1" w:rsidR="004236F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Pr="009F36E1" w:rsidR="004236F7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5EDA038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P="650595E1" w:rsidRDefault="004236F7" w14:paraId="6CC5F6AE" w14:textId="2BD44AA2">
            <w:pPr>
              <w:ind w:right="-74"/>
              <w:jc w:val="both"/>
            </w:pPr>
            <w:r w:rsidRPr="1D02AE0D" w:rsidR="160C8D89">
              <w:rPr>
                <w:rFonts w:ascii="Arial" w:hAnsi="Arial" w:cs="Arial"/>
                <w:sz w:val="28"/>
                <w:szCs w:val="28"/>
              </w:rPr>
              <w:t>BRB BANCO DE BRASILIA S.A.</w:t>
            </w:r>
          </w:p>
        </w:tc>
      </w:tr>
      <w:tr w:rsidRPr="009F36E1" w:rsidR="004236F7" w:rsidTr="65CCD4F6" w14:paraId="04C2C9E0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5C272CF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65F4370D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4236F7" w14:paraId="64F0CBAE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Pr="007E1C8C" w:rsidR="008C7D23" w:rsidP="008C7D23" w:rsidRDefault="008C7D23" w14:paraId="1A8550DC" w14:textId="77777777">
      <w:pPr>
        <w:spacing w:after="0" w:line="360" w:lineRule="auto"/>
        <w:jc w:val="left"/>
      </w:pPr>
      <w:commentRangeStart w:id="0"/>
      <w:r>
        <w:rPr>
          <w:rFonts w:ascii="Arial" w:hAnsi="Arial" w:cs="Arial"/>
          <w:b/>
          <w:sz w:val="28"/>
          <w:szCs w:val="28"/>
        </w:rPr>
        <w:t xml:space="preserve">EMENTA</w:t>
      </w:r>
      <w:commentRangeEnd w:id="0"/>
      <w:r>
        <w:rPr>
          <w:rStyle w:val="CommentReference"/>
        </w:rPr>
        <w:commentReference w:id="0"/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2DFD2B4C" w:rsidP="1D02AE0D" w:rsidRDefault="2DFD2B4C" w14:paraId="55243591" w14:textId="6C2B1530">
      <w:pPr>
        <w:spacing w:after="0" w:line="360" w:lineRule="auto"/>
        <w:jc w:val="both"/>
      </w:pPr>
      <w:r>
        <w:rPr>
          <w:rFonts w:ascii="Arial" w:hAnsi="Arial" w:cs="Arial"/>
          <w:sz w:val="28"/>
          <w:szCs w:val="28"/>
        </w:rPr>
        <w:t xml:space="preserve">AGRAVO DE INSTRUMENTO. DIREITO CIVIL E BANCÁRIO. DÉBITO AUTOMÁTICO EM CONTA CORRENTE. REVOGAÇÃO DA AUTORIZAÇÃO. NOTIFICAÇÃO EXTRAJUDICIAL. TEMA 1.085/STJ. RESOLUÇÃO CMN Nº 4.790/2020. TUTELA DE URGÊNCIA. RECURSO PARCIALMENTE PROVIDO.</w:t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Pr="0034247B" w:rsidR="008C7D23" w:rsidP="008C7D23" w:rsidRDefault="008C7D23" w14:paraId="234F553A" w14:textId="77777777">
      <w:pPr>
        <w:spacing w:after="0" w:line="360" w:lineRule="auto"/>
        <w:jc w:val="both"/>
      </w:pPr>
      <w:r>
        <w:rPr>
          <w:rFonts w:ascii="Arial" w:hAnsi="Arial" w:cs="Arial"/>
          <w:b/>
          <w:sz w:val="28"/>
          <w:szCs w:val="28"/>
        </w:rPr>
        <w:t xml:space="preserve">I. Caso em exame</w:t>
      </w:r>
    </w:p>
    <w:p w:rsidR="008C7D23" w:rsidP="65CCD4F6" w:rsidRDefault="008C7D23" w14:paraId="358569AA" w14:textId="541E89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commentRangeStart w:id="1"/>
      <w:r>
        <w:rPr>
          <w:rFonts w:ascii="Arial" w:hAnsi="Arial" w:cs="Arial"/>
          <w:sz w:val="28"/>
          <w:szCs w:val="28"/>
        </w:rPr>
        <w:t xml:space="preserve">1. Ação de obrigação de fazer ajuizada por pessoa natural contra o BRB Banco de Brasília S.A., visando obstar descontos automáticos em conta corrente relativos a sete contratos de empréstimo.</w:t>
      </w:r>
      <w:commentRangeEnd w:id="1"/>
      <w:r>
        <w:rPr>
          <w:rStyle w:val="CommentReference"/>
        </w:rPr>
        <w:commentReference w:id="1"/>
      </w:r>
    </w:p>
    <w:p w:rsidR="008C7D23" w:rsidP="65CCD4F6" w:rsidRDefault="008C7D23" w14:paraId="358569AA" w14:textId="541E89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>
        <w:rPr>
          <w:rFonts w:ascii="Arial" w:hAnsi="Arial" w:cs="Arial"/>
          <w:sz w:val="28"/>
          <w:szCs w:val="28"/>
        </w:rPr>
        <w:t xml:space="preserve">2. A decisão agravada indeferiu a tutela de urgência, ao fundamento de que a notificação extrajudicial de revogação foi enviada a setor interno do banco sem pertinência com o pedido e por meio que não permite verificar a identidade do consumidor (Resolução CMN nº 4.790/2020, art. 11).</w:t>
      </w:r>
    </w:p>
    <w:p w:rsidR="008C7D23" w:rsidP="65CCD4F6" w:rsidRDefault="008C7D23" w14:paraId="358569AA" w14:textId="541E89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>
        <w:rPr>
          <w:rFonts w:ascii="Arial" w:hAnsi="Arial" w:cs="Arial"/>
          <w:sz w:val="28"/>
          <w:szCs w:val="28"/>
        </w:rPr>
        <w:t xml:space="preserve">3. O autor agravou sustentando que a notificação extrajudicial, recebida pelo banco, revogou as autorizações de débito automático dos sete contratos e requerendo a suspensão dos descontos, sem prejuízo da cobrança por outros meios.</w:t>
      </w:r>
    </w:p>
    <w:p w:rsidRPr="0034247B" w:rsidR="008C7D23" w:rsidP="008C7D23" w:rsidRDefault="008C7D23" w14:paraId="234F553A" w14:textId="77777777">
      <w:pPr>
        <w:spacing w:after="0" w:line="360" w:lineRule="auto"/>
        <w:jc w:val="both"/>
      </w:pPr>
      <w:r>
        <w:rPr>
          <w:rFonts w:ascii="Arial" w:hAnsi="Arial" w:cs="Arial"/>
          <w:b/>
          <w:sz w:val="28"/>
          <w:szCs w:val="28"/>
        </w:rPr>
        <w:t xml:space="preserve">II. Questão em discussão</w:t>
      </w:r>
    </w:p>
    <w:p w:rsidR="008C7D23" w:rsidP="1D02AE0D" w:rsidRDefault="00BC1A88" w14:paraId="7FD7E317" w14:textId="269A00A0">
      <w:pPr>
        <w:spacing w:after="0" w:line="360" w:lineRule="auto"/>
        <w:jc w:val="both"/>
      </w:pPr>
      <w:r>
        <w:rPr>
          <w:rFonts w:ascii="Arial" w:hAnsi="Arial" w:cs="Arial"/>
          <w:sz w:val="28"/>
          <w:szCs w:val="28"/>
        </w:rPr>
        <w:t xml:space="preserve">4. A questão em discussão consiste em saber se estão presentes os requisitos para suspender, em tutela de urgência, os débitos automáticos em conta corrente relativos a contratos de empréstimo cuja autorização o correntista afirma ter revogado.</w:t>
      </w:r>
    </w:p>
    <w:p w:rsidRPr="0034247B" w:rsidR="008C7D23" w:rsidP="008C7D23" w:rsidRDefault="008C7D23" w14:paraId="234F553A" w14:textId="77777777">
      <w:pPr>
        <w:spacing w:after="0" w:line="360" w:lineRule="auto"/>
        <w:jc w:val="both"/>
      </w:pPr>
      <w:r>
        <w:rPr>
          <w:rFonts w:ascii="Arial" w:hAnsi="Arial" w:cs="Arial"/>
          <w:b/>
          <w:sz w:val="28"/>
          <w:szCs w:val="28"/>
        </w:rPr>
        <w:t xml:space="preserve">III. Razões de decidir</w:t>
      </w:r>
    </w:p>
    <w:p w:rsidR="008C7D23" w:rsidP="65CCD4F6" w:rsidRDefault="008C7D23" w14:paraId="358569AA" w14:textId="541E89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>
        <w:rPr>
          <w:rFonts w:ascii="Arial" w:hAnsi="Arial" w:cs="Arial"/>
          <w:sz w:val="28"/>
          <w:szCs w:val="28"/>
        </w:rPr>
        <w:t xml:space="preserve">5. O Tema nº 1.085 do STJ reconhece a licitude dos descontos de parcelas de empréstimos bancários comuns em conta corrente apenas enquanto subsistir a autorização do mutuário, e o art. 6º da Resolução CMN nº 4.790/2020 assegura ao titular da conta o direito de cancelá-la, sem extinção da dívida.</w:t>
      </w:r>
    </w:p>
    <w:p w:rsidR="008C7D23" w:rsidP="65CCD4F6" w:rsidRDefault="008C7D23" w14:paraId="358569AA" w14:textId="541E89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>
        <w:rPr>
          <w:rFonts w:ascii="Arial" w:hAnsi="Arial" w:cs="Arial"/>
          <w:sz w:val="28"/>
          <w:szCs w:val="28"/>
        </w:rPr>
        <w:t xml:space="preserve">6. A notificação extrajudicial entregue ao banco, com a identificação do correntista e dos contratos e a assinatura, é válida a princípio, pois o art. 11 da Resolução CMN nº 4.790/2020 atribui à instituição depositária os procedimentos de confirmação da identidade e da autenticidade do cancelamento.</w:t>
      </w:r>
    </w:p>
    <w:p w:rsidR="008C7D23" w:rsidP="65CCD4F6" w:rsidRDefault="008C7D23" w14:paraId="358569AA" w14:textId="541E89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>
        <w:rPr>
          <w:rFonts w:ascii="Arial" w:hAnsi="Arial" w:cs="Arial"/>
          <w:sz w:val="28"/>
          <w:szCs w:val="28"/>
        </w:rPr>
        <w:t xml:space="preserve">7. A parcela mensal de R$ 1.030,07 do contrato nº 0152819436, de crédito pessoal, continuou a ser debitada após a notificação, e a renda líquida aproximada de R$ 5.441,14 evidencia o risco ao sustento do autor, o que autoriza a suspensão do débito (CPC 300).</w:t>
      </w:r>
    </w:p>
    <w:p w:rsidR="008C7D23" w:rsidP="65CCD4F6" w:rsidRDefault="008C7D23" w14:paraId="358569AA" w14:textId="541E89FB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>
        <w:rPr>
          <w:rFonts w:ascii="Arial" w:hAnsi="Arial" w:cs="Arial"/>
          <w:sz w:val="28"/>
          <w:szCs w:val="28"/>
        </w:rPr>
        <w:t xml:space="preserve">8. Os contratos de antecipação do 13º salário e da restituição do IRPF, de cheque especial e de empréstimo consignado (BRB Serv) têm contratação específica, o que não permite, em cognição sumária, a suspensão dos descontos correspondentes.</w:t>
      </w:r>
    </w:p>
    <w:p w:rsidRPr="0034247B" w:rsidR="008C7D23" w:rsidP="008C7D23" w:rsidRDefault="008C7D23" w14:paraId="234F553A" w14:textId="77777777">
      <w:pPr>
        <w:spacing w:after="0" w:line="360" w:lineRule="auto"/>
        <w:jc w:val="both"/>
      </w:pPr>
      <w:r>
        <w:rPr>
          <w:rFonts w:ascii="Arial" w:hAnsi="Arial" w:cs="Arial"/>
          <w:b/>
          <w:sz w:val="28"/>
          <w:szCs w:val="28"/>
        </w:rPr>
        <w:t xml:space="preserve">IV. Dispositivo</w:t>
      </w:r>
    </w:p>
    <w:p w:rsidR="008C7D23" w:rsidP="1D02AE0D" w:rsidRDefault="00BC1A88" w14:paraId="7FD7E317" w14:textId="269A00A0">
      <w:pPr>
        <w:spacing w:after="0" w:line="360" w:lineRule="auto"/>
        <w:jc w:val="both"/>
      </w:pPr>
      <w:r>
        <w:rPr>
          <w:rFonts w:ascii="Arial" w:hAnsi="Arial" w:cs="Arial"/>
          <w:sz w:val="28"/>
          <w:szCs w:val="28"/>
        </w:rPr>
        <w:t xml:space="preserve">9. Deu-se parcial provimento ao agravo de instrumento do autor para, confirmando a liminar, determinar que o BRB Banco de Brasília S.A. se abstenha de promover descontos na conta do autor referentes ao contrato nº 0152819436, sob pena de multa diária de R$ 500,00, limitada a R$ 20.000,00, e julgou-se prejudicado o agravo interno.</w:t>
      </w:r>
    </w:p>
    <w:p w:rsidR="008C7D23" w:rsidP="008C7D23" w:rsidRDefault="008C7D23" w14:paraId="175FFAC4" w14:textId="77777777">
      <w:pPr>
        <w:spacing w:after="0" w:line="360" w:lineRule="auto"/>
        <w:jc w:val="both"/>
      </w:pPr>
    </w:p>
    <w:p w:rsidR="008C7D23" w:rsidP="1D02AE0D" w:rsidRDefault="008C7D23" w14:paraId="5823ECFF" w14:textId="76A8649C">
      <w:pPr>
        <w:spacing w:after="0" w:line="360" w:lineRule="auto"/>
        <w:jc w:val="both"/>
      </w:pPr>
      <w:commentRangeStart w:id="2"/>
      <w:r>
        <w:rPr>
          <w:rFonts w:ascii="Arial" w:hAnsi="Arial" w:cs="Arial"/>
          <w:i/>
          <w:sz w:val="26"/>
          <w:szCs w:val="26"/>
        </w:rPr>
        <w:t xml:space="preserve">Dispositivos relevantes citados:</w:t>
      </w:r>
      <w:r>
        <w:rPr>
          <w:rFonts w:ascii="Arial" w:hAnsi="Arial" w:cs="Arial"/>
          <w:sz w:val="26"/>
          <w:szCs w:val="26"/>
        </w:rPr>
        <w:t xml:space="preserve"> CPC, art. 300; Resolução CMN nº 4.790/2020, arts. 6º e 11.</w:t>
      </w:r>
      <w:commentRangeEnd w:id="2"/>
      <w:r>
        <w:rPr>
          <w:rStyle w:val="CommentReference"/>
        </w:rPr>
        <w:commentReference w:id="2"/>
      </w:r>
    </w:p>
    <w:p w:rsidR="008C7D23" w:rsidP="65CCD4F6" w:rsidRDefault="008C7D23" w14:paraId="76E088E2" w14:textId="378CC7A8">
      <w:pPr>
        <w:spacing w:after="0" w:line="360" w:lineRule="auto"/>
        <w:jc w:val="both"/>
      </w:pPr>
      <w:commentRangeStart w:id="3"/>
      <w:r>
        <w:rPr>
          <w:rFonts w:ascii="Arial" w:hAnsi="Arial" w:cs="Arial"/>
          <w:i/>
          <w:sz w:val="26"/>
          <w:szCs w:val="26"/>
        </w:rPr>
        <w:t xml:space="preserve">Jurisprudência relevante citada:</w:t>
      </w:r>
      <w:r>
        <w:rPr>
          <w:rFonts w:ascii="Arial" w:hAnsi="Arial" w:cs="Arial"/>
          <w:sz w:val="26"/>
          <w:szCs w:val="26"/>
        </w:rPr>
        <w:t xml:space="preserve"> STJ, REsp nº 1.863.973/SP, Rel. Min. Marco Aurélio Bellizze, Segunda Seção, j. 09/03/2022, DJe 15/03/2022, Tema 1.085; TJDFT, Acórdão 2070018, Processo nº 0715071-08.2023.8.07.0007, Rel. Des. James Eduardo Oliveira, Rel. Designado Des. Aiston Henrique de Sousa, 4ª Turma Cível, j. 19/11/2025, DJe 17/12/2025; TJDFT, Acórdão 2163048, Processo nº 0724749-63.2026.8.07.0000, Rel. Des. Roberval Casemiro Belinati, 4ª Turma Cível, j. 05/08/2026, DJe 28/08/2026.</w:t>
      </w:r>
      <w:commentRangeEnd w:id="3"/>
      <w:r>
        <w:rPr>
          <w:rStyle w:val="CommentReference"/>
        </w:rPr>
        <w:commentReference w:id="3"/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00173733" w:rsidP="1D02AE0D" w:rsidRDefault="00173733" w14:paraId="40A95E67" w14:textId="54922DA5">
      <w:pPr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  <w:szCs w:val="28"/>
        </w:rPr>
        <w:t xml:space="preserve">RESUMO DA DECISÃO INTERLOCUTÓRIA EM SENTIDO CONTRÁRIO</w:t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00173733" w:rsidP="1D02AE0D" w:rsidRDefault="00173733" w14:paraId="6E5B9F75" w14:textId="76720C36">
      <w:pPr>
        <w:pStyle w:val="Normal"/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  <w:szCs w:val="28"/>
        </w:rPr>
        <w:t xml:space="preserve">I. RAZÕES DE DECIDIR</w:t>
      </w:r>
    </w:p>
    <w:p w:rsidR="00173733" w:rsidP="1D02AE0D" w:rsidRDefault="00173733" w14:paraId="28F60E35" w14:textId="0813D863">
      <w:pPr>
        <w:pStyle w:val="Normal"/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  <w:szCs w:val="28"/>
        </w:rPr>
        <w:t xml:space="preserve">Notificação extrajudicial enviada a setor interno do banco</w:t>
      </w:r>
    </w:p>
    <w:p w:rsidR="00173733" w:rsidP="1D02AE0D" w:rsidRDefault="00173733" w14:paraId="48F7599B" w14:textId="1D31324A">
      <w:pPr>
        <w:pStyle w:val="PargrafodaLista"/>
        <w:numPr>
          <w:ilvl w:val="0"/>
          <w:numId w:val="5"/>
        </w:num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  <w:szCs w:val="28"/>
        </w:rPr>
        <w:t xml:space="preserve">1. O juízo consignou que a notificação extrajudicial foi enviada ao setor “Diretor Executivo de Varejo”, área interna do BRB sem pertinência com o pedido, e que, na ausência de comprovação de que o envio a esse endereço decorra de orientação previamente fornecida pela ré a seus clientes, o meio adotado não atende ao art. 11 da Resolução BACEN 4.790/2020.</w:t>
      </w:r>
    </w:p>
    <w:p w:rsidR="00173733" w:rsidP="1D02AE0D" w:rsidRDefault="00173733" w14:paraId="28F60E35" w14:textId="0813D863">
      <w:pPr>
        <w:pStyle w:val="Normal"/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  <w:szCs w:val="28"/>
        </w:rPr>
        <w:t xml:space="preserve">Identificação do solicitante</w:t>
      </w:r>
    </w:p>
    <w:p w:rsidR="00173733" w:rsidP="1D02AE0D" w:rsidRDefault="00173733" w14:paraId="48F7599B" w14:textId="1D31324A">
      <w:pPr>
        <w:pStyle w:val="PargrafodaLista"/>
        <w:numPr>
          <w:ilvl w:val="0"/>
          <w:numId w:val="5"/>
        </w:num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  <w:szCs w:val="28"/>
        </w:rPr>
        <w:t xml:space="preserve">2. A forma de comunicação deve possibilitar a verificação da identidade do consumidor e a autenticidade da autorização ou de sua revogação, o que, segundo o juízo, não se verifica no caso, e não é razoável exigir do réu o cancelamento sem que lhe seja assegurada a identificação do solicitante.</w:t>
      </w:r>
    </w:p>
    <w:p w:rsidR="00173733" w:rsidP="1D02AE0D" w:rsidRDefault="00173733" w14:paraId="6E5B9F75" w14:textId="76720C36">
      <w:pPr>
        <w:pStyle w:val="Normal"/>
        <w:spacing w:after="0" w:line="360" w:lineRule="auto"/>
        <w:jc w:val="both"/>
      </w:pPr>
      <w:r>
        <w:rPr>
          <w:rFonts w:ascii="Arial" w:hAnsi="Arial" w:cs="Arial"/>
          <w:b/>
          <w:color w:val="EE0000"/>
          <w:sz w:val="28"/>
          <w:szCs w:val="28"/>
        </w:rPr>
        <w:t xml:space="preserve">II. DISPOSITIVO DA DECISÃO</w:t>
      </w:r>
    </w:p>
    <w:p w:rsidR="00173733" w:rsidP="1D02AE0D" w:rsidRDefault="00173733" w14:paraId="48F7599B" w14:textId="1D31324A">
      <w:pPr>
        <w:pStyle w:val="PargrafodaLista"/>
        <w:numPr>
          <w:ilvl w:val="0"/>
          <w:numId w:val="5"/>
        </w:num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  <w:szCs w:val="28"/>
        </w:rPr>
        <w:t xml:space="preserve">3. Foram deferidas a prioridade na tramitação (Lei 10.741/2003, art. 71) e a gratuidade de justiça.</w:t>
      </w:r>
    </w:p>
    <w:p w:rsidR="00173733" w:rsidP="1D02AE0D" w:rsidRDefault="00173733" w14:paraId="48F7599B" w14:textId="1D31324A">
      <w:pPr>
        <w:pStyle w:val="PargrafodaLista"/>
        <w:numPr>
          <w:ilvl w:val="0"/>
          <w:numId w:val="5"/>
        </w:num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  <w:szCs w:val="28"/>
        </w:rPr>
        <w:t xml:space="preserve">4. Foi indeferido o pedido liminar de suspensão dos débitos automáticos.</w:t>
      </w:r>
    </w:p>
    <w:p w:rsidR="00173733" w:rsidP="1D02AE0D" w:rsidRDefault="00173733" w14:paraId="48F7599B" w14:textId="1D31324A">
      <w:pPr>
        <w:pStyle w:val="PargrafodaLista"/>
        <w:numPr>
          <w:ilvl w:val="0"/>
          <w:numId w:val="5"/>
        </w:numPr>
        <w:spacing w:after="0" w:line="360" w:lineRule="auto"/>
        <w:jc w:val="both"/>
      </w:pPr>
      <w:r>
        <w:rPr>
          <w:rFonts w:ascii="Arial" w:hAnsi="Arial" w:cs="Arial"/>
          <w:color w:val="EE0000"/>
          <w:sz w:val="28"/>
          <w:szCs w:val="28"/>
        </w:rPr>
        <w:t xml:space="preserve">5. Foi dispensada, por ora, a audiência de conciliação, e determinada a citação do réu para contestar no prazo de 15 (quinze) dias úteis.</w:t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Pr="00624943" w:rsidR="007E7A70" w:rsidP="1D02AE0D" w:rsidRDefault="007E7A70" w14:paraId="5990CF02" w14:textId="529635FC">
      <w:pPr>
        <w:spacing w:after="0" w:line="360" w:lineRule="auto"/>
        <w:jc w:val="center"/>
        <w:outlineLvl w:val="0"/>
      </w:pPr>
      <w:r>
        <w:rPr>
          <w:rFonts w:ascii="Arial" w:hAnsi="Arial" w:cs="Arial"/>
          <w:b/>
          <w:sz w:val="28"/>
          <w:szCs w:val="28"/>
        </w:rPr>
        <w:t xml:space="preserve">RELATÓRIO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4"/>
      <w:r>
        <w:rPr>
          <w:rFonts w:ascii="Arial" w:hAnsi="Arial" w:cs="Arial"/>
          <w:sz w:val="28"/>
          <w:szCs w:val="28"/>
        </w:rPr>
        <w:t xml:space="preserve">Adoto o relatório da liminar (ID 89370771):</w:t>
      </w:r>
      <w:commentRangeEnd w:id="4"/>
      <w:r>
        <w:rPr>
          <w:rStyle w:val="CommentReference"/>
        </w:rPr>
        <w:commentReference w:id="4"/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“Trata-se de ação pelo procedimento comum ajuizada por Adilson Junho Pereira Brito em face de BRB Banco de Brasília S.A., tendo por objeto a cessação dos descontos automáticos relativos a sete contratos de empréstimo mantidos entre as partes, com preservação da cobrança por outros meios legalmente admitidos (valor da causa - R$ 161.819,35).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O Juízo de origem indeferiu a suspensão dos débitos automáticos, sob o fundamento de que a notificação extrajudicial de revogação foi enviada a setor interno do banco réu identificado como ‘Diretor Executivo de Varejo’, sem pertinência com o pedido, e de que o meio utilizado não permitiria a verificação da identidade do consumidor nem a autenticidade da revogação (ID 288076177, processo de origem).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Inconformado, o autor/agravante interpõe o presente agravo de instrumento, sustentando, em síntese, que: </w:t>
      </w:r>
      <w:r>
        <w:rPr>
          <w:rFonts w:ascii="Arial" w:hAnsi="Arial" w:cs="Arial"/>
          <w:b/>
          <w:i/>
          <w:sz w:val="26"/>
          <w:szCs w:val="26"/>
        </w:rPr>
        <w:t xml:space="preserve">1)</w:t>
      </w:r>
      <w:r>
        <w:rPr>
          <w:rFonts w:ascii="Arial" w:hAnsi="Arial" w:cs="Arial"/>
          <w:i/>
          <w:sz w:val="26"/>
          <w:szCs w:val="26"/>
        </w:rPr>
        <w:t xml:space="preserve"> a notificação extrajudicial (ID 286639089, processo de origem) individualiza sua identidade, os contratos alcançados pela revogação e a manifestação de vontade dirigida ao BRB, e foi efetivamente recebida pela instituição financeira, conforme rastreamento dos Correios que registra a entrega em 23/07/2026, às 16h16; </w:t>
      </w:r>
      <w:r>
        <w:rPr>
          <w:rFonts w:ascii="Arial" w:hAnsi="Arial" w:cs="Arial"/>
          <w:b/>
          <w:i/>
          <w:sz w:val="26"/>
          <w:szCs w:val="26"/>
        </w:rPr>
        <w:t xml:space="preserve">2)</w:t>
      </w:r>
      <w:r>
        <w:rPr>
          <w:rFonts w:ascii="Arial" w:hAnsi="Arial" w:cs="Arial"/>
          <w:i/>
          <w:sz w:val="26"/>
          <w:szCs w:val="26"/>
        </w:rPr>
        <w:t xml:space="preserve"> o art. 6º da Resolução BACEN nº 4.790/2020 assegura ao titular da conta o direito de cancelar a autorização de débitos a qualquer tempo, sem condicionar esse direito a setor específico ou a endereço previamente indicado pela instituição financeira, e impõe a esta, nos termos dos arts. 8º e 11 da mesma resolução, o dever de comunicar o acatamento e de adotar os procedimentos de confirmação da identidade e da autenticidade; </w:t>
      </w:r>
      <w:r>
        <w:rPr>
          <w:rFonts w:ascii="Arial" w:hAnsi="Arial" w:cs="Arial"/>
          <w:b/>
          <w:i/>
          <w:sz w:val="26"/>
          <w:szCs w:val="26"/>
        </w:rPr>
        <w:t xml:space="preserve">3)</w:t>
      </w:r>
      <w:r>
        <w:rPr>
          <w:rFonts w:ascii="Arial" w:hAnsi="Arial" w:cs="Arial"/>
          <w:i/>
          <w:sz w:val="26"/>
          <w:szCs w:val="26"/>
        </w:rPr>
        <w:t xml:space="preserve"> mesmo após a ciência inequívoca da revogação, o BRB manteve os débitos automáticos incidentes sobre sua conta corrente/salário e gerou saldo negativo de R$ -4.100,00 nos meses de julho e agosto de 2026, o que compromete verba de natureza alimentar e configura risco concreto e continuado; </w:t>
      </w:r>
      <w:r>
        <w:rPr>
          <w:rFonts w:ascii="Arial" w:hAnsi="Arial" w:cs="Arial"/>
          <w:b/>
          <w:i/>
          <w:sz w:val="26"/>
          <w:szCs w:val="26"/>
        </w:rPr>
        <w:t xml:space="preserve">4)</w:t>
      </w:r>
      <w:r>
        <w:rPr>
          <w:rFonts w:ascii="Arial" w:hAnsi="Arial" w:cs="Arial"/>
          <w:i/>
          <w:sz w:val="26"/>
          <w:szCs w:val="26"/>
        </w:rPr>
        <w:t xml:space="preserve"> a controvérsia não envolve a existência ou a exigibilidade dos contratos, mas apenas a forma de pagamento, e remanesce hígida a possibilidade de cobrança por meios ordinários, como boleto bancário ou cobrança administrativa; e </w:t>
      </w:r>
      <w:r>
        <w:rPr>
          <w:rFonts w:ascii="Arial" w:hAnsi="Arial" w:cs="Arial"/>
          <w:b/>
          <w:i/>
          <w:sz w:val="26"/>
          <w:szCs w:val="26"/>
        </w:rPr>
        <w:t xml:space="preserve">5)</w:t>
      </w:r>
      <w:r>
        <w:rPr>
          <w:rFonts w:ascii="Arial" w:hAnsi="Arial" w:cs="Arial"/>
          <w:i/>
          <w:sz w:val="26"/>
          <w:szCs w:val="26"/>
        </w:rPr>
        <w:t xml:space="preserve"> o Tema Repetitivo nº 1.085 do Superior Tribunal de Justiça reconhece a licitude dos descontos automáticos em conta corrente apenas enquanto perdurar a autorização do mutuário, e admite a sua revogação a qualquer tempo.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Requer a concessão de antecipação de tutela para determinar que o réu/agravado se abstenha de realizar débitos automáticos na conta corrente/salário do agravante relativos aos contratos nº 0152819436, 0419460420, 0419540539, 0419923527, 0420150838, 10300719310027005 e 20261119392, sem prejuízo da cobrança das respectivas obrigações por outros meios legalmente admitidos.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No mérito, postula o provimento do recurso para reformar a decisão agravada e determinar, em caráter definitivo, a cessação dos débitos automáticos.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Com parcial razão, inicialmente, o agravante.” (ID 89370771).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5"/>
      <w:r>
        <w:rPr>
          <w:rFonts w:ascii="Arial" w:hAnsi="Arial" w:cs="Arial"/>
          <w:sz w:val="28"/>
          <w:szCs w:val="28"/>
        </w:rPr>
        <w:t xml:space="preserve">Deferi parcialmente a antecipação da tutela recursal para determinar que o agravado, no prazo de 5 (cinco) dias, se abstenha de promover descontos na conta bancária do agravante referentes ao contrato nº 0152819436, sob pena de multa diária de R$ 500,00 (quinhentos reais), limitada, por ora, a R$ 20.000,00 (vinte mil reais) (ID 89370771).</w:t>
      </w:r>
      <w:commentRangeEnd w:id="5"/>
      <w:r>
        <w:rPr>
          <w:rStyle w:val="CommentReference"/>
        </w:rPr>
        <w:commentReference w:id="5"/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</w:rPr>
        <w:t xml:space="preserve">Em contrarrazões, o agravado, BRB Banco de Brasília S.A., alega que: </w:t>
      </w:r>
      <w:r>
        <w:rPr>
          <w:rFonts w:ascii="Arial" w:hAnsi="Arial" w:cs="Arial"/>
          <w:b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a decisão agravada se fundou na falta de comprovação de que a notificação, enviada ao setor ‘Diretor Executivo de Varejo’, observou os controles de identidade e de autenticidade do art. 11 da Resolução CMN nº 4.790/2020; </w:t>
      </w:r>
      <w:r>
        <w:rPr>
          <w:rFonts w:ascii="Arial" w:hAnsi="Arial" w:cs="Arial"/>
          <w:b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a entrega postal da correspondência não demonstra a validação da identidade do solicitante nem o processamento regular do cancelamento; </w:t>
      </w:r>
      <w:r>
        <w:rPr>
          <w:rFonts w:ascii="Arial" w:hAnsi="Arial" w:cs="Arial"/>
          <w:b/>
          <w:sz w:val="28"/>
          <w:szCs w:val="28"/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o Tema 1.085/STJ não define o procedimento de reconhecimento do cancelamento, e a Quarta Turma do STJ, nos REsp nº 2.267.989/DF e 2.273.522/DF, afastou a revogação unilateral sem justa causa; </w:t>
      </w:r>
      <w:r>
        <w:rPr>
          <w:rFonts w:ascii="Arial" w:hAnsi="Arial" w:cs="Arial"/>
          <w:b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a natureza salarial dos créditos não torna ilícitos os débitos autorizados, e o extrato de agosto/2026 não demonstra que a parcela de R$ 1.030,07 tenha retido a remuneração; e </w:t>
      </w:r>
      <w:r>
        <w:rPr>
          <w:rFonts w:ascii="Arial" w:hAnsi="Arial" w:cs="Arial"/>
          <w:b/>
          <w:sz w:val="28"/>
          <w:szCs w:val="28"/>
        </w:rPr>
        <w:t xml:space="preserve">5)</w:t>
      </w:r>
      <w:r>
        <w:rPr>
          <w:rFonts w:ascii="Arial" w:hAnsi="Arial" w:cs="Arial"/>
          <w:sz w:val="28"/>
          <w:szCs w:val="28"/>
        </w:rPr>
        <w:t xml:space="preserve"> os demais seis contratos têm natureza específica, como o próprio agravante reconheceu na petição de 01/10/2026. Requer o desprovimento do agravo e, quanto ao contrato nº 0152819436, a revogação da tutela recursal (ID 90715216).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</w:rPr>
        <w:t xml:space="preserve">O agravante declarou ciência da liminar e ressalvou que os descontos relativos às antecipações do 13º salário e da restituição do IRPF, ao cheque especial e ao empréstimo consignado (BRB Serv) devem observar a natureza específica de cada contratação, sem restabelecimento de autorização de débito automático (ID 90440878).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7"/>
      <w:r>
        <w:rPr>
          <w:rFonts w:ascii="Arial" w:hAnsi="Arial" w:cs="Arial"/>
          <w:sz w:val="28"/>
          <w:szCs w:val="28"/>
        </w:rPr>
        <w:t xml:space="preserve">O agravado interpôs agravo interno contra a liminar, com pedido de efeito suspensivo, em que alega que: </w:t>
      </w:r>
      <w:r>
        <w:rPr>
          <w:rFonts w:ascii="Arial" w:hAnsi="Arial" w:cs="Arial"/>
          <w:b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a documentação não demonstra o cancelamento regular da autorização, nos termos do art. 11 da Resolução CMN nº 4.790/2020; </w:t>
      </w:r>
      <w:r>
        <w:rPr>
          <w:rFonts w:ascii="Arial" w:hAnsi="Arial" w:cs="Arial"/>
          <w:b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o Tema 1.085/STJ não autoriza a revogação indiscriminada, conforme os REsp nº 2.267.989/DF e 2.273.522/DF; </w:t>
      </w:r>
      <w:r>
        <w:rPr>
          <w:rFonts w:ascii="Arial" w:hAnsi="Arial" w:cs="Arial"/>
          <w:b/>
          <w:sz w:val="28"/>
          <w:szCs w:val="28"/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não está demonstrado que a parcela de R$ 1.030,07 tenha causado a supressão do mínimo existencial; e </w:t>
      </w:r>
      <w:r>
        <w:rPr>
          <w:rFonts w:ascii="Arial" w:hAnsi="Arial" w:cs="Arial"/>
          <w:b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a multa diária é desproporcional, pois não há resistência ao cumprimento da ordem. Requer a suspensão da cessação dos descontos e da multa até o julgamento colegiado e, subsidiariamente, a suspensão das astreintes (ID 90716602).</w:t>
      </w:r>
      <w:commentRangeEnd w:id="7"/>
      <w:r>
        <w:rPr>
          <w:rStyle w:val="CommentReference"/>
        </w:rPr>
        <w:commentReference w:id="7"/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</w:rPr>
        <w:t xml:space="preserve">Mantive a liminar (ID 90723963).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6"/>
      <w:r>
        <w:rPr>
          <w:rFonts w:ascii="Arial" w:hAnsi="Arial" w:cs="Arial"/>
          <w:sz w:val="28"/>
          <w:szCs w:val="28"/>
        </w:rPr>
        <w:t xml:space="preserve">Em contrarrazões ao agravo interno, o agravante sustenta que: </w:t>
      </w:r>
      <w:r>
        <w:rPr>
          <w:rFonts w:ascii="Arial" w:hAnsi="Arial" w:cs="Arial"/>
          <w:b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o banco não impugnou especificamente os fundamentos da decisão; </w:t>
      </w:r>
      <w:r>
        <w:rPr>
          <w:rFonts w:ascii="Arial" w:hAnsi="Arial" w:cs="Arial"/>
          <w:b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a notificação identificou o consumidor e os contratos, foi recebida em 23/07/2026 e o banco não demonstra providência de confirmação da identidade; </w:t>
      </w:r>
      <w:r>
        <w:rPr>
          <w:rFonts w:ascii="Arial" w:hAnsi="Arial" w:cs="Arial"/>
          <w:b/>
          <w:sz w:val="28"/>
          <w:szCs w:val="28"/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não há dano grave ao banco (CPC 995 parágrafo único), ao passo que os descontos comprometem verba alimentar; e </w:t>
      </w:r>
      <w:r>
        <w:rPr>
          <w:rFonts w:ascii="Arial" w:hAnsi="Arial" w:cs="Arial"/>
          <w:b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a multa tem natureza coercitiva (CPC 537). Requer a juntada do extrato de outubro/2026, a ampliação da tutela para suspender todos os débitos automáticos de empréstimos na conta e a devolução da última verba descontada após a liminar (ID 91399618 e 91399624; extrato, ID 91399625).</w:t>
      </w:r>
      <w:commentRangeEnd w:id="6"/>
      <w:r>
        <w:rPr>
          <w:rStyle w:val="CommentReference"/>
        </w:rPr>
        <w:commentReference w:id="6"/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0701F9" w:rsidP="1D02AE0D" w:rsidRDefault="007E7A70" w14:paraId="670666A1" w14:textId="56DEB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</w:rPr>
        <w:t xml:space="preserve">É o relatório.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355C73" w:rsidR="004236F7" w:rsidP="004236F7" w:rsidRDefault="004236F7" w14:paraId="279D699A" w14:textId="77777777">
      <w:pPr>
        <w:spacing w:after="0" w:line="360" w:lineRule="auto"/>
        <w:jc w:val="center"/>
      </w:pPr>
      <w:r>
        <w:rPr>
          <w:rFonts w:ascii="Arial" w:hAnsi="Arial" w:cs="Arial"/>
          <w:b/>
          <w:sz w:val="28"/>
          <w:szCs w:val="28"/>
        </w:rPr>
        <w:t xml:space="preserve">VOTO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355C73" w:rsidR="004236F7" w:rsidP="004236F7" w:rsidRDefault="004236F7" w14:paraId="703E2BD5" w14:textId="77777777">
      <w:pPr>
        <w:spacing w:after="0" w:line="360" w:lineRule="auto"/>
        <w:jc w:val="both"/>
      </w:pPr>
      <w:r>
        <w:rPr>
          <w:rFonts w:ascii="Arial" w:hAnsi="Arial" w:cs="Arial"/>
          <w:b/>
          <w:sz w:val="28"/>
          <w:szCs w:val="28"/>
        </w:rPr>
        <w:t xml:space="preserve">O Senhor Desembargador SÉRGIO ROCHA – Relator.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004236F7" w:rsidP="004236F7" w:rsidRDefault="004236F7" w14:paraId="3FCB948D" w14:textId="6C0B69A0">
      <w:pPr>
        <w:spacing w:after="0" w:line="360" w:lineRule="auto"/>
        <w:jc w:val="center"/>
      </w:pPr>
      <w:r>
        <w:rPr>
          <w:rFonts w:ascii="Arial" w:hAnsi="Arial" w:cs="Arial"/>
          <w:b/>
          <w:sz w:val="28"/>
          <w:szCs w:val="28"/>
        </w:rPr>
        <w:t xml:space="preserve">AGRAVO DE INSTRUMENTO DO AUTOR, ADILSON JUNHO PEREIRA BRITO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</w:rPr>
        <w:t xml:space="preserve">Presentes os pressupostos de admissibilidade, conheço do agravo de instrumento.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004236F7" w:rsidP="1D02AE0D" w:rsidRDefault="004236F7" w14:paraId="16B6F520" w14:textId="6617054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hanging="142"/>
        <w:jc w:val="center"/>
      </w:pPr>
      <w:r>
        <w:rPr>
          <w:rFonts w:ascii="Arial" w:hAnsi="Arial" w:cs="Arial"/>
          <w:sz w:val="28"/>
          <w:szCs w:val="28"/>
        </w:rPr>
        <w:t xml:space="preserve">DO CABIMENTO DA SUSPENSÃO DOS DÉBITOS AUTOMÁTICOS EM CONTA CORRENTE EM RAZÃO DA REVOGAÇÃO DA AUTORIZAÇÃO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</w:rPr>
        <w:t xml:space="preserve">O autor/agravante alega, em síntese, que: </w:t>
      </w:r>
      <w:r>
        <w:rPr>
          <w:rFonts w:ascii="Arial" w:hAnsi="Arial" w:cs="Arial"/>
          <w:b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a notificação extrajudicial (ID 286639089, do processo de origem) individualiza o correntista e os contratos e foi recebida pelo banco em 23/07/2026; </w:t>
      </w:r>
      <w:r>
        <w:rPr>
          <w:rFonts w:ascii="Arial" w:hAnsi="Arial" w:cs="Arial"/>
          <w:b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o art. 6º da Resolução CMN nº 4.790/2020 lhe assegura cancelar a autorização de débitos a qualquer tempo, sem condicionar esse direito a setor específico, e os arts. 8º e 11 impõem ao banco acatar o cancelamento e confirmar a identidade e a autenticidade; </w:t>
      </w:r>
      <w:r>
        <w:rPr>
          <w:rFonts w:ascii="Arial" w:hAnsi="Arial" w:cs="Arial"/>
          <w:b/>
          <w:sz w:val="28"/>
          <w:szCs w:val="28"/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a manutenção dos débitos após a revogação gerou saldo negativo de R$ 4.100,00 em julho e agosto de 2026 e compromete verba alimentar; </w:t>
      </w:r>
      <w:r>
        <w:rPr>
          <w:rFonts w:ascii="Arial" w:hAnsi="Arial" w:cs="Arial"/>
          <w:b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a controvérsia se limita à forma de pagamento, subsistindo a cobrança por outros meios; e </w:t>
      </w:r>
      <w:r>
        <w:rPr>
          <w:rFonts w:ascii="Arial" w:hAnsi="Arial" w:cs="Arial"/>
          <w:b/>
          <w:sz w:val="28"/>
          <w:szCs w:val="28"/>
        </w:rPr>
        <w:t xml:space="preserve">5)</w:t>
      </w:r>
      <w:r>
        <w:rPr>
          <w:rFonts w:ascii="Arial" w:hAnsi="Arial" w:cs="Arial"/>
          <w:sz w:val="28"/>
          <w:szCs w:val="28"/>
        </w:rPr>
        <w:t xml:space="preserve"> o Tema 1.085/STJ admite a revogação enquanto perdurar a autorização (ID 88983346).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</w:rPr>
        <w:t xml:space="preserve">Requer a reforma da r. decisão agravada para que seja determinada a suspensão dos débitos automáticos relativos aos sete contratos, sem prejuízo da cobrança por outros meios.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  <w:highlight w:val="yellow"/>
        </w:rPr>
        <w:t xml:space="preserve">Com parcial razão.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8"/>
      <w:r>
        <w:rPr>
          <w:rFonts w:ascii="Arial" w:hAnsi="Arial" w:cs="Arial"/>
          <w:sz w:val="28"/>
          <w:szCs w:val="28"/>
        </w:rPr>
        <w:t xml:space="preserve">Mantenho as razões expostas na decisão liminar que deferiu parcialmente a antecipação da tutela recursal (ID 89370771):</w:t>
      </w:r>
      <w:commentRangeEnd w:id="8"/>
      <w:r>
        <w:rPr>
          <w:rStyle w:val="CommentReference"/>
        </w:rPr>
        <w:commentReference w:id="8"/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“Vislumbro parcialmente a probabilidade do direito alegado, ao menos nesta sede de cognição sumária.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Conforme constou da r. decisão agravada:</w:t>
      </w:r>
    </w:p>
    <w:p w:rsidR="11B4DFCD" w:rsidP="1D02AE0D" w:rsidRDefault="11B4DFCD" w14:paraId="4D362444" w14:textId="5805E84E">
      <w:pPr>
        <w:pStyle w:val="Normal"/>
        <w:suppressLineNumbers w:val="0"/>
        <w:bidi w:val="0"/>
        <w:spacing w:before="0" w:beforeAutospacing="off" w:after="0" w:afterAutospacing="off" w:line="360" w:lineRule="auto"/>
        <w:ind w:left="3402" w:right="0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‘(...) A requerida acostou notificação extrajudicial enviada ao setor “DIRETOR EXECUTIVO DE VAREJO”. Trata-se, contudo, de área interna do Banco de Brasília (BRB) responsável por "prover produtos e serviços financeiros para o segmento Varejo, acompanhando o processo de vendas desde a criação da estratégia de produtos e serviços até a concretização da oferta", como se observa em consulta ao site do banco.</w:t>
      </w:r>
    </w:p>
    <w:p w:rsidR="11B4DFCD" w:rsidP="1D02AE0D" w:rsidRDefault="11B4DFCD" w14:paraId="4D362444" w14:textId="5805E84E">
      <w:pPr>
        <w:pStyle w:val="Normal"/>
        <w:suppressLineNumbers w:val="0"/>
        <w:bidi w:val="0"/>
        <w:spacing w:before="0" w:beforeAutospacing="off" w:after="0" w:afterAutospacing="off" w:line="360" w:lineRule="auto"/>
        <w:ind w:left="3402" w:right="0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Na ausência de comprovação de que o envio a esse endereço decorra de orientação previamente fornecida pela ré a seus clientes, entendo que o meio adotado não atende ao disposto no art. 11 da Resolução BACEN 4.790/2020. Isso porque, além de o setor não guardar pertinência com o pedido, a forma de comunicação utilizada deve possibilitar a verificação da identidade do consumidor e a autenticidade da autorização ou de sua revogação, o que, evidentemente, não se verifica no caso.</w:t>
      </w:r>
    </w:p>
    <w:p w:rsidR="11B4DFCD" w:rsidP="1D02AE0D" w:rsidRDefault="11B4DFCD" w14:paraId="4D362444" w14:textId="5805E84E">
      <w:pPr>
        <w:pStyle w:val="Normal"/>
        <w:suppressLineNumbers w:val="0"/>
        <w:bidi w:val="0"/>
        <w:spacing w:before="0" w:beforeAutospacing="off" w:after="0" w:afterAutospacing="off" w:line="360" w:lineRule="auto"/>
        <w:ind w:left="3402" w:right="0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Não se revela razoável exigir do réu o cancelamento da autorização sem que lhe seja assegurada a identificação do solicitante. (...)’ (ID 288076177, processo de origem) – Grifei</w:t>
      </w:r>
    </w:p>
    <w:p w:rsidR="0C99678B" w:rsidP="1D02AE0D" w:rsidRDefault="0C99678B" w14:paraId="65E42189" w14:textId="28817D50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0"/>
        <w:jc w:val="both"/>
      </w:pPr>
      <w:r>
        <w:rPr>
          <w:rFonts w:ascii="Arial" w:hAnsi="Arial" w:cs="Arial"/>
          <w:i/>
          <w:sz w:val="26"/>
          <w:szCs w:val="26"/>
        </w:rPr>
        <w:t xml:space="preserve">O Tema n. 1085/STJ possibilita ao consumidor cancelar, a qualquer tempo, as autorizações de débitos de parcelas de empréstimos bancários comuns em conta bancária, </w:t>
      </w:r>
      <w:r>
        <w:rPr>
          <w:rFonts w:ascii="Arial" w:hAnsi="Arial" w:cs="Arial"/>
          <w:i/>
          <w:sz w:val="26"/>
          <w:szCs w:val="26"/>
        </w:rPr>
        <w:t xml:space="preserve">in verbis</w:t>
      </w:r>
      <w:r>
        <w:rPr>
          <w:rFonts w:ascii="Arial" w:hAnsi="Arial" w:cs="Arial"/>
          <w:i/>
          <w:sz w:val="26"/>
          <w:szCs w:val="26"/>
        </w:rPr>
        <w:t xml:space="preserve">:</w:t>
      </w:r>
    </w:p>
    <w:p w:rsidR="11B4DFCD" w:rsidP="1D02AE0D" w:rsidRDefault="11B4DFCD" w14:paraId="4D362444" w14:textId="5805E84E">
      <w:pPr>
        <w:pStyle w:val="Normal"/>
        <w:suppressLineNumbers w:val="0"/>
        <w:bidi w:val="0"/>
        <w:spacing w:before="0" w:beforeAutospacing="off" w:after="0" w:afterAutospacing="off" w:line="360" w:lineRule="auto"/>
        <w:ind w:left="3402" w:right="0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‘São lícitos os descontos de parcelas de empréstimos bancários comuns em conta-corrente, ainda que utilizada para recebimento de salários, </w:t>
      </w:r>
      <w:r>
        <w:rPr>
          <w:rFonts w:ascii="Arial" w:hAnsi="Arial" w:cs="Arial"/>
          <w:i/>
          <w:sz w:val="26"/>
          <w:szCs w:val="26"/>
          <w:u w:val="single"/>
        </w:rPr>
        <w:t xml:space="preserve">desde que previamente autorizados pelo mutuário e enquanto esta autorização perdurar</w:t>
      </w:r>
      <w:r>
        <w:rPr>
          <w:rFonts w:ascii="Arial" w:hAnsi="Arial" w:cs="Arial"/>
          <w:i/>
          <w:sz w:val="26"/>
          <w:szCs w:val="26"/>
        </w:rPr>
        <w:t xml:space="preserve">, não sendo aplicável, por analogia, a limitação prevista no § 1º do art. 1º da Lei n. 10.820/2003, que disciplina os empréstimos consignados em folha de pagamento.’ – Grifei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No mesmo sentido, prevê o art. 6º da Resolução BACEN n. 4.790/2020 (‘é assegurado ao titular da conta o direito de cancelar a autorização de débitos’).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  <w:highlight w:val="yellow"/>
        </w:rPr>
        <w:t xml:space="preserve">E, no caso, há indícios de que o autor/agravante comunicou administrativamente a revogação da autorização de descontos quanto ao empréstimo do Contrato de nº 0152819436, celebrado em 26/1/2023 (ID 286639089, processo de origem).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A notificação extrajudicial foi enviada para estabelecimento comercial da ré/agravada, com indicação dos contratos e assinatura do autor/agravante, o que demonstra a sua validade, a princípio.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  <w:highlight w:val="yellow"/>
        </w:rPr>
        <w:t xml:space="preserve">Contudo, a parcela do referido empréstimo (valor total contratado de R$ 54.500,00 e parcela mensal de R$ 1.030,07) continuou a ser debitada em sua conta, conforme extrato bancário de agosto/2026 (ID 286643445, origem), o que demonstra a probabilidade do direito alegado.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O cancelamento, por sua vez, não exime o agravante do pagamento das dívidas, mas apenas altera a forma de cobrança, que não será mais automática, a fim de não comprometer seu mínimo existencial.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Nesse sentido:</w:t>
      </w:r>
    </w:p>
    <w:p w:rsidR="11B4DFCD" w:rsidP="1D02AE0D" w:rsidRDefault="11B4DFCD" w14:paraId="4D362444" w14:textId="5805E84E">
      <w:pPr>
        <w:pStyle w:val="Normal"/>
        <w:suppressLineNumbers w:val="0"/>
        <w:bidi w:val="0"/>
        <w:spacing w:before="0" w:beforeAutospacing="off" w:after="0" w:afterAutospacing="off" w:line="360" w:lineRule="auto"/>
        <w:ind w:left="3402" w:right="0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‘(...) 3. A Resolução nº 4.790/2020 do Banco Central, em seu art. 6º, caput e parágrafo único, garante ao titular da conta o direito de cancelar a autorização de débitos automáticos, produzindo efeitos a partir da data definida pelo cliente ou, na ausência desta, do recebimento do pedido pela instituição financeira. 4. O Superior Tribunal de Justiça, no julgamento do AgInt no REsp 1.500.846/DF, firmou o entendimento de que é possível a revogação da autorização de débito em conta-corrente, sem que isso configure ofensa ao contrato, uma vez que a cláusula de débito é mera conveniência das partes e não integra o núcleo da obrigação principal. 5. No Tema 1.085 dos recursos repetitivos, o STJ assentou que os descontos de parcelas de empréstimos bancários comuns em conta corrente são lícitos enquanto perdurar a autorização do mutuário, sendo inaplicável a limitação do §1º do art. 1º da Lei nº 10.820/2003, que disciplina os empréstimos consignados em folha. 6. Cessada a autorização, os descontos tornam-se ilícitos, mas a dívida permanece hígida, não havendo violação aos arts. 313 e 314 do Código Civil, pois não se impõe ao credor o recebimento de prestação diversa da contratada, apenas se altera a forma de adimplemento. 7. A prerrogativa de cancelamento decorre do princípio da autonomia privada e da regulamentação do Conselho Monetário Nacional (Resoluções CMN nº 3.695/2009 e nº 4.480/2016), que vedam a realização de débitos em conta sem prévia e atual autorização do cliente. 8. O cancelamento da autorização de débito não afasta as consequências contratuais do inadimplemento, impondo ao devedor o dever de adimplir por outros meios e facultando ao credor utilizar as vias de cobrança cabíveis. 9. A jurisprudência consolidada do STJ e deste Tribunal confirma a legitimidade da revogação da autorização de débito, preservando-se a integridade da obrigação e os efeitos decorrentes da mora. (...)’ (Acórdão 2070018, 0715071-08.2023.8.07.0007, Relator(a): JAMES EDUARDO OLIVEIRA, Relator(a) Designado(a): AISTON HENRIQUE DE SOUSA, 4ª TURMA CÍVEL, data de julgamento: 19/11/2025, publicado no DJe: 17/12/2025.) – Grifei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  <w:highlight w:val="yellow"/>
        </w:rPr>
        <w:t xml:space="preserve">Há, também, risco de dano iminente, uma vez que o agravante aufere renda líquida aproximada de R$ 5.441,14 (contracheque de julho/2026 – ID 286639092, origem), de forma que o desconto de R$ 1.030,07 mensais pode comprometer a sua subsistência (ID 286643445, origem).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De outro lado, observa-se que os contratos nº 0419460420, 0419540539 e 0419923527 se referem à antecipação do 13º salário, tendo sido celebrados, respectivamente, em 28/4/2026, 4/5/2026 e 14/5/2026 (ID 286639089, origem).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O contrato de nº 0420150838 se refere à antecipação da restituição do IRPF, o de nº 10300719310027005 se refere à contratação de cheque especial e o de nº 20261119392 ao empréstimo consignado, tendo sido celebrados, respectivamente, em 28/5/2026, 28/4/2026 e 15/4/2026 (ID 286639089, origem).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Dessa forma, possuem contratação específica vinculada ao recebimento futuro de verba determinada (13º salário e restituição do IRPF), à utilização do limite de cheque especial e à empréstimo consignado (BRB SERV), não sendo cabível, em análise preliminar, a suspensão dos referidos descontos.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Nesse sentido:</w:t>
      </w:r>
    </w:p>
    <w:p w:rsidR="11B4DFCD" w:rsidP="1D02AE0D" w:rsidRDefault="11B4DFCD" w14:paraId="4D362444" w14:textId="5805E84E">
      <w:pPr>
        <w:pStyle w:val="Normal"/>
        <w:suppressLineNumbers w:val="0"/>
        <w:bidi w:val="0"/>
        <w:spacing w:before="0" w:beforeAutospacing="off" w:after="0" w:afterAutospacing="off" w:line="360" w:lineRule="auto"/>
        <w:ind w:left="3402" w:right="0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‘(...) Tese de julgamento: “1. A autorização para débito automático de parcelas de empréstimos bancários comuns em conta corrente/salário, embora torne lícitos os descontos enquanto vigente, pode ser revogada pelo consumidor, nos termos da disciplina regulatória aplicável, sem prejuízo da exigibilidade da dívida e da cobrança por meios juridicamente adequados. 2. Os contratos de cheque especial, de antecipação de décimo terceiro salário e de BRB Serviço, por configurarem operações de natureza específica, não se submetem, em cognição sumária, ao mesmo regime”. (...)’ (Acórdão 2163048, 0724749-63.2026.8.07.0000, Relator(a): ROBERVAL CASEMIRO BELINATI, 4ª TURMA CÍVEL, data de julgamento: 05/08/2026, publicado no DJe: 28/08/2026.) – Grifei</w:t>
      </w:r>
    </w:p>
    <w:p w:rsidRPr="00624943" w:rsidR="004236F7" w:rsidP="1D02AE0D" w:rsidRDefault="004236F7" w14:paraId="240AD691" w14:textId="58E13993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Ainda, chama atenção o curto espaço de tempo entre a contratação dos referidos empréstimos e o envio da notificação solicitando o cancelamento (22/7/2026, ID 286639089, origem).” (ID 89370771).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9"/>
      <w:r>
        <w:rPr>
          <w:rFonts w:ascii="Arial" w:hAnsi="Arial" w:cs="Arial"/>
          <w:sz w:val="28"/>
          <w:szCs w:val="28"/>
        </w:rPr>
        <w:t xml:space="preserve">Quanto ao art. 11 da Resolução CMN nº 4.790/2020, que fundamentou a r. decisão agravada e é invocado pelo agravado, a norma dispõe:</w:t>
      </w:r>
      <w:commentRangeEnd w:id="9"/>
      <w:r>
        <w:rPr>
          <w:rStyle w:val="CommentReference"/>
        </w:rPr>
        <w:commentReference w:id="9"/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0C99678B" w:rsidP="1D02AE0D" w:rsidRDefault="0C99678B" w14:paraId="65E42189" w14:textId="28817D50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0"/>
        <w:jc w:val="both"/>
      </w:pPr>
      <w:r>
        <w:rPr>
          <w:rFonts w:ascii="Arial" w:hAnsi="Arial" w:cs="Arial"/>
          <w:i/>
          <w:sz w:val="26"/>
          <w:szCs w:val="26"/>
        </w:rPr>
        <w:t xml:space="preserve">“Art. 11. </w:t>
      </w:r>
      <w:r>
        <w:rPr>
          <w:rFonts w:ascii="Arial" w:hAnsi="Arial" w:cs="Arial"/>
          <w:i/>
          <w:sz w:val="26"/>
          <w:szCs w:val="26"/>
          <w:u w:val="single"/>
        </w:rPr>
        <w:t xml:space="preserve">A instituição depositária deve adotar procedimentos e controles que confirmem a identidade do titular e assegurem a autenticidade da autorização e do cancelamento da autorização de débitos em conta.</w:t>
      </w:r>
      <w:r>
        <w:rPr>
          <w:rFonts w:ascii="Arial" w:hAnsi="Arial" w:cs="Arial"/>
          <w:i/>
          <w:sz w:val="26"/>
          <w:szCs w:val="26"/>
        </w:rPr>
        <w:t xml:space="preserve">” – Grifei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sz w:val="28"/>
          <w:szCs w:val="28"/>
          <w:highlight w:val="yellow"/>
        </w:rPr>
        <w:t xml:space="preserve">A norma atribui o dever de confirmar a identidade e a autenticidade à instituição depositária, e o agravado não nega que a correspondência foi entregue em seu endereço, com o nome do agravante e a referência aos contratos (ID 90715216).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12D0861A" w:rsidP="1D02AE0D" w:rsidRDefault="12D0861A" w14:paraId="40253E2B" w14:textId="2D094D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10"/>
      <w:r>
        <w:rPr>
          <w:rFonts w:ascii="Arial" w:hAnsi="Arial" w:cs="Arial"/>
          <w:sz w:val="28"/>
          <w:szCs w:val="28"/>
        </w:rPr>
        <w:t xml:space="preserve">Dito isso, e não havendo alteração do quadro fático-jurídico delineado nos autos, com a máxima vênia ao d. Juízo de origem, deve ser parcialmente reformada a r. decisão agravada, pois estão presentes a probabilidade do direito e o perigo de dano para suspender os débitos automáticos do contrato nº 0152819436 (CPC 300).</w:t>
      </w:r>
      <w:commentRangeEnd w:id="10"/>
      <w:r>
        <w:rPr>
          <w:rStyle w:val="CommentReference"/>
        </w:rPr>
        <w:commentReference w:id="10"/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Pr="00D516B2" w:rsidR="004236F7" w:rsidP="004236F7" w:rsidRDefault="004236F7" w14:paraId="51F7901E" w14:textId="77777777">
      <w:pPr>
        <w:spacing w:after="0" w:line="360" w:lineRule="auto"/>
        <w:jc w:val="center"/>
      </w:pPr>
      <w:r>
        <w:rPr>
          <w:rFonts w:ascii="Arial" w:hAnsi="Arial" w:cs="Arial"/>
          <w:b/>
          <w:sz w:val="28"/>
          <w:szCs w:val="28"/>
        </w:rPr>
        <w:t xml:space="preserve">DISPOSITIVO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004236F7" w:rsidP="1D02AE0D" w:rsidRDefault="004236F7" w14:paraId="12E5DB77" w14:textId="63CDC98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12"/>
      <w:r>
        <w:rPr>
          <w:rFonts w:ascii="Arial" w:hAnsi="Arial" w:cs="Arial"/>
          <w:sz w:val="28"/>
          <w:szCs w:val="28"/>
        </w:rPr>
        <w:t xml:space="preserve">Ante o exposto, reiteradas as vênias, </w:t>
      </w:r>
      <w:r>
        <w:rPr>
          <w:rFonts w:ascii="Arial" w:hAnsi="Arial" w:cs="Arial"/>
          <w:b/>
          <w:sz w:val="28"/>
          <w:szCs w:val="28"/>
        </w:rPr>
        <w:t xml:space="preserve">dou parcial provimento</w:t>
      </w:r>
      <w:r>
        <w:rPr>
          <w:rFonts w:ascii="Arial" w:hAnsi="Arial" w:cs="Arial"/>
          <w:sz w:val="28"/>
          <w:szCs w:val="28"/>
        </w:rPr>
        <w:t xml:space="preserve"> ao agravo de instrumento do autor, Adilson Junho Pereira Brito, para confirmar a liminar que suspendeu os descontos em conta corrente referentes ao contrato nº 0152819436, sob pena de multa de R$ 500,00 (quinhentos reais) por dia, limitada a R$ 20.000,00 (vinte mil reais).</w:t>
      </w:r>
      <w:commentRangeEnd w:id="12"/>
      <w:r>
        <w:rPr>
          <w:rStyle w:val="CommentReference"/>
        </w:rPr>
        <w:commentReference w:id="12"/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004236F7" w:rsidP="1D02AE0D" w:rsidRDefault="004236F7" w14:paraId="12E5DB77" w14:textId="63CDC98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>
        <w:rPr>
          <w:rFonts w:ascii="Arial" w:hAnsi="Arial" w:cs="Arial"/>
          <w:b/>
          <w:sz w:val="28"/>
          <w:szCs w:val="28"/>
        </w:rPr>
        <w:t xml:space="preserve">Julgo prejudicado</w:t>
      </w:r>
      <w:r>
        <w:rPr>
          <w:rFonts w:ascii="Arial" w:hAnsi="Arial" w:cs="Arial"/>
          <w:sz w:val="28"/>
          <w:szCs w:val="28"/>
        </w:rPr>
        <w:t xml:space="preserve"> o agravo interno.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008C7D23" w:rsidP="008C7D23" w:rsidRDefault="004236F7" w14:paraId="3727AA61" w14:textId="77777777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É como voto.</w:t>
      </w:r>
    </w:p>
    <w:p w:rsidRPr="00624943" w:rsidR="004236F7" w:rsidP="004236F7" w:rsidRDefault="004236F7" w14:paraId="0FC0708F" w14:textId="77777777">
      <w:pPr>
        <w:spacing w:after="0" w:line="360" w:lineRule="auto"/>
        <w:ind w:firstLine="2268"/>
        <w:jc w:val="both"/>
      </w:pP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Número do processo: 0720679-79.2026.8.07.0007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Classe judicial: PROCEDIMENTO COMUM CÍVEL (7)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AUTOR: ADILSON JUNHO PEREIRA BRITO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REU: BRB BANCO DE BRASILIA SA</w:t>
      </w:r>
    </w:p>
    <w:p w:rsidR="7FF8019C" w:rsidP="1D02AE0D" w:rsidRDefault="7FF8019C" w14:paraId="79B5F190" w14:textId="60951C14">
      <w:pPr>
        <w:spacing w:before="240" w:beforeAutospacing="off" w:after="0" w:afterAutospacing="off"/>
        <w:jc w:val="center"/>
      </w:pPr>
      <w:r>
        <w:rPr>
          <w:rFonts w:ascii="Arial" w:hAnsi="Arial" w:cs="Arial"/>
          <w:b/>
          <w:color w:val="00B050"/>
          <w:sz w:val="22"/>
          <w:szCs w:val="22"/>
        </w:rPr>
        <w:t xml:space="preserve">DECISÃO INTERLOCUTÓRIA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Havendo a marcação de "100% digital", à Secretaria para verificar o atendimento dos requisitos da Portaria Conjunta nº 29 de 19 de abril de 2021. Caso não contemplados, EXCLUA-SE a anotação.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Inicialmente, defiro a prioridade na tramitação do processo, nos termos do art. 71 da Lei 10.741/03. ANOTE-SE.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Concedo à autora os benefícios da gratuidade de justiça. REGISTRE-SE.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Trata-se de demanda de conhecimento por meio da qual o autor alega que exerceu o seu direito de cancelar a autorização de débitos automáticos, prevista na Resolução 4.790/2020 do BACEN. Informa que o banco não atendeu ao seu pedido.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Sustenta que, apesar de não subsistir autorização para débito, os descontos continuam a ocorrer.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Requer, em tutela de urgência, que o réu suspenda os débitos automáticos incidentes sobre sua conta corrente, mencionada na inicial, relativos aos contratos nº 0152819436; nº 0419460420; nº 0419540539; nº 0419923527; nº 0420150838; nº 10300719310027005 e nº20261119392, e que se abstenha de promover novas retenções automáticas de valores salariais vinculadas aos referidos contratos sob pena de multa.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Inicial ao 286639069 acompanhada, dentre outros, de notificação 286639089 entregue no BRB remetida ao "DIRETOR EXECUTIVO DE VAREJO" e extrato bancário 286643445.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Brevemente relatado, decido.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Segundo estabelece o art. 300 do CPC, a tutela de urgência será concedida quando houver elementos que evidenciem a probabilidade do direito e o perigo de dano ou o risco ao resultado útil do processo.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A requerida acostou notificação extrajudicial enviada ao setor “DIRETOR EXECUTIVO DE VAREJO”. Trata-se, contudo, de área interna do Banco de Brasília (BRB) responsável por "prover produtos e serviços financeiros para o segmento Varejo, acompanhando o processo de vendas desde a criação da estratégia de produtos e serviços até a concretização da oferta", como se observa em consulta ao site do banco.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Na ausência de comprovação de que o envio a esse endereço decorra de orientação previamente fornecida pela ré a seus clientes, entendo que o meio adotado não atende ao disposto no art. 11 da Resolução BACEN 4.790/2020. Isso porque, além de o setor não guardar pertinência com o pedido, a forma de comunicação utilizada deve possibilitar a verificação da identidade do consumidor e a autenticidade da autorização ou de sua revogação, o que, evidentemente, não se verifica no caso.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Não se revela razoável exigir do réu o cancelamento da autorização sem que lhe seja assegurada a identificação do solicitante.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Ante o exposto, indefiro o pedido liminar formulado.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AUDIÊNCIA DE CONCILIAÇÃO: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Deixo de designar a audiência de conciliação, sem prejuízo de fazê-lo adiante, se houver requerimento nesse sentido ou se a medida se mostrar adequada para abreviar o acesso das partes à melhor solução da lide. Destaco que, além de as circunstâncias da causa revelarem ser improvável um acordo nesta fase embrionária, após a suspensão determinada administrativamente no PA/SEI 0009885/2025, o atendimento prestado pelos Núcleos Virtuais de Mediação e Conciliação foi retomado apenas em caráter provisório com reduzida cota mensal por unidade, como reportado na Portaria GSVP nº 1, de 19 de janeiro de 2026.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CITAÇÃO E CONTESTAÇÃO: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Cite-se o requerido para apresentar contestação, no prazo de 15 (quinze) dias úteis (arts. 335, do CPC). Se necessário, cite-se por precatória ou rogatória, conforme o caso.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Diligencie-se no endereço indicado como principal.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Defiro desde já a citação por meio de aplicativo de mensagens, com a inclusão no mandado de advertências sobre cautelas de praxe a serem seguidas pelo Oficial de Justiça.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Se infrutífero, diligencie-se em endereços obtidos em bancos de dados à disposição do Judiciário.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Com vistas a preservar a privacidade e os dados pessoais da parte, fica desde autorizada a marcação de sigilo nas certidões e relatórios de endereços apurados, quando da juntada ao PJe.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CITAÇÃO POR EDITAL: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Esgotadas as diligências anteriores, intime-se o autor para que promova a citação, em 5 dias.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Se houver requerimento para citação por modalidade editalícia, após esgotamento dos meios, cite-se, por edital, nos termos do art. 257, IV, do CPC, para apresentação de contestação no prazo legal, com a advertência de que será nomeado curador especial em caso de revelia (perda do prazo para apresentação de defesa). Publique-se edital de citação, com prazo de 20 (vinte) dias, na forma prevista no art. 257, inciso III, do CPC.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Fica o autor, desde já, advertido, de que a alegação dolosa da ocorrência das circunstâncias autorizadoras para a citação por edital enseja aplicação de multa no importe de 5 (cinco) vezes o salário-mínimo (CPC, art. 258).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RÉPLICA À CONTESTAÇÃO: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Havendo contestação, intime-se a autora para apresentação de réplica, pelo prazo de 15 (quinze) dias.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Caso a contestação seja por negativa geral ou transcorrido o prazo sem apresentação de resposta, tal fato deverá ser certificado pela diligente secretaria e anotada conclusão para julgamento antecipado da lide, salvo em caso de existência de litisconsórcio passivo, em que um dos réus contestar a ação ou em caso de demanda que versar acerca de direito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DOCUMENTOS NOVOS OU PEDIDOS INCIDENTAIS: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Caso qualquer das partes junte documentos novos dos autos, inclusive em réplica, intime-se a parte contrária para manifestar-se na forma do art. 437, §1º do CPC. Prazo de 15 (quinze) dias.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Havendo requerimento específico, incidente processual, intervenção de terceiros, reconvenção ou dúvida, retornem os autos conclusos.</w:t>
      </w:r>
    </w:p>
    <w:p w:rsidR="7FF8019C" w:rsidP="1D02AE0D" w:rsidRDefault="7FF8019C" w14:paraId="39C0ED60" w14:textId="35BBDE1D">
      <w:pPr>
        <w:pStyle w:val="Normal"/>
        <w:spacing w:after="0" w:line="360" w:lineRule="auto"/>
        <w:ind w:firstLine="0"/>
        <w:jc w:val="both"/>
      </w:pPr>
      <w:r>
        <w:rPr>
          <w:rFonts w:ascii="Arial" w:hAnsi="Arial" w:cs="Arial"/>
          <w:color w:val="00B050"/>
          <w:sz w:val="22"/>
          <w:szCs w:val="22"/>
        </w:rPr>
        <w:t xml:space="preserve">Documento registrado e assinado eletronicamente pela Juíza de Direito, abaixo identificada, na data da certificação digital.</w:t>
      </w:r>
    </w:p>
    <w:p w:rsidR="7FF8019C" w:rsidP="1D02AE0D" w:rsidRDefault="7FF8019C" w14:paraId="4DFA2078" w14:textId="75CFB780">
      <w:pPr>
        <w:bidi w:val="0"/>
        <w:spacing w:before="240" w:beforeAutospacing="off" w:after="0" w:afterAutospacing="off"/>
        <w:jc w:val="center"/>
      </w:pPr>
      <w:r>
        <w:rPr>
          <w:rFonts w:ascii="Arial" w:hAnsi="Arial" w:cs="Arial"/>
          <w:color w:val="00B050"/>
          <w:sz w:val="22"/>
          <w:szCs w:val="22"/>
        </w:rPr>
        <w:t xml:space="preserve">Assinado eletronicamente por: JOANA CRISTINA BRASIL BARBOSA FERREIRA – 28/08/2026 14:26:34 (ID 288076177, processo de origem)</w:t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Pr="00D516B2" w:rsidR="004236F7" w:rsidP="004236F7" w:rsidRDefault="004236F7" w14:paraId="51F7901E" w14:textId="77777777">
      <w:pPr>
        <w:spacing w:after="0" w:line="360" w:lineRule="auto"/>
        <w:jc w:val="center"/>
      </w:pPr>
      <w:commentRangeStart w:id="11"/>
      <w:r>
        <w:rPr>
          <w:rFonts w:ascii="Arial" w:hAnsi="Arial" w:cs="Arial"/>
          <w:b/>
          <w:color w:val="800080"/>
          <w:sz w:val="28"/>
          <w:szCs w:val="28"/>
        </w:rPr>
        <w:t xml:space="preserve">PRECEDENTES CONTRÁRIOS AO VOTO</w:t>
      </w:r>
      <w:commentRangeEnd w:id="11"/>
      <w:r>
        <w:rPr>
          <w:rStyle w:val="CommentReference"/>
        </w:rPr>
        <w:commentReference w:id="11"/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0C99678B" w:rsidP="1D02AE0D" w:rsidRDefault="0C99678B" w14:paraId="65E42189" w14:textId="28817D50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0"/>
        <w:jc w:val="both"/>
      </w:pPr>
      <w:r>
        <w:rPr>
          <w:rFonts w:ascii="Arial" w:hAnsi="Arial" w:cs="Arial"/>
          <w:i/>
          <w:color w:val="800080"/>
          <w:sz w:val="26"/>
          <w:szCs w:val="26"/>
        </w:rPr>
        <w:t xml:space="preserve">STJ, REsp nº 2.273.522/DF, Rel. Min. João Otávio de Noronha, Quarta Turma, j. 12/08/2026 (registro 202601492075), DJe: pendente de conferência.</w:t>
      </w:r>
    </w:p>
    <w:p w:rsidR="0C99678B" w:rsidP="1D02AE0D" w:rsidRDefault="0C99678B" w14:paraId="65E42189" w14:textId="28817D50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0"/>
        <w:jc w:val="both"/>
      </w:pPr>
      <w:r>
        <w:rPr>
          <w:rFonts w:ascii="Arial" w:hAnsi="Arial" w:cs="Arial"/>
          <w:i/>
          <w:color w:val="800080"/>
          <w:sz w:val="26"/>
          <w:szCs w:val="26"/>
        </w:rPr>
        <w:t xml:space="preserve">“RECURSO ESPECIAL. AÇÃO DE OBRIGAÇÃO DE FAZER. RECURSO DA AUTORA NÃO CONHECIDO. RECURSO DO BANCO CONHECIDO E PROVIDO. I. CASO EM EXAME 1. Recursos especiais interposto contra acórdão proferido em apelação nos autos de ação de obrigação de fazer, que visava à revogação da autorização de débitos automáticos em conta bancária. 2. A sentença julgou procedentes os pedidos. O Tribunal de origem, por sua vez, admitiu a revogação da autorização apenas para descontos do cartão de crédito, por terem sido contratados após a vigência da Resolução BCB n. 4.790/2020, e afastou a revogação quanto aos empréstimos consignados, por serem anteriores. Nos recursos especiais, discute-se a possibilidade de o mutuário revogar a autorização para descontos em conta relativos a cartão de crédito e empréstimo consignado. II. QUESTÃO EM DISCUSSÃO 3. A questão em discussão consiste em saber se é possível a revogação unilateral da autorização para descontos em conta bancária destinados ao pagamento de parcelas de empréstimos. III. RAZÕES DE DECIDIR 4. A autorização prévia e expressa do mutuário para o desconto em conta corrente afasta a possibilidade de cancelamento unilateral sem justa causa, por contrariar os princípios do pacta sunt servanda e da boa-fé objetiva, com potencial de comprometer a integridade do contrato e a equidade entre as partes. 5. A Resolução n. 4.790/2020 do Banco Central apenas autoriza o cancelamento de débitos em conta nos casos em que o cliente não reconheça a autorização prévia, não se aplicando à pretensão de revogação posterior sem justo motivo. IV. DISPOSITIVO E TESE 6. Recurso da autora não conhecido. 7. Recurso do banco conhecido e provido. Tese de julgamento: ‘1. Não se conhece do recurso especial quando a orientação do Tribunal se firmou no mesmo sentido da decisão recorrida (Súmula n. 83 do STJ). 2. É inviável a revogação unilateral, sem justa causa, da autorização prévia de desconto em conta corrente’. Dispositivos relevantes citados: CPC, art. 927, III; CDC, art. 51, IV; CC, arts. 313, 314, 421, 421-A, 422 e 684. Jurisprudência relevante citada: STJ, REsp n. 2.264.286/DF, relator Ministro João Otávio de Noronha, Quarta Turma, julgado em 4/5/2026; STJ, AgInt no REsp n. 1.837.432/RS, relator Ministro João Otávio de Noronha, Quarta Turma, julgado em 28/4/2025; STJ, AgInt no REsp n. 2.146.642/DF, relator Ministro Humberto Martins, Terceira Turma, julgado em 7/10/2024; STJ, AgInt no AREsp n. 2.209.847/DF, relator Ministro João Otávio de Noronha, Quarta Turma, julgado em 19/6/2023, DJe de 21/6/2023.”</w:t>
      </w:r>
    </w:p>
    <w:p w:rsidR="008C7D23" w:rsidP="008C7D23" w:rsidRDefault="008C7D23" w14:paraId="077BBD46" w14:textId="77777777">
      <w:pPr>
        <w:spacing w:after="0" w:line="360" w:lineRule="auto"/>
        <w:jc w:val="both"/>
      </w:pPr>
    </w:p>
    <w:p w:rsidR="0C99678B" w:rsidP="1D02AE0D" w:rsidRDefault="0C99678B" w14:paraId="65E42189" w14:textId="28817D50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0"/>
        <w:jc w:val="both"/>
      </w:pPr>
      <w:r>
        <w:rPr>
          <w:rFonts w:ascii="Arial" w:hAnsi="Arial" w:cs="Arial"/>
          <w:i/>
          <w:color w:val="800080"/>
          <w:sz w:val="26"/>
          <w:szCs w:val="26"/>
        </w:rPr>
        <w:t xml:space="preserve">STJ, REsp nº 2.267.989/DF, Rel. Min. João Otávio de Noronha, Quarta Turma, j. 22/06/2026 (registro 202601413204), DJe: pendente de conferência.</w:t>
      </w:r>
    </w:p>
    <w:p w:rsidR="0C99678B" w:rsidP="1D02AE0D" w:rsidRDefault="0C99678B" w14:paraId="65E42189" w14:textId="28817D50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0"/>
        <w:jc w:val="both"/>
      </w:pPr>
      <w:r>
        <w:rPr>
          <w:rFonts w:ascii="Arial" w:hAnsi="Arial" w:cs="Arial"/>
          <w:i/>
          <w:color w:val="800080"/>
          <w:sz w:val="26"/>
          <w:szCs w:val="26"/>
        </w:rPr>
        <w:t xml:space="preserve">“DIREITO CIVIL E BANCÁRIO. RECURSO ESPECIAL. EMPRÉSTIMO BANCÁRIO COM DESCONTO EM CONTA-CORRENTE. CANCELAMENTO DA AUTORIZAÇÃO DE DÉBITO AUTOMÁTICO. RECURSO ESPECIAL PROVIDO. I. CASO EM EXAME 1. Recurso especial interposto contra acórdão do Tribunal de Justiça do Distrito Federal e dos Territórios, em apelação cível, que manteve sentença reconhecendo a faculdade de cancelamento da autorização de débito automático e desproveu o apelo da instituição financeira. 2. A controvérsia versa sobre ação de obrigação de fazer c/c tutela de urgência para cancelar autorização de débitos automáticos de parcelas de empréstimos em conta-corrente, cessar descontos, e demais consectários. 3. Na sentença, o Juízo de primeiro grau determinou a abstenção de descontos na conta, confirmou a tutela de urgência, fixou honorários em 10% do valor da causa, manteve hígida a obrigação contratual e afastou a restituição por ineficácia prática. 4. A Corte de origem, por maioria, negou provimento à apelação, afirmando a faculdade de cancelamento da autorização de débito automático com base na Resolução n. 4.790/2020 e no Tema n. 1.085 do STJ, preservando a exigibilidade da dívida por outras vias. Não houve embargos de declaração. II. QUESTÃO EM DISCUSSÃO 5. Há cinco questões em discussão: (i) saber se o cancelamento unilateral da autorização de débito automático viola o art. 313 do CC por impor prestação diversa ao credor; (ii) saber se há ofensa ao art. 314 do CC ao permitir alteração da forma de adimplemento sem anuência do credor; (iii) saber se a decisão afronta os arts. 421 e 421-A do CC ao admitir revogação unilateral sem readequação das condições econômicas do mútuo, em descompasso com a liberdade contratual e a intervenção mínima; (iv) saber se a revogação imotivada fere a boa-fé objetiva e a probidade, nos termos do art. 422 do CC, e a disciplina do mandato, nos termos do art. 684 do CC; e (v) saber se houve divergência jurisprudencial quanto à aplicação do Tema n. 1.085 do STJ ao permitir a revogação sem readequação contratual. III. RAZÕES DE DECIDIR 6. O Tema n. 1.085 do STJ não legitima a revogação unilateral quando a autorização é reconhecida. O acórdão recorrido diverge da jurisprudência desta Corte ao admitir a revogação como faculdade geral do consumidor. IV. DISPOSITIVO E TESE 7. Recurso especial provido. Tese de julgamento: ‘1. O Tema n. 1.085 do STJ não legitima a revogação indiscriminada da autorização de débito automático, mas condiciona a licitude dos descontos à persistência da autorização’. Dispositivos relevantes citados: CC, arts. 313, 314, 421, 421-A, 422 e 684; CPC, art. 98, § 3º; Lei n. 10.820/2003, art. 1º, § 1º. Jurisprudência relevante citada: STJ, AgInt no AREsp n. 2.209.847/DF, relator Ministro João Otávio de Noronha, Quarta Turma, julgado em 19/6/2023; STJ, AgInt no REsp n. 2.146.642/DF, relator Ministro Humberto Martins, Terceira Turma, julgado em 7/10/2024; STJ, AgInt no REsp n. 1.837.432/RS, relator Ministro Gilmar Mendes, Quarta Turma, julgado em 28/4/2025.”</w:t>
      </w:r>
    </w:p>
    <w:sectPr w:rsidR="007E1C8C">
      <w:footerReference w:type="defaul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Voto do zero, AGI 0740782-31 (autos recebidos em .md; peças de origem apenas as juntadas ao agravo). Resultado proposto: DPP, mantendo a liminar (ID 89370771) só quanto ao contrato nº 0152819436; julgado prejudicado o agravo interno (C-18). Modelos seguidos na forma: AGI 0737653-18 (mesma matéria e mesmo resultado, versão final de Marcos), AGI 0708331-50 (OURO, DPP, Tema 1.085) e AGI 0739858-20 (transcrição integral da liminar, C-17 v42). Relatório adota o da liminar (C-3S); sem linha de dados (C-3C). Os dois precedentes do STJ invocados pelo banco (4ª Turma) foram conferidos e vão ao final, em violeta, sem parágrafo de distinção (C-53, C-46).</w:t>
      </w:r>
    </w:p>
  </w:comment>
  <w:comment w:id="1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Idade do autor não conferida: a decisão de origem deferiu prioridade de tramitação (Lei 10.741/2003, art. 71), o que indica pessoa idosa, mas o documento de identificação veio ilegível no .md. Se confirmada, acrescentar "idoso, com N anos" ao item 1 (C-34A, C-52).</w:t>
      </w:r>
    </w:p>
  </w:comment>
  <w:comment w:id="2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Texto literal (C-63). CPC, art. 300: “Art. 300. A tutela de urgência será concedida quando houver elementos que evidenciem a probabilidade do direito e o perigo de dano ou o risco ao resultado útil do processo.” (fonte: Planalto, conferido pelo iajus). Resolução CMN nº 4.790/2020, art. 6º, caput e parágrafo único: “É assegurado ao titular da conta o direito de cancelar a autorização de débitos.” / “O cancelamento da autorização de débitos em conta pode ser formalizado na instituição depositária ou por meio da instituição destinatária.” Art. 11, caput: transcrito no corpo (fonte: BCB, normativos.bcb.gov.br). Alterei "Resolução BACEN" (grafia da liminar e do modelo) para "Resolução CMN nº 4.790/2020" na redação do voto e da ementa, porque a norma foi editada pelo Conselho Monetário Nacional; as transcrições da liminar e da decisão de origem ficam como no original (C-66, C-72).</w:t>
      </w:r>
    </w:p>
  </w:comment>
  <w:comment w:id="3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PENDÊNCIA (C-52, C-72): Acórdão 2163048 (AGI 0724749-63.2026.8.07.0000, Rel. Des. Roberval Casemiro Belinati, j. 05/08/2026, DJe 28/08/2026) consta da liminar e das contrarrazões ao agravo interno, mas não foi localizado no iajus (busca por CNJ, por texto e híbrida) nem na web (1 tentativa). Mantido porque já está na liminar e confirma o voto; conferir a ementa e o DJe no JurisDF. REsp 1.863.973/SP (Tema 1.085): conferido no iajus (Segunda Seção, j. 09/03/2022); o DJe 15/03/2022 vem do formato de C-61. Acórdão 2070018: conferido no iajus (4ª TCiv, j. 19/11/2025); DJe 17/12/2025 vem da liminar.</w:t>
      </w:r>
    </w:p>
  </w:comment>
  <w:comment w:id="4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Relatório da liminar transcrito até "Com parcial razão, inicialmente, o agravante.", com aspas internas simples (C-40) e numeração em negrito (C-43). Mantida a grafia "Resolução BACEN" da liminar, por ser transcrição.</w:t>
      </w:r>
    </w:p>
  </w:comment>
  <w:comment w:id="5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Fiel à liminar: "limitada, por ora, a R$ 20.000,00". No dispositivo, tirei "por ora" e confirmei a multa nesse limite, como no AGI 0737653-18 (decisão do Relator, C-53).</w:t>
      </w:r>
    </w:p>
  </w:comment>
  <w:comment w:id="6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PENDÊNCIA: a peça "Contrarrazões ao agravo interno" tem dois IDs na capa (91399618 e 91399624) e o .md não mostra qual contém o texto; citei os dois. Os pedidos novos das contrarrazões (ampliar a tutela a todos os contratos e devolver a última verba descontada) não são objeto do agravo: os seis contratos foram examinados na liminar e a restituição não foi decidida na origem, de modo que não abri capítulo (C-3T, v42). O extrato de outubro/2026 (ID 91399625) não mostra débito de R$ 1.030,07; não consta extrato de setembro, e não afirmo descumprimento (C-24).</w:t>
      </w:r>
    </w:p>
  </w:comment>
  <w:comment w:id="7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O agravo interno fica prejudicado pelo julgamento do mérito: só aparece no relatório, na ementa (item 9) e na oração final do dispositivo (C-18). Não abri capítulo sobre a multa nem sobre o efeito suspensivo.</w:t>
      </w:r>
    </w:p>
  </w:comment>
  <w:comment w:id="8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Fórmula de C-17 ("Mantenho as razões expostas na decisão liminar …"). Transcrevi toda a fundamentação da liminar, com os trechos da decisão agravada e do acórdão em blocos próprios, ID de origem e "– Grifei", sem trocar por "(...)" (C-17 v42). Cortei só o parágrafo decisório final da liminar, já registrado no relatório. Realces amarelos nas três frases que decidem (C-43).</w:t>
      </w:r>
    </w:p>
  </w:comment>
  <w:comment w:id="9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Acrescentei esta única resposta ao agravo interno porque o art. 11 é o único fundamento da decisão agravada e a liminar o enfrentou só ao dizer que a notificação é válida "a princípio". Texto literal do art. 11 conferido na fonte oficial do BCB. O ID 90715216 traz a frase do banco que sustenta o parágrafo seguinte: "Não se nega que uma correspondência foi entregue em endereço do BRB. Tampouco se afirma que nela inexistam nome do requerente e referências aos contratos." (C-17, C-66).</w:t>
      </w:r>
    </w:p>
  </w:comment>
  <w:comment w:id="10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Fórmula do fecho do voto que reforma (C-17 v40): razão presa por "pois", em parágrafo único, e vênia ao d. Juízo de origem.</w:t>
      </w:r>
    </w:p>
  </w:comment>
  <w:comment w:id="11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JURISPRUDÊNCIA CONTRÁRIA (C-53, C-46): a 4ª Turma do STJ decidiu em sentido contrário à revogação unilateral nos REsp 2.273.522/DF (12/08/2026) e 2.267.989/DF (22/06/2026), ambos de relatoria do Min. João Otávio de Noronha e com o TJDFT e o BRB como partes no segundo; ementas conferidas no iajus (inteiro teor do 2.267.989 disponível em SCON, registro 202601413204). Não escrevi parágrafo de distinção. Não localizei no iajus o AgInt no REsp 2.249.140/DF (4ª Turma, 25/05/2026) citado pelo banco como favorável à revogação. Em sentido favorável ao voto há o REsp 2.254.032 (3ª Turma, Min. Humberto Martins, j. 12/08/2026), cuja ementa afirma o direito potestativo à resilição e a ilicitude de manter o débito após o pedido, mas não o citei no corpo (C-65: um precedente por tese). Divergência com a Quarta Turma do STJ: ponto sensível para a decisão do Desembargador; DJe dos dois REsp não retornou no iajus (pendente, JurisDF/SCON).</w:t>
      </w:r>
    </w:p>
  </w:comment>
  <w:comment w:id="12" w:author="Minuta GDSXSR" w:initials="MG" w:date="2026-10-28T18:08:57Z">
    <w:p>
      <w:pPr>
        <w:pStyle w:val="CommentText"/>
      </w:pPr>
      <w:r>
        <w:rPr>
          <w:rStyle w:val="CommentReference"/>
        </w:rPr>
        <w:annotationRef/>
      </w:r>
      <w:r>
        <w:t>MINUTA GDSXSR — Fórmula de C-3F ("para, confirmando a liminar,"), parágrafo único, núcleo decisório em negrito (C-43); sem honorários recursais (perfil AGI, 3). Prazo de 5 dias da liminar não repetido, porque já correu.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CF6" w:rsidP="003A42DE" w:rsidRDefault="006B2CF6" w14:paraId="5651EAEE" w14:textId="77777777">
      <w:pPr>
        <w:spacing w:after="0" w:line="240" w:lineRule="auto"/>
      </w:pPr>
      <w:r>
        <w:separator/>
      </w:r>
    </w:p>
  </w:endnote>
  <w:endnote w:type="continuationSeparator" w:id="0">
    <w:p w:rsidR="006B2CF6" w:rsidP="003A42DE" w:rsidRDefault="006B2CF6" w14:paraId="0911DF3B" w14:textId="77777777">
      <w:pPr>
        <w:spacing w:after="0" w:line="240" w:lineRule="auto"/>
      </w:pPr>
      <w:r>
        <w:continuationSeparator/>
      </w:r>
    </w:p>
  </w:endnote>
  <w:endnote w:type="continuationNotice" w:id="1">
    <w:p w:rsidR="006B2CF6" w:rsidRDefault="006B2CF6" w14:paraId="54BFC59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:rsidR="003A42DE" w:rsidRDefault="003A42DE" w14:paraId="4A86AAF9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CF6" w:rsidP="003A42DE" w:rsidRDefault="006B2CF6" w14:paraId="243CDD41" w14:textId="77777777">
      <w:pPr>
        <w:spacing w:after="0" w:line="240" w:lineRule="auto"/>
      </w:pPr>
      <w:r>
        <w:separator/>
      </w:r>
    </w:p>
  </w:footnote>
  <w:footnote w:type="continuationSeparator" w:id="0">
    <w:p w:rsidR="006B2CF6" w:rsidP="003A42DE" w:rsidRDefault="006B2CF6" w14:paraId="112E6525" w14:textId="77777777">
      <w:pPr>
        <w:spacing w:after="0" w:line="240" w:lineRule="auto"/>
      </w:pPr>
      <w:r>
        <w:continuationSeparator/>
      </w:r>
    </w:p>
  </w:footnote>
  <w:footnote w:type="continuationNotice" w:id="1">
    <w:p w:rsidR="006B2CF6" w:rsidRDefault="006B2CF6" w14:paraId="413642B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4d346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a93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370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715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bc4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2d9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ab71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0000"/>
    <w:rsid w:val="00004C11"/>
    <w:rsid w:val="00005FE1"/>
    <w:rsid w:val="00012123"/>
    <w:rsid w:val="0001A548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0C15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5E5190"/>
    <w:rsid w:val="005EA67B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15F80CC"/>
    <w:rsid w:val="0191F7C3"/>
    <w:rsid w:val="02480EC3"/>
    <w:rsid w:val="026E497E"/>
    <w:rsid w:val="02B1E412"/>
    <w:rsid w:val="02B1E412"/>
    <w:rsid w:val="03018451"/>
    <w:rsid w:val="03018451"/>
    <w:rsid w:val="0309018F"/>
    <w:rsid w:val="031F725A"/>
    <w:rsid w:val="03E55252"/>
    <w:rsid w:val="0406F2B1"/>
    <w:rsid w:val="0469E717"/>
    <w:rsid w:val="04EB9BAA"/>
    <w:rsid w:val="04FE6380"/>
    <w:rsid w:val="0598ED4B"/>
    <w:rsid w:val="05C072E5"/>
    <w:rsid w:val="061EE5CE"/>
    <w:rsid w:val="066636ED"/>
    <w:rsid w:val="06D2BD91"/>
    <w:rsid w:val="07084FFE"/>
    <w:rsid w:val="0741BAA1"/>
    <w:rsid w:val="079D3272"/>
    <w:rsid w:val="07BAB62F"/>
    <w:rsid w:val="08624999"/>
    <w:rsid w:val="08795635"/>
    <w:rsid w:val="087D1C37"/>
    <w:rsid w:val="08955680"/>
    <w:rsid w:val="089E911C"/>
    <w:rsid w:val="08BDBA2B"/>
    <w:rsid w:val="0902A466"/>
    <w:rsid w:val="09E2A60C"/>
    <w:rsid w:val="0A795B63"/>
    <w:rsid w:val="0A8ECADD"/>
    <w:rsid w:val="0BFCE006"/>
    <w:rsid w:val="0C436811"/>
    <w:rsid w:val="0C99678B"/>
    <w:rsid w:val="0D003B5C"/>
    <w:rsid w:val="0E2F4C66"/>
    <w:rsid w:val="0E60C260"/>
    <w:rsid w:val="0E71A7A9"/>
    <w:rsid w:val="0E7833D8"/>
    <w:rsid w:val="0E896E75"/>
    <w:rsid w:val="0ECBDBCC"/>
    <w:rsid w:val="0EFE4F3B"/>
    <w:rsid w:val="0F16BAD4"/>
    <w:rsid w:val="0F49A558"/>
    <w:rsid w:val="0F4CCC86"/>
    <w:rsid w:val="1010E271"/>
    <w:rsid w:val="105F35C5"/>
    <w:rsid w:val="106E20DE"/>
    <w:rsid w:val="10737481"/>
    <w:rsid w:val="10DFE56C"/>
    <w:rsid w:val="10E575B9"/>
    <w:rsid w:val="10E89CE7"/>
    <w:rsid w:val="11B4DFCD"/>
    <w:rsid w:val="1281461A"/>
    <w:rsid w:val="1299B7D4"/>
    <w:rsid w:val="12D0861A"/>
    <w:rsid w:val="1310ADC8"/>
    <w:rsid w:val="1322B3CC"/>
    <w:rsid w:val="13D9EAF8"/>
    <w:rsid w:val="1403BE3A"/>
    <w:rsid w:val="14261E79"/>
    <w:rsid w:val="147CBA5F"/>
    <w:rsid w:val="14B0854E"/>
    <w:rsid w:val="15075F5D"/>
    <w:rsid w:val="1522DC33"/>
    <w:rsid w:val="1540F7C4"/>
    <w:rsid w:val="159010E4"/>
    <w:rsid w:val="15A7C98E"/>
    <w:rsid w:val="160C8D89"/>
    <w:rsid w:val="161D075D"/>
    <w:rsid w:val="1685426F"/>
    <w:rsid w:val="169085A1"/>
    <w:rsid w:val="169A247F"/>
    <w:rsid w:val="16AFD0FD"/>
    <w:rsid w:val="17071F12"/>
    <w:rsid w:val="1754F7B4"/>
    <w:rsid w:val="17C7435F"/>
    <w:rsid w:val="182766FE"/>
    <w:rsid w:val="18301F4E"/>
    <w:rsid w:val="1890F764"/>
    <w:rsid w:val="1890F764"/>
    <w:rsid w:val="18BBA766"/>
    <w:rsid w:val="193E3D7C"/>
    <w:rsid w:val="194071AB"/>
    <w:rsid w:val="19AE2D67"/>
    <w:rsid w:val="19EFFB15"/>
    <w:rsid w:val="1A77651C"/>
    <w:rsid w:val="1AEDABFF"/>
    <w:rsid w:val="1B897297"/>
    <w:rsid w:val="1BB1DE98"/>
    <w:rsid w:val="1BBE419B"/>
    <w:rsid w:val="1C5B9B3B"/>
    <w:rsid w:val="1CA82C99"/>
    <w:rsid w:val="1CCDCA00"/>
    <w:rsid w:val="1CF4E54D"/>
    <w:rsid w:val="1D02AE0D"/>
    <w:rsid w:val="1D0C8FA4"/>
    <w:rsid w:val="1D833A47"/>
    <w:rsid w:val="1DA3F6E4"/>
    <w:rsid w:val="1DE275A0"/>
    <w:rsid w:val="1E7FFE4D"/>
    <w:rsid w:val="1FAFCC66"/>
    <w:rsid w:val="21529E37"/>
    <w:rsid w:val="22242253"/>
    <w:rsid w:val="2226EAE1"/>
    <w:rsid w:val="224F31B8"/>
    <w:rsid w:val="2259356D"/>
    <w:rsid w:val="227EDC7E"/>
    <w:rsid w:val="229F26FD"/>
    <w:rsid w:val="22C00AAB"/>
    <w:rsid w:val="232923D0"/>
    <w:rsid w:val="233FC49A"/>
    <w:rsid w:val="23846474"/>
    <w:rsid w:val="2474A6A4"/>
    <w:rsid w:val="248F4127"/>
    <w:rsid w:val="249E222A"/>
    <w:rsid w:val="24C00E7C"/>
    <w:rsid w:val="250056F1"/>
    <w:rsid w:val="25552D47"/>
    <w:rsid w:val="255B7F74"/>
    <w:rsid w:val="25627E6B"/>
    <w:rsid w:val="2592F5DF"/>
    <w:rsid w:val="25BA59F2"/>
    <w:rsid w:val="25DAE2F1"/>
    <w:rsid w:val="26437A82"/>
    <w:rsid w:val="26A9A53C"/>
    <w:rsid w:val="27623DE6"/>
    <w:rsid w:val="279C9AF7"/>
    <w:rsid w:val="27EDDD86"/>
    <w:rsid w:val="27F4F7D9"/>
    <w:rsid w:val="27FF6AAD"/>
    <w:rsid w:val="282CD004"/>
    <w:rsid w:val="28500164"/>
    <w:rsid w:val="29D9B832"/>
    <w:rsid w:val="29FC1AE8"/>
    <w:rsid w:val="2A1335FB"/>
    <w:rsid w:val="2A58FC23"/>
    <w:rsid w:val="2AE1B6B7"/>
    <w:rsid w:val="2AE79E71"/>
    <w:rsid w:val="2AF5D78B"/>
    <w:rsid w:val="2AF5FA84"/>
    <w:rsid w:val="2AFD096B"/>
    <w:rsid w:val="2B008F55"/>
    <w:rsid w:val="2BDF0338"/>
    <w:rsid w:val="2BF727A3"/>
    <w:rsid w:val="2C730A9B"/>
    <w:rsid w:val="2C890E75"/>
    <w:rsid w:val="2C93F8FF"/>
    <w:rsid w:val="2CF4CD87"/>
    <w:rsid w:val="2DA0D32B"/>
    <w:rsid w:val="2DD61D48"/>
    <w:rsid w:val="2DFD2B4C"/>
    <w:rsid w:val="2F1C19A9"/>
    <w:rsid w:val="2F6C8503"/>
    <w:rsid w:val="3007B261"/>
    <w:rsid w:val="3007B261"/>
    <w:rsid w:val="30160782"/>
    <w:rsid w:val="303A7B14"/>
    <w:rsid w:val="30508782"/>
    <w:rsid w:val="30587508"/>
    <w:rsid w:val="31EC57E3"/>
    <w:rsid w:val="332D13C9"/>
    <w:rsid w:val="3382D001"/>
    <w:rsid w:val="348DB4EB"/>
    <w:rsid w:val="34B6CAEC"/>
    <w:rsid w:val="34DED053"/>
    <w:rsid w:val="34E4E657"/>
    <w:rsid w:val="34EE336C"/>
    <w:rsid w:val="34FBDDCF"/>
    <w:rsid w:val="3510E67B"/>
    <w:rsid w:val="3556523A"/>
    <w:rsid w:val="3565AEC8"/>
    <w:rsid w:val="3601BA69"/>
    <w:rsid w:val="367267F9"/>
    <w:rsid w:val="369ED21D"/>
    <w:rsid w:val="36CA94C4"/>
    <w:rsid w:val="36EE3379"/>
    <w:rsid w:val="370C73D9"/>
    <w:rsid w:val="37408DCC"/>
    <w:rsid w:val="377F3110"/>
    <w:rsid w:val="37897B82"/>
    <w:rsid w:val="37B5A6B5"/>
    <w:rsid w:val="37BE17C0"/>
    <w:rsid w:val="38EEAB87"/>
    <w:rsid w:val="394C3135"/>
    <w:rsid w:val="39AE4A8D"/>
    <w:rsid w:val="39FF574E"/>
    <w:rsid w:val="3AC1809A"/>
    <w:rsid w:val="3AD2045E"/>
    <w:rsid w:val="3AD9B0B7"/>
    <w:rsid w:val="3B9011FD"/>
    <w:rsid w:val="3B9BF52E"/>
    <w:rsid w:val="3BB47562"/>
    <w:rsid w:val="3BB7291C"/>
    <w:rsid w:val="3C5D9607"/>
    <w:rsid w:val="3CB9A540"/>
    <w:rsid w:val="3CBACAC4"/>
    <w:rsid w:val="3CD07603"/>
    <w:rsid w:val="3D1A2DB7"/>
    <w:rsid w:val="3D8580A5"/>
    <w:rsid w:val="3DBB73A4"/>
    <w:rsid w:val="3DC89269"/>
    <w:rsid w:val="3DDFA35F"/>
    <w:rsid w:val="3DE70794"/>
    <w:rsid w:val="3DEAD688"/>
    <w:rsid w:val="3E1D45DC"/>
    <w:rsid w:val="3E66CBD1"/>
    <w:rsid w:val="3EF277C8"/>
    <w:rsid w:val="3F6506E4"/>
    <w:rsid w:val="3FBD6A61"/>
    <w:rsid w:val="3FD06354"/>
    <w:rsid w:val="3FFBFDAA"/>
    <w:rsid w:val="3FFE3DCC"/>
    <w:rsid w:val="41CAFA74"/>
    <w:rsid w:val="41E1021E"/>
    <w:rsid w:val="420D9061"/>
    <w:rsid w:val="4228454C"/>
    <w:rsid w:val="424EE23A"/>
    <w:rsid w:val="4271C7BD"/>
    <w:rsid w:val="4271C7BD"/>
    <w:rsid w:val="42F63EA0"/>
    <w:rsid w:val="4380C41B"/>
    <w:rsid w:val="43A63994"/>
    <w:rsid w:val="43A67A0B"/>
    <w:rsid w:val="43C54FAD"/>
    <w:rsid w:val="44049931"/>
    <w:rsid w:val="44334558"/>
    <w:rsid w:val="44688134"/>
    <w:rsid w:val="447AE2F1"/>
    <w:rsid w:val="44808C19"/>
    <w:rsid w:val="4495E4C2"/>
    <w:rsid w:val="44FB294E"/>
    <w:rsid w:val="454ECC03"/>
    <w:rsid w:val="45D7D81A"/>
    <w:rsid w:val="45ECA08E"/>
    <w:rsid w:val="45EE95F0"/>
    <w:rsid w:val="4614B705"/>
    <w:rsid w:val="462A1541"/>
    <w:rsid w:val="463AD933"/>
    <w:rsid w:val="46C7D927"/>
    <w:rsid w:val="46DE1ACD"/>
    <w:rsid w:val="47FFA841"/>
    <w:rsid w:val="486374E3"/>
    <w:rsid w:val="4962903A"/>
    <w:rsid w:val="49AAD572"/>
    <w:rsid w:val="4A6D32A3"/>
    <w:rsid w:val="4AAFC961"/>
    <w:rsid w:val="4AF457DF"/>
    <w:rsid w:val="4B409B22"/>
    <w:rsid w:val="4BB98733"/>
    <w:rsid w:val="4C936001"/>
    <w:rsid w:val="4C936001"/>
    <w:rsid w:val="4D3433F4"/>
    <w:rsid w:val="4D45AE2A"/>
    <w:rsid w:val="4D5D3872"/>
    <w:rsid w:val="4D9C753D"/>
    <w:rsid w:val="4E4DFBED"/>
    <w:rsid w:val="4EB5970F"/>
    <w:rsid w:val="4FBA8710"/>
    <w:rsid w:val="508888C8"/>
    <w:rsid w:val="509ECC93"/>
    <w:rsid w:val="515F5732"/>
    <w:rsid w:val="5212BFAD"/>
    <w:rsid w:val="5249445F"/>
    <w:rsid w:val="52E52664"/>
    <w:rsid w:val="530C09BC"/>
    <w:rsid w:val="53174421"/>
    <w:rsid w:val="539FE824"/>
    <w:rsid w:val="53A37578"/>
    <w:rsid w:val="53E739DB"/>
    <w:rsid w:val="53E739DB"/>
    <w:rsid w:val="54A48A63"/>
    <w:rsid w:val="54AAEF1D"/>
    <w:rsid w:val="56696897"/>
    <w:rsid w:val="571FE888"/>
    <w:rsid w:val="57608C97"/>
    <w:rsid w:val="5774762B"/>
    <w:rsid w:val="581B792C"/>
    <w:rsid w:val="58BC1B45"/>
    <w:rsid w:val="58E3B572"/>
    <w:rsid w:val="595140BA"/>
    <w:rsid w:val="59531952"/>
    <w:rsid w:val="5A6A67D7"/>
    <w:rsid w:val="5B105B2D"/>
    <w:rsid w:val="5B188E3D"/>
    <w:rsid w:val="5BC75A8B"/>
    <w:rsid w:val="5C83E0D1"/>
    <w:rsid w:val="5D37D7FE"/>
    <w:rsid w:val="5DC7BB1E"/>
    <w:rsid w:val="5E27D90B"/>
    <w:rsid w:val="5E6879DC"/>
    <w:rsid w:val="5F1409FE"/>
    <w:rsid w:val="5FAA896D"/>
    <w:rsid w:val="5FAEFB24"/>
    <w:rsid w:val="606F78C0"/>
    <w:rsid w:val="60ADD95D"/>
    <w:rsid w:val="60C98BFC"/>
    <w:rsid w:val="60D920B7"/>
    <w:rsid w:val="61757AFC"/>
    <w:rsid w:val="6194D198"/>
    <w:rsid w:val="620B4921"/>
    <w:rsid w:val="62AAAE4B"/>
    <w:rsid w:val="63342658"/>
    <w:rsid w:val="63C11CD1"/>
    <w:rsid w:val="63C2EF9E"/>
    <w:rsid w:val="64275D2D"/>
    <w:rsid w:val="643043B2"/>
    <w:rsid w:val="64374E83"/>
    <w:rsid w:val="6465318A"/>
    <w:rsid w:val="64971A8F"/>
    <w:rsid w:val="64B2D6F6"/>
    <w:rsid w:val="64BEBE7C"/>
    <w:rsid w:val="64BF5EDA"/>
    <w:rsid w:val="650595E1"/>
    <w:rsid w:val="6542E9E3"/>
    <w:rsid w:val="657557CB"/>
    <w:rsid w:val="65A9FB65"/>
    <w:rsid w:val="65C26DF6"/>
    <w:rsid w:val="65C41DC2"/>
    <w:rsid w:val="65CCD4F6"/>
    <w:rsid w:val="664F280D"/>
    <w:rsid w:val="666768FE"/>
    <w:rsid w:val="667AE318"/>
    <w:rsid w:val="66D15BCD"/>
    <w:rsid w:val="6708FB6D"/>
    <w:rsid w:val="67216F22"/>
    <w:rsid w:val="673F0D5B"/>
    <w:rsid w:val="675A84C2"/>
    <w:rsid w:val="67C15F89"/>
    <w:rsid w:val="67CD610C"/>
    <w:rsid w:val="68212234"/>
    <w:rsid w:val="68A32AA9"/>
    <w:rsid w:val="6973583F"/>
    <w:rsid w:val="6A1CED46"/>
    <w:rsid w:val="6AA8681E"/>
    <w:rsid w:val="6AD98ABF"/>
    <w:rsid w:val="6AECB699"/>
    <w:rsid w:val="6B5F13C4"/>
    <w:rsid w:val="6B888368"/>
    <w:rsid w:val="6BAB7290"/>
    <w:rsid w:val="6BAC55FA"/>
    <w:rsid w:val="6BB8BDA7"/>
    <w:rsid w:val="6BC0D677"/>
    <w:rsid w:val="6BC51F58"/>
    <w:rsid w:val="6BD3715A"/>
    <w:rsid w:val="6C0D23A0"/>
    <w:rsid w:val="6CAA19FA"/>
    <w:rsid w:val="6D09AFC2"/>
    <w:rsid w:val="6D2A23B4"/>
    <w:rsid w:val="6D53E1DA"/>
    <w:rsid w:val="6D81CE5E"/>
    <w:rsid w:val="6D8F90B1"/>
    <w:rsid w:val="6DC85E06"/>
    <w:rsid w:val="6E561A2D"/>
    <w:rsid w:val="6E776DB3"/>
    <w:rsid w:val="6EE9C512"/>
    <w:rsid w:val="6F82B7AC"/>
    <w:rsid w:val="6FB44F01"/>
    <w:rsid w:val="70B4B380"/>
    <w:rsid w:val="712DA350"/>
    <w:rsid w:val="71E69A32"/>
    <w:rsid w:val="7306BEE6"/>
    <w:rsid w:val="730E4851"/>
    <w:rsid w:val="730E8E67"/>
    <w:rsid w:val="73F93DF2"/>
    <w:rsid w:val="741CCF1B"/>
    <w:rsid w:val="74B9330C"/>
    <w:rsid w:val="74CA8615"/>
    <w:rsid w:val="7557E461"/>
    <w:rsid w:val="756F79F5"/>
    <w:rsid w:val="75A5DC19"/>
    <w:rsid w:val="75A5DC19"/>
    <w:rsid w:val="772D2BEE"/>
    <w:rsid w:val="77A54DBC"/>
    <w:rsid w:val="78C9106D"/>
    <w:rsid w:val="78D56322"/>
    <w:rsid w:val="79463321"/>
    <w:rsid w:val="79C2F2AF"/>
    <w:rsid w:val="79E10E21"/>
    <w:rsid w:val="79F68BA2"/>
    <w:rsid w:val="7B97EA29"/>
    <w:rsid w:val="7BE30F5E"/>
    <w:rsid w:val="7C0D5C19"/>
    <w:rsid w:val="7C2F9071"/>
    <w:rsid w:val="7C523032"/>
    <w:rsid w:val="7C7DE001"/>
    <w:rsid w:val="7CA89785"/>
    <w:rsid w:val="7CCD017B"/>
    <w:rsid w:val="7D55416F"/>
    <w:rsid w:val="7E272F86"/>
    <w:rsid w:val="7E37E6E8"/>
    <w:rsid w:val="7E47B7BC"/>
    <w:rsid w:val="7E65F309"/>
    <w:rsid w:val="7EF28E72"/>
    <w:rsid w:val="7F023EFE"/>
    <w:rsid w:val="7F36A8BB"/>
    <w:rsid w:val="7FF8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Fontepargpadro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Fontepargpadro"/>
    <w:rsid w:val="00661CF3"/>
  </w:style>
  <w:style w:type="character" w:styleId="eop" w:customStyle="1">
    <w:name w:val="eop"/>
    <w:basedOn w:val="Fontepargpadro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Fontepargpadro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CitaoChar" w:customStyle="1">
    <w:name w:val="Citação Char"/>
    <w:basedOn w:val="Fontepargpadro"/>
    <w:link w:val="Citao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styleId="Ttulos" w:customStyle="1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Citao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e89dd8e34e1b40a6" Type="http://schemas.openxmlformats.org/officeDocument/2006/relationships/hyperlink" Target="https://pje.tjdft.jus.br/pje/seam/resource/rest/pje-legacy/documento/download/286759174#" TargetMode="External"/><Relationship Id="R47fcc248bff943fe" Type="http://schemas.openxmlformats.org/officeDocument/2006/relationships/hyperlink" Target="https://pje.tjdft.jus.br/pje/seam/resource/rest/pje-legacy/documento/download/TJDFT/1g/5043786/283310910" TargetMode="External"/><Relationship Id="Rbbf9d9b723b345e5" Type="http://schemas.openxmlformats.org/officeDocument/2006/relationships/hyperlink" Target="https://pje.tjdft.jus.br/pje/seam/resource/rest/pje-legacy/documento/download/TJDFT/1g/5043786/285630916" TargetMode="External"/><Relationship Id="Rf98bd10ca506431b" Type="http://schemas.openxmlformats.org/officeDocument/2006/relationships/hyperlink" Target="https://pje.tjdft.jus.br/pje/seam/resource/rest/pje-legacy/documento/download/TJDFT/1g/5043786/283310910" TargetMode="External"/><Relationship Id="R12ca7539c4c64d24" Type="http://schemas.openxmlformats.org/officeDocument/2006/relationships/hyperlink" Target="https://pje.tjdft.jus.br/pje/seam/resource/rest/pje-legacy/documento/download/TJDFT/1g/5043786/285630916" TargetMode="External"/><Relationship Id="Rf62c4e79b66e487c" Type="http://schemas.openxmlformats.org/officeDocument/2006/relationships/hyperlink" Target="https://pje.tjdft.jus.br/pje/seam/resource/rest/pje-legacy/documento/download/TJDFT/1g/5043786/283310910" TargetMode="External"/><Relationship Id="R7bc79006c28c491e" Type="http://schemas.openxmlformats.org/officeDocument/2006/relationships/hyperlink" Target="https://pje.tjdft.jus.br/pje/seam/resource/rest/pje-legacy/documento/download/TJDFT/1g/5043786/285630930" TargetMode="External"/><Relationship Id="R210c3ff7501e4303" Type="http://schemas.openxmlformats.org/officeDocument/2006/relationships/hyperlink" Target="https://pje.tjdft.jus.br/pje/seam/resource/rest/pje-legacy/documento/download/TJDFT/1g/5043786/285630929" TargetMode="External"/><Relationship Id="R1992f6d1be7b4a0a" Type="http://schemas.openxmlformats.org/officeDocument/2006/relationships/hyperlink" Target="https://pje.tjdft.jus.br/pje/seam/resource/rest/pje-legacy/documento/download/TJDFT/1g/5043786/285630921" TargetMode="External"/><Relationship Id="Rd86c4822f998498e" Type="http://schemas.openxmlformats.org/officeDocument/2006/relationships/hyperlink" Target="https://pje.tjdft.jus.br/pje/seam/resource/rest/pje-legacy/documento/download/TJDFT/1g/5043786/285630923" TargetMode="External"/><Relationship Id="R8270d31f7ea84400" Type="http://schemas.openxmlformats.org/officeDocument/2006/relationships/hyperlink" Target="https://pje.tjdft.jus.br/pje/seam/resource/rest/pje-legacy/documento/download/TJDFT/1g/5043786/285630924" TargetMode="External"/><Relationship Id="Rf8e6a2b0dd8b4ffb" Type="http://schemas.openxmlformats.org/officeDocument/2006/relationships/hyperlink" Target="https://pje.tjdft.jus.br/pje/seam/resource/rest/pje-legacy/documento/download/TJDFT/1g/5043786/285630925" TargetMode="External"/><Relationship Id="Rd095debd3e074bee" Type="http://schemas.openxmlformats.org/officeDocument/2006/relationships/hyperlink" Target="https://pje.tjdft.jus.br/pje/seam/resource/rest/pje-legacy/documento/download/TJDFT/1g/5043786/283310910" TargetMode="External"/><Relationship Id="rId11" Type="http://schemas.openxmlformats.org/officeDocument/2006/relationships/comments" Target="comment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xmlns:wp14="http://schemas.microsoft.com/office/word/2010/wordml" w:rsidR="00773803" w:rsidP="00773803" w:rsidRDefault="00773803" w14:paraId="21A1D5B3" wp14:textId="77777777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xmlns:wp14="http://schemas.microsoft.com/office/word/2010/wordml" w:rsidR="00773803" w:rsidP="00773803" w:rsidRDefault="00773803" w14:paraId="214B1BDF" wp14:textId="77777777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xmlns:wp14="http://schemas.microsoft.com/office/word/2010/wordml" w:rsidR="00773803" w:rsidP="00773803" w:rsidRDefault="00773803" w14:paraId="675683F6" wp14:textId="77777777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xmlns:wp14="http://schemas.microsoft.com/office/word/2010/wordml" w:rsidR="00773803" w:rsidP="00773803" w:rsidRDefault="00773803" w14:paraId="79D92E25" wp14:textId="77777777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15AB3"/>
    <w:rsid w:val="00534782"/>
    <w:rsid w:val="005953DB"/>
    <w:rsid w:val="00730800"/>
    <w:rsid w:val="00773803"/>
    <w:rsid w:val="0077693D"/>
    <w:rsid w:val="00816916"/>
    <w:rsid w:val="00855F86"/>
    <w:rsid w:val="008C4978"/>
    <w:rsid w:val="009C5448"/>
    <w:rsid w:val="00AB26AC"/>
    <w:rsid w:val="00AD59B1"/>
    <w:rsid w:val="00B9403F"/>
    <w:rsid w:val="00C34425"/>
    <w:rsid w:val="00C7198A"/>
    <w:rsid w:val="00CB636A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Assessor GDSXSR</dc:creator>
  <keywords/>
  <dc:description/>
  <lastModifiedBy>Raul Luiz Gonçalves Pamplona - GDSXSR</lastModifiedBy>
  <revision>352</revision>
  <dcterms:created xsi:type="dcterms:W3CDTF">2026-03-09T19:42:00.0000000Z</dcterms:created>
  <dcterms:modified xsi:type="dcterms:W3CDTF">2026-10-13T18:20:41.4199360Z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