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AGRAVO DE INSTRUMENTO Nº 0000000-01.0000.0.00.0000 (MINUTA FICTÍCIA PARA DEMONSTRAÇÃO)</w:t>
      </w:r>
    </w:p>
    <w:p>
      <w:r>
        <w:t>EMENTA</w:t>
      </w:r>
    </w:p>
    <w:p>
      <w:r>
        <w:t>DIREITO PROCESSUAL CIVIL. AGRAVO DE INSTRUMENTO. CUMPRIMENTO DE SENTENÇA. REITERAÇÃO DE PESQUISA PATRIMONIAL. AGRAVO DE INSTRUMENTO NÃO PROVIDO.</w:t>
      </w:r>
    </w:p>
    <w:p>
      <w:r>
        <w:t>1. A reiteração de pesquisa patrimonial exige decurso de prazo razoável desde a última tentativa.</w:t>
      </w:r>
    </w:p>
    <w:p>
      <w:r>
        <w:t>2. Agravo de instrumento não provido.</w:t>
      </w:r>
    </w:p>
    <w:p>
      <w:r>
        <w:t>RELATÓRIO</w:t>
      </w:r>
    </w:p>
    <w:p>
      <w:r>
        <w:t>Agravo de instrumento interposto por EMPRESA EXEMPLO LTDA. contra decisão que indeferiu nova pesquisa de bens do executado, realizada há dois meses sem resultado.</w:t>
      </w:r>
    </w:p>
    <w:p>
      <w:r>
        <w:t>O pedido de efeito suspensivo foi indeferido. Não houve contrarrazões.</w:t>
      </w:r>
    </w:p>
    <w:p>
      <w:r>
        <w:t>VOTO</w:t>
      </w:r>
    </w:p>
    <w:p>
      <w:r>
        <w:t>Conheço do agravo, presentes os pressupostos de admissibilidade.</w:t>
      </w:r>
    </w:p>
    <w:p>
      <w:r>
        <w:t>A última pesquisa ocorreu há apenas dois meses e o agravante não apontou fato novo que indique alteração patrimonial do executado. Assim, é prematura a renovação da diligência.</w:t>
      </w:r>
    </w:p>
    <w:p>
      <w:r>
        <w:t>Ante o exposto, nego provimento ao agravo de instrumento.</w:t>
      </w:r>
    </w:p>
    <w:p>
      <w:r>
        <w:t>É como voto.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