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77322A95" w14:paraId="53FB56CA" w14:textId="77777777">
        <w:tc>
          <w:tcPr>
            <w:tcW w:w="2822" w:type="dxa"/>
            <w:tcBorders>
              <w:top w:val="nil"/>
              <w:left w:val="nil"/>
              <w:bottom w:val="nil"/>
              <w:right w:val="nil"/>
            </w:tcBorders>
            <w:hideMark/>
          </w:tcPr>
          <w:p w:rsidR="00264107" w:rsidP="00FD470E" w:rsidRDefault="00264107" w14:paraId="650D3C35" w14:textId="2723EA60">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32239F1E" wp14:editId="1B9BFF58">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rsidR="00264107" w:rsidP="00FD470E" w:rsidRDefault="00264107" w14:paraId="47CBAB53"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77322A95" w:rsidRDefault="00264107" w14:paraId="6B786278" w14:textId="77777777">
            <w:pPr>
              <w:pStyle w:val="paragraph"/>
              <w:spacing w:before="0" w:beforeAutospacing="0" w:after="0" w:afterAutospacing="0"/>
              <w:ind w:left="255"/>
              <w:jc w:val="both"/>
              <w:textAlignment w:val="baseline"/>
              <w:rPr>
                <w:rFonts w:ascii="Segoe UI" w:hAnsi="Segoe UI" w:cs="Segoe UI"/>
                <w:sz w:val="18"/>
                <w:szCs w:val="18"/>
              </w:rPr>
            </w:pPr>
            <w:r w:rsidRPr="77322A95">
              <w:rPr>
                <w:rStyle w:val="normaltextrun"/>
                <w:rFonts w:ascii="Calibri" w:hAnsi="Calibri" w:cs="Calibri"/>
                <w:color w:val="595959" w:themeColor="text1" w:themeTint="A6"/>
                <w:sz w:val="20"/>
                <w:szCs w:val="20"/>
              </w:rPr>
              <w:t>Tribunal de Justiça do Distrito Federal e dos Territórios</w:t>
            </w:r>
            <w:r w:rsidRPr="77322A95">
              <w:rPr>
                <w:rStyle w:val="eop"/>
                <w:rFonts w:ascii="Calibri" w:hAnsi="Calibri" w:cs="Calibri"/>
                <w:color w:val="595959" w:themeColor="text1" w:themeTint="A6"/>
                <w:sz w:val="20"/>
                <w:szCs w:val="20"/>
              </w:rPr>
              <w:t> </w:t>
            </w:r>
          </w:p>
          <w:p w:rsidR="00264107" w:rsidP="00FD470E" w:rsidRDefault="00264107" w14:paraId="04669533"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6E7685E3"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6C3D7100" w14:textId="77777777">
      <w:pPr>
        <w:spacing w:after="0" w:line="360" w:lineRule="auto"/>
        <w:rPr>
          <w:rFonts w:ascii="Arial" w:hAnsi="Arial" w:cs="Arial"/>
          <w:sz w:val="28"/>
          <w:szCs w:val="28"/>
        </w:rPr>
      </w:pPr>
    </w:p>
    <w:tbl>
      <w:tblPr>
        <w:tblW w:w="8505" w:type="dxa"/>
        <w:tblLayout w:type="fixed"/>
        <w:tblLook w:val="0000" w:firstRow="0" w:lastRow="0" w:firstColumn="0" w:lastColumn="0" w:noHBand="0" w:noVBand="0"/>
      </w:tblPr>
      <w:tblGrid>
        <w:gridCol w:w="3468"/>
        <w:gridCol w:w="447"/>
        <w:gridCol w:w="4590"/>
      </w:tblGrid>
      <w:tr w:rsidRPr="00770E7F" w:rsidR="00770E7F" w:rsidTr="00B34ADF" w14:paraId="7CFA466E" w14:textId="77777777">
        <w:trPr>
          <w:cantSplit/>
          <w:trHeight w:val="397"/>
        </w:trPr>
        <w:tc>
          <w:tcPr>
            <w:tcW w:w="3294" w:type="dxa"/>
            <w:vAlign w:val="center"/>
          </w:tcPr>
          <w:p w:rsidRPr="00770E7F" w:rsidR="00770E7F" w:rsidP="00B34ADF" w:rsidRDefault="00770E7F" w14:paraId="0C25033E" w14:textId="77777777">
            <w:pPr>
              <w:rPr>
                <w:rFonts w:ascii="Arial" w:hAnsi="Arial" w:cs="Arial"/>
                <w:sz w:val="28"/>
                <w:szCs w:val="28"/>
              </w:rPr>
            </w:pPr>
            <w:r w:rsidRPr="00770E7F">
              <w:rPr>
                <w:rFonts w:ascii="Arial" w:hAnsi="Arial" w:cs="Arial"/>
                <w:sz w:val="28"/>
                <w:szCs w:val="28"/>
              </w:rPr>
              <w:t>Órgão</w:t>
            </w:r>
          </w:p>
        </w:tc>
        <w:tc>
          <w:tcPr>
            <w:tcW w:w="425" w:type="dxa"/>
            <w:vAlign w:val="center"/>
          </w:tcPr>
          <w:p w:rsidRPr="00770E7F" w:rsidR="00770E7F" w:rsidP="00B34ADF" w:rsidRDefault="00770E7F" w14:paraId="02FA06EB" w14:textId="77777777">
            <w:pPr>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000000" w14:paraId="4CE80AFC" w14:textId="77777777">
            <w:pPr>
              <w:spacing w:line="240" w:lineRule="auto"/>
              <w:rPr>
                <w:rFonts w:ascii="Arial" w:hAnsi="Arial" w:cs="Arial"/>
                <w:sz w:val="28"/>
                <w:szCs w:val="28"/>
              </w:rPr>
            </w:pPr>
            <w:r w:rsidRPr="00770E7F">
              <w:rPr>
                <w:rFonts w:ascii="Arial" w:hAnsi="Arial" w:cs="Arial"/>
                <w:b/>
                <w:bCs/>
                <w:sz w:val="28"/>
                <w:szCs w:val="28"/>
              </w:rPr>
              <w:t>4ª Turma Cível</w:t>
            </w:r>
          </w:p>
        </w:tc>
      </w:tr>
      <w:tr w:rsidRPr="00770E7F" w:rsidR="00770E7F" w:rsidTr="00B34ADF" w14:paraId="0FDC9080" w14:textId="77777777">
        <w:trPr>
          <w:cantSplit/>
          <w:trHeight w:val="397"/>
        </w:trPr>
        <w:tc>
          <w:tcPr>
            <w:tcW w:w="3294" w:type="dxa"/>
            <w:vAlign w:val="center"/>
          </w:tcPr>
          <w:p w:rsidRPr="00770E7F" w:rsidR="00770E7F" w:rsidP="00B34ADF" w:rsidRDefault="00770E7F" w14:paraId="286CD57C" w14:textId="77777777">
            <w:pPr>
              <w:rPr>
                <w:rFonts w:ascii="Arial" w:hAnsi="Arial" w:cs="Arial"/>
                <w:sz w:val="28"/>
                <w:szCs w:val="28"/>
              </w:rPr>
            </w:pPr>
            <w:r w:rsidRPr="00770E7F">
              <w:rPr>
                <w:rFonts w:ascii="Arial" w:hAnsi="Arial" w:cs="Arial"/>
                <w:sz w:val="28"/>
                <w:szCs w:val="28"/>
              </w:rPr>
              <w:t>Classe</w:t>
            </w:r>
          </w:p>
        </w:tc>
        <w:tc>
          <w:tcPr>
            <w:tcW w:w="425" w:type="dxa"/>
            <w:vAlign w:val="center"/>
          </w:tcPr>
          <w:p w:rsidRPr="00770E7F" w:rsidR="00770E7F" w:rsidP="00B34ADF" w:rsidRDefault="00770E7F" w14:paraId="7246C2B2" w14:textId="77777777">
            <w:pPr>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8E39A8" w14:paraId="1FA81FE6" w14:textId="74A3351F">
            <w:pPr>
              <w:pStyle w:val="Citao"/>
              <w:ind w:left="0" w:firstLine="0"/>
              <w:jc w:val="both"/>
              <w:rPr>
                <w:rFonts w:cs="Arial"/>
                <w:i w:val="0"/>
                <w:iCs w:val="0"/>
                <w:sz w:val="28"/>
                <w:szCs w:val="28"/>
              </w:rPr>
            </w:pPr>
            <w:r w:rsidRPr="00770E7F">
              <w:rPr>
                <w:rFonts w:ascii="Arial" w:hAnsi="Arial" w:cs="Arial"/>
                <w:b/>
                <w:bCs/>
                <w:sz w:val="28"/>
                <w:szCs w:val="28"/>
              </w:rPr>
              <w:t>Embargos de Declaração</w:t>
            </w:r>
          </w:p>
        </w:tc>
      </w:tr>
      <w:tr w:rsidRPr="00770E7F" w:rsidR="00770E7F" w:rsidTr="00B34ADF" w14:paraId="319258F8" w14:textId="77777777">
        <w:trPr>
          <w:cantSplit/>
          <w:trHeight w:val="397"/>
        </w:trPr>
        <w:tc>
          <w:tcPr>
            <w:tcW w:w="3294" w:type="dxa"/>
            <w:vAlign w:val="center"/>
          </w:tcPr>
          <w:p w:rsidRPr="00770E7F" w:rsidR="00770E7F" w:rsidP="00B34ADF" w:rsidRDefault="00770E7F" w14:paraId="1BA03F17" w14:textId="77777777">
            <w:pPr>
              <w:rPr>
                <w:rFonts w:ascii="Arial" w:hAnsi="Arial" w:cs="Arial"/>
                <w:sz w:val="28"/>
                <w:szCs w:val="28"/>
              </w:rPr>
            </w:pPr>
            <w:r w:rsidRPr="00770E7F">
              <w:rPr>
                <w:rFonts w:ascii="Arial" w:hAnsi="Arial" w:cs="Arial"/>
                <w:sz w:val="28"/>
                <w:szCs w:val="28"/>
              </w:rPr>
              <w:t>Processo nº</w:t>
            </w:r>
          </w:p>
        </w:tc>
        <w:tc>
          <w:tcPr>
            <w:tcW w:w="425" w:type="dxa"/>
            <w:vAlign w:val="center"/>
          </w:tcPr>
          <w:p w:rsidRPr="00770E7F" w:rsidR="00770E7F" w:rsidP="00B34ADF" w:rsidRDefault="00770E7F" w14:paraId="6DA11EDC" w14:textId="77777777">
            <w:pPr>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770E7F" w14:paraId="5929BF07" w14:textId="77777777">
            <w:pPr>
              <w:ind w:right="-675"/>
              <w:rPr>
                <w:rFonts w:ascii="Arial" w:hAnsi="Arial" w:cs="Arial"/>
                <w:sz w:val="28"/>
                <w:szCs w:val="28"/>
              </w:rPr>
            </w:pPr>
            <w:r w:rsidRPr="00770E7F">
              <w:rPr>
                <w:rFonts w:ascii="Arial" w:hAnsi="Arial" w:cs="Arial"/>
                <w:b/>
                <w:bCs/>
                <w:sz w:val="28"/>
                <w:szCs w:val="28"/>
              </w:rPr>
              <w:t>0740525-37.2025.8.07.0001</w:t>
            </w:r>
          </w:p>
        </w:tc>
      </w:tr>
      <w:tr w:rsidRPr="00770E7F" w:rsidR="00770E7F" w:rsidTr="00B34ADF" w14:paraId="6437A274" w14:textId="77777777">
        <w:trPr>
          <w:cantSplit/>
          <w:trHeight w:val="397"/>
        </w:trPr>
        <w:tc>
          <w:tcPr>
            <w:tcW w:w="3294" w:type="dxa"/>
            <w:vAlign w:val="center"/>
          </w:tcPr>
          <w:p w:rsidRPr="00770E7F" w:rsidR="00770E7F" w:rsidP="00B34ADF" w:rsidRDefault="00000000" w14:paraId="566BEB5F" w14:textId="29A1F3B4">
            <w:pPr>
              <w:spacing w:line="240" w:lineRule="auto"/>
              <w:ind w:right="34"/>
              <w:rPr>
                <w:rFonts w:ascii="Arial" w:hAnsi="Arial" w:cs="Arial"/>
                <w:sz w:val="28"/>
                <w:szCs w:val="28"/>
              </w:rPr>
            </w:pPr>
            <w:r w:rsidRPr="00770E7F">
              <w:rPr>
                <w:rFonts w:ascii="Arial" w:hAnsi="Arial" w:cs="Arial"/>
                <w:sz w:val="28"/>
                <w:szCs w:val="28"/>
              </w:rPr>
              <w:t>Embargante (s)</w:t>
            </w:r>
          </w:p>
        </w:tc>
        <w:tc>
          <w:tcPr>
            <w:tcW w:w="425" w:type="dxa"/>
            <w:vAlign w:val="center"/>
          </w:tcPr>
          <w:p w:rsidRPr="00770E7F" w:rsidR="00770E7F" w:rsidP="00B34ADF" w:rsidRDefault="00770E7F" w14:paraId="05318E15" w14:textId="77777777">
            <w:pPr>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770E7F" w14:paraId="592464B0" w14:textId="77777777">
            <w:pPr>
              <w:rPr>
                <w:rFonts w:ascii="Arial" w:hAnsi="Arial" w:cs="Arial"/>
                <w:sz w:val="28"/>
                <w:szCs w:val="28"/>
              </w:rPr>
            </w:pPr>
            <w:r w:rsidRPr="00770E7F">
              <w:rPr>
                <w:rFonts w:ascii="Arial" w:hAnsi="Arial" w:cs="Arial"/>
                <w:b/>
                <w:bCs/>
                <w:sz w:val="28"/>
                <w:szCs w:val="28"/>
              </w:rPr>
              <w:t>SOCIÉTÉ AIR FRANCE</w:t>
            </w:r>
          </w:p>
        </w:tc>
      </w:tr>
      <w:tr w:rsidRPr="00770E7F" w:rsidR="00770E7F" w:rsidTr="00B34ADF" w14:paraId="35825102" w14:textId="77777777">
        <w:trPr>
          <w:cantSplit/>
          <w:trHeight w:val="397"/>
        </w:trPr>
        <w:tc>
          <w:tcPr>
            <w:tcW w:w="3294" w:type="dxa"/>
            <w:vAlign w:val="center"/>
          </w:tcPr>
          <w:p w:rsidRPr="00770E7F" w:rsidR="00770E7F" w:rsidP="00B34ADF" w:rsidRDefault="00000000" w14:paraId="45603945" w14:textId="6E5747A6">
            <w:pPr>
              <w:rPr>
                <w:rFonts w:ascii="Arial" w:hAnsi="Arial" w:cs="Arial"/>
                <w:sz w:val="28"/>
                <w:szCs w:val="28"/>
              </w:rPr>
            </w:pPr>
            <w:r w:rsidRPr="00770E7F">
              <w:rPr>
                <w:rFonts w:ascii="Arial" w:hAnsi="Arial" w:cs="Arial"/>
                <w:sz w:val="28"/>
                <w:szCs w:val="28"/>
              </w:rPr>
              <w:t>Embargado (a)(s)</w:t>
            </w:r>
          </w:p>
        </w:tc>
        <w:tc>
          <w:tcPr>
            <w:tcW w:w="425" w:type="dxa"/>
            <w:vAlign w:val="center"/>
          </w:tcPr>
          <w:p w:rsidRPr="00770E7F" w:rsidR="00770E7F" w:rsidP="00B34ADF" w:rsidRDefault="00770E7F" w14:paraId="1781F2F2" w14:textId="77777777">
            <w:pPr>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770E7F" w14:paraId="6F51F073" w14:textId="77777777">
            <w:pPr>
              <w:ind w:right="-74"/>
              <w:rPr>
                <w:rFonts w:ascii="Arial" w:hAnsi="Arial" w:cs="Arial"/>
                <w:sz w:val="28"/>
                <w:szCs w:val="28"/>
              </w:rPr>
            </w:pPr>
            <w:r w:rsidRPr="00770E7F">
              <w:rPr>
                <w:rFonts w:ascii="Arial" w:hAnsi="Arial" w:cs="Arial"/>
                <w:b/>
                <w:bCs/>
                <w:sz w:val="28"/>
                <w:szCs w:val="28"/>
              </w:rPr>
              <w:t>LEANDRO RIBEIRO VAZ</w:t>
            </w:r>
          </w:p>
        </w:tc>
      </w:tr>
      <w:tr w:rsidRPr="00770E7F" w:rsidR="00770E7F" w:rsidTr="00B34ADF" w14:paraId="7F3DE6FA" w14:textId="77777777">
        <w:trPr>
          <w:cantSplit/>
          <w:trHeight w:val="397"/>
        </w:trPr>
        <w:tc>
          <w:tcPr>
            <w:tcW w:w="3294" w:type="dxa"/>
            <w:vAlign w:val="center"/>
          </w:tcPr>
          <w:p w:rsidRPr="00770E7F" w:rsidR="00770E7F" w:rsidP="00B34ADF" w:rsidRDefault="00770E7F" w14:paraId="636A7C7C" w14:textId="77777777">
            <w:pPr>
              <w:rPr>
                <w:rFonts w:ascii="Arial" w:hAnsi="Arial" w:cs="Arial"/>
                <w:sz w:val="28"/>
                <w:szCs w:val="28"/>
              </w:rPr>
            </w:pPr>
            <w:r w:rsidRPr="00770E7F">
              <w:rPr>
                <w:rFonts w:ascii="Arial" w:hAnsi="Arial" w:cs="Arial"/>
                <w:sz w:val="28"/>
                <w:szCs w:val="28"/>
              </w:rPr>
              <w:t>Relator(a)</w:t>
            </w:r>
          </w:p>
        </w:tc>
        <w:tc>
          <w:tcPr>
            <w:tcW w:w="425" w:type="dxa"/>
            <w:vAlign w:val="center"/>
          </w:tcPr>
          <w:p w:rsidRPr="00770E7F" w:rsidR="00770E7F" w:rsidP="00B34ADF" w:rsidRDefault="00770E7F" w14:paraId="07369B2F" w14:textId="77777777">
            <w:pPr>
              <w:ind w:right="-11"/>
              <w:rPr>
                <w:rFonts w:ascii="Arial" w:hAnsi="Arial" w:cs="Arial"/>
                <w:sz w:val="28"/>
                <w:szCs w:val="28"/>
              </w:rPr>
            </w:pPr>
            <w:r w:rsidRPr="00770E7F">
              <w:rPr>
                <w:rFonts w:ascii="Arial" w:hAnsi="Arial" w:cs="Arial"/>
                <w:sz w:val="28"/>
                <w:szCs w:val="28"/>
              </w:rPr>
              <w:t>:</w:t>
            </w:r>
          </w:p>
        </w:tc>
        <w:tc>
          <w:tcPr>
            <w:tcW w:w="4361" w:type="dxa"/>
            <w:vAlign w:val="center"/>
          </w:tcPr>
          <w:p w:rsidRPr="00770E7F" w:rsidR="00770E7F" w:rsidP="00B34ADF" w:rsidRDefault="00770E7F" w14:paraId="54EC1065" w14:textId="77777777">
            <w:pPr>
              <w:rPr>
                <w:rFonts w:ascii="Arial" w:hAnsi="Arial" w:cs="Arial"/>
                <w:b/>
                <w:sz w:val="28"/>
                <w:szCs w:val="28"/>
              </w:rPr>
            </w:pPr>
            <w:r w:rsidRPr="00770E7F">
              <w:rPr>
                <w:rFonts w:ascii="Arial" w:hAnsi="Arial" w:cs="Arial"/>
                <w:b/>
                <w:bCs/>
                <w:sz w:val="28"/>
                <w:szCs w:val="28"/>
              </w:rPr>
              <w:t>Des. Sérgio Rocha</w:t>
            </w:r>
          </w:p>
        </w:tc>
      </w:tr>
    </w:tbl>
    <w:p>
      <w:pPr>
        <w:keepNext/>
        <w:spacing w:line="360" w:lineRule="auto" w:after="0" w:before="0"/>
        <w:jc w:val="left"/>
      </w:pPr>
      <w:r>
        <w:rPr>
          <w:rFonts w:ascii="Arial" w:hAnsi="Arial" w:cs="Arial"/>
          <w:b/>
          <w:i w:val="0"/>
          <w:sz w:val="28"/>
        </w:rPr>
        <w:t>EMENTA</w:t>
      </w:r>
    </w:p>
    <w:p>
      <w:pPr>
        <w:spacing w:line="360" w:lineRule="auto" w:after="0" w:before="0"/>
        <w:jc w:val="both"/>
      </w:pPr>
      <w:commentRangeStart w:id="0"/>
      <w:r>
        <w:rPr>
          <w:rFonts w:ascii="Arial" w:hAnsi="Arial" w:cs="Arial"/>
          <w:b w:val="0"/>
          <w:i w:val="0"/>
          <w:sz w:val="28"/>
        </w:rPr>
        <w:t>EMBARGOS DE DECLARAÇÃO. DIREITO PROCESSUAL CIVIL. ERRO MATERIAL. VALOR DA INDENIZAÇÃO POR DANOS MORAIS. CORREÇÃO DA EMENTA. EMBARGOS PARCIALMENTE PROVIDOS.</w:t>
      </w:r>
      <w:commentRangeEnd w:id="0"/>
      <w:r>
        <w:rPr>
          <w:rStyle w:val="CommentReference"/>
        </w:rPr>
        <w:commentReference w:id="0"/>
      </w:r>
    </w:p>
    <w:p>
      <w:pPr>
        <w:keepNext/>
        <w:spacing w:line="360" w:lineRule="auto" w:after="0" w:before="0"/>
        <w:jc w:val="both"/>
      </w:pPr>
      <w:r>
        <w:rPr>
          <w:rFonts w:ascii="Arial" w:hAnsi="Arial" w:cs="Arial"/>
          <w:b/>
          <w:i w:val="0"/>
          <w:sz w:val="28"/>
        </w:rPr>
        <w:t>I. Caso em exame</w:t>
      </w:r>
    </w:p>
    <w:p>
      <w:pPr>
        <w:spacing w:line="360" w:lineRule="auto" w:after="0" w:before="0"/>
        <w:jc w:val="both"/>
      </w:pPr>
      <w:r>
        <w:rPr>
          <w:rFonts w:ascii="Arial" w:hAnsi="Arial" w:cs="Arial"/>
          <w:b w:val="0"/>
          <w:i w:val="0"/>
          <w:sz w:val="28"/>
        </w:rPr>
        <w:t>1. Embargos de declaração opostos por SOCIÉTÉ AIR FRANCE contra acórdão que deu parcial provimento ao apelo do autor, passageiro pessoa natural, em ação de indenização por danos materiais e morais decorrentes de atraso em transporte aéreo internacional.</w:t>
      </w:r>
    </w:p>
    <w:p>
      <w:pPr>
        <w:spacing w:line="360" w:lineRule="auto" w:after="0" w:before="0"/>
        <w:jc w:val="both"/>
      </w:pPr>
      <w:r>
        <w:rPr>
          <w:rFonts w:ascii="Arial" w:hAnsi="Arial" w:cs="Arial"/>
          <w:b w:val="0"/>
          <w:i w:val="0"/>
          <w:sz w:val="28"/>
        </w:rPr>
        <w:t>2. O acórdão majorou a indenização por danos morais de R$ 5.000,00 para R$ 10.000,00 no voto e no dispositivo, mas a ementa registrou R$ 8.000,00.</w:t>
      </w:r>
    </w:p>
    <w:p>
      <w:pPr>
        <w:spacing w:line="360" w:lineRule="auto" w:after="0" w:before="0"/>
        <w:jc w:val="both"/>
      </w:pPr>
      <w:r>
        <w:rPr>
          <w:rFonts w:ascii="Arial" w:hAnsi="Arial" w:cs="Arial"/>
          <w:b w:val="0"/>
          <w:i w:val="0"/>
          <w:sz w:val="28"/>
        </w:rPr>
        <w:t>3. A embargante sustenta erro material, por divergência entre a ementa e o dispositivo do voto, e pede a correção do dispositivo para R$ 8.000,00.</w:t>
      </w:r>
    </w:p>
    <w:p>
      <w:pPr>
        <w:keepNext/>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4. A questão em discussão consiste em saber se há erro material no acórdão quanto ao valor da indenização por danos morais, indicado como R$ 8.000,00 na ementa e como R$ 10.000,00 no voto e no dispositivo.</w:t>
      </w:r>
    </w:p>
    <w:p>
      <w:pPr>
        <w:keepNext/>
        <w:spacing w:line="360" w:lineRule="auto" w:after="0" w:before="0"/>
        <w:jc w:val="both"/>
      </w:pPr>
      <w:r>
        <w:rPr>
          <w:rFonts w:ascii="Arial" w:hAnsi="Arial" w:cs="Arial"/>
          <w:b/>
          <w:i w:val="0"/>
          <w:sz w:val="28"/>
        </w:rPr>
        <w:t>III. Razões de decidir</w:t>
      </w:r>
    </w:p>
    <w:p>
      <w:pPr>
        <w:spacing w:line="360" w:lineRule="auto" w:after="0" w:before="0"/>
        <w:jc w:val="both"/>
      </w:pPr>
      <w:commentRangeStart w:id="1"/>
      <w:r>
        <w:rPr>
          <w:rFonts w:ascii="Arial" w:hAnsi="Arial" w:cs="Arial"/>
          <w:b w:val="0"/>
          <w:i w:val="0"/>
          <w:sz w:val="28"/>
        </w:rPr>
        <w:t>5. Os embargos de declaração são cabíveis para corrigir erro material (CPC 1022 III).</w:t>
      </w:r>
      <w:commentRangeEnd w:id="1"/>
      <w:r>
        <w:rPr>
          <w:rStyle w:val="CommentReference"/>
        </w:rPr>
        <w:commentReference w:id="1"/>
      </w:r>
    </w:p>
    <w:p>
      <w:pPr>
        <w:spacing w:line="360" w:lineRule="auto" w:after="0" w:before="0"/>
        <w:jc w:val="both"/>
      </w:pPr>
      <w:r>
        <w:rPr>
          <w:rFonts w:ascii="Arial" w:hAnsi="Arial" w:cs="Arial"/>
          <w:b w:val="0"/>
          <w:i w:val="0"/>
          <w:sz w:val="28"/>
        </w:rPr>
        <w:t>6. A ementa é síntese do julgado e não prevalece sobre o voto condutor que fundamenta e decide de modo coerente.</w:t>
      </w:r>
    </w:p>
    <w:p>
      <w:pPr>
        <w:spacing w:line="360" w:lineRule="auto" w:after="0" w:before="0"/>
        <w:jc w:val="both"/>
      </w:pPr>
      <w:r>
        <w:rPr>
          <w:rFonts w:ascii="Arial" w:hAnsi="Arial" w:cs="Arial"/>
          <w:b w:val="0"/>
          <w:i w:val="0"/>
          <w:sz w:val="28"/>
        </w:rPr>
        <w:t>7. O voto fundamenta e repete no dispositivo a majoração para R$ 10.000,00, de modo que o erro material está na ementa, que deve ser corrigida, sem efeitos infringentes.</w:t>
      </w:r>
    </w:p>
    <w:p>
      <w:pPr>
        <w:keepNext/>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8. Deu-se parcial provimento aos embargos de declaração da apelada para corrigir a ementa, a fim de que, onde se lê “R$ 8.000,00”, leia-se “R$ 10.000,00”.</w:t>
      </w:r>
    </w:p>
    <w:p>
      <w:pPr>
        <w:spacing w:line="360" w:lineRule="auto" w:after="0" w:before="0"/>
        <w:jc w:val="both"/>
      </w:pPr>
      <w:r>
        <w:rPr>
          <w:rFonts w:ascii="Arial" w:hAnsi="Arial" w:cs="Arial"/>
          <w:b w:val="0"/>
          <w:i w:val="0"/>
          <w:sz w:val="28"/>
          <w:u w:val="single"/>
        </w:rPr>
        <w:t>_</w:t>
      </w:r>
      <w:r>
        <w:rPr>
          <w:rFonts w:ascii="Arial" w:hAnsi="Arial" w:cs="Arial"/>
          <w:b w:val="0"/>
          <w:i w:val="0"/>
          <w:sz w:val="28"/>
          <w:u w:val="single"/>
        </w:rPr>
      </w:r>
    </w:p>
    <w:p>
      <w:pPr>
        <w:spacing w:line="360" w:lineRule="auto" w:after="0" w:before="0"/>
        <w:jc w:val="both"/>
      </w:pPr>
      <w:commentRangeStart w:id="2"/>
      <w:r>
        <w:rPr>
          <w:rFonts w:ascii="Arial" w:hAnsi="Arial" w:cs="Arial"/>
          <w:b w:val="0"/>
          <w:i/>
          <w:sz w:val="26"/>
        </w:rPr>
        <w:t>Dispositivos relevantes citados:</w:t>
      </w:r>
      <w:r>
        <w:rPr>
          <w:rFonts w:ascii="Arial" w:hAnsi="Arial" w:cs="Arial"/>
          <w:b w:val="0"/>
          <w:i w:val="0"/>
          <w:sz w:val="26"/>
        </w:rPr>
        <w:t xml:space="preserve"> CPC, art. 1.022, III.</w:t>
      </w:r>
      <w:commentRangeEnd w:id="2"/>
      <w:r>
        <w:rPr>
          <w:rStyle w:val="CommentReference"/>
        </w:rPr>
        <w:commentReference w:id="2"/>
      </w:r>
    </w:p>
    <w:p>
      <w:pPr>
        <w:spacing w:line="360" w:lineRule="auto" w:after="0"/>
        <w:ind w:firstLine="2268"/>
      </w:pPr>
      <w:r>
        <w:rPr>
          <w:sz w:val="28"/>
        </w:rPr>
      </w:r>
    </w:p>
    <w:p>
      <w:pPr>
        <w:spacing w:line="360" w:lineRule="auto" w:after="0"/>
        <w:ind w:firstLine="2268"/>
      </w:pPr>
      <w:r>
        <w:rPr>
          <w:sz w:val="28"/>
        </w:rPr>
      </w:r>
    </w:p>
    <w:p>
      <w:pPr>
        <w:keepNext/>
        <w:spacing w:line="360" w:lineRule="auto" w:after="0" w:before="0"/>
        <w:jc w:val="both"/>
      </w:pPr>
      <w:r>
        <w:rPr>
          <w:rFonts w:ascii="Arial" w:hAnsi="Arial" w:cs="Arial"/>
          <w:b/>
          <w:i w:val="0"/>
          <w:color w:val="EE0000"/>
          <w:sz w:val="28"/>
          <w:highlight w:val="yellow"/>
        </w:rPr>
        <w:t>RESUMO DOS EMBARGOS EM SENTIDO CONTRÁRIO AO VOTO</w:t>
      </w:r>
    </w:p>
    <w:p>
      <w:pPr>
        <w:keepNext/>
        <w:spacing w:line="360" w:lineRule="auto" w:after="0" w:before="0"/>
        <w:jc w:val="both"/>
      </w:pPr>
      <w:r>
        <w:rPr>
          <w:rFonts w:ascii="Arial" w:hAnsi="Arial" w:cs="Arial"/>
          <w:b/>
          <w:i w:val="0"/>
          <w:color w:val="EE0000"/>
          <w:sz w:val="28"/>
        </w:rPr>
        <w:t>I. RAZÕES RECURSAIS</w:t>
      </w:r>
    </w:p>
    <w:p>
      <w:pPr>
        <w:keepNext/>
        <w:spacing w:line="360" w:lineRule="auto" w:after="0" w:before="0"/>
        <w:jc w:val="both"/>
      </w:pPr>
      <w:r>
        <w:rPr>
          <w:rFonts w:ascii="Arial" w:hAnsi="Arial" w:cs="Arial"/>
          <w:b/>
          <w:i w:val="0"/>
          <w:color w:val="EE0000"/>
          <w:sz w:val="28"/>
        </w:rPr>
        <w:t>Erro material quanto ao valor da indenização por danos morais</w:t>
      </w:r>
    </w:p>
    <w:p>
      <w:pPr>
        <w:spacing w:line="360" w:lineRule="auto" w:after="0" w:before="0"/>
        <w:ind w:hanging="357" w:left="720"/>
        <w:jc w:val="both"/>
      </w:pPr>
      <w:r>
        <w:rPr>
          <w:rFonts w:ascii="Arial" w:hAnsi="Arial" w:cs="Arial"/>
          <w:b w:val="0"/>
          <w:i w:val="0"/>
          <w:color w:val="EE0000"/>
          <w:sz w:val="28"/>
        </w:rPr>
        <w:t>1. A embargante sustenta que a ementa e o item 10 registram a majoração da indenização por danos morais de R$ 5.000,00 para R$ 8.000,00, mas o dispositivo do voto condutor fixou R$ 10.000,00, divergência que deve ser corrigida para preservar a coerência interna do julgado (ID 89830311).</w:t>
      </w:r>
    </w:p>
    <w:p>
      <w:pPr>
        <w:keepNext/>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acolhimento dos embargos de declaração para corrigir o dispositivo do acórdão e fazer constar a majoração da indenização por danos morais de R$ 5.000,00 para R$ 8.000,00, mantidos os demais termos do julgado (ID 89830311).</w:t>
      </w:r>
    </w:p>
    <w:p>
      <w:pPr>
        <w:keepNext/>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apelada, SOCIÉTÉ AIR FRANCE, opõe embargos de declaração contra o v. acórdão que deu parcial provimento ao apelo do autor e ostenta a seguinte ementa:</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“APELAÇÃO CÍVEL. DIREITO DO CONSUMIDOR E DIREITO AERONÁUTICO. TRANSPORTE AÉREO INTERNACIONAL. ATRASO DE VOO. POUSO NÃO PROGRAMADO POR EMERGÊNCIA MÉDICA. ASSISTÊNCIA MATERIAL INSUFICIENTE. DANOS MATERIAIS. DOCUMENTOS EM LÍNGUA ESTRANGEIRA. DESNECESSIDADE DE TRADUÇÃO JURAMENTADA EM HIPÓTESE DE FÁCIL COMPREENSÃO. DANO MORAL. PERDA DE EVENTO SOCIAL RELEVANTE. MAJORAÇÃO DA INDENIZAÇÃO. RECURSO PARCIALMENTE PROVIDO.</w:t>
      </w:r>
    </w:p>
    <w:p>
      <w:pPr>
        <w:spacing w:line="360" w:lineRule="auto" w:after="0" w:before="0"/>
        <w:ind w:left="2268"/>
        <w:jc w:val="both"/>
      </w:pPr>
      <w:r>
        <w:rPr>
          <w:rFonts w:ascii="Arial" w:hAnsi="Arial" w:cs="Arial"/>
          <w:b w:val="0"/>
          <w:i/>
          <w:sz w:val="26"/>
        </w:rPr>
        <w:t>I. Caso em exame</w:t>
      </w:r>
    </w:p>
    <w:p>
      <w:pPr>
        <w:spacing w:line="360" w:lineRule="auto" w:after="0" w:before="0"/>
        <w:ind w:left="2268"/>
        <w:jc w:val="both"/>
      </w:pPr>
      <w:r>
        <w:rPr>
          <w:rFonts w:ascii="Arial" w:hAnsi="Arial" w:cs="Arial"/>
          <w:b w:val="0"/>
          <w:i/>
          <w:sz w:val="26"/>
        </w:rPr>
        <w:t>1. Ação de indenização por danos materiais e morais proposta por pessoa natural contra SOCIÉTÉ AIR FRANCE, em razão de atraso em transporte aéreo internacional no trecho Tóquio/Japão-Paris/França-Roma/Itália, após pouso não programado no Alasca/Estados Unidos por emergência médica a bordo, com alegação de falha na prestação de assistência aos passageiros.</w:t>
      </w:r>
    </w:p>
    <w:p>
      <w:pPr>
        <w:spacing w:line="360" w:lineRule="auto" w:after="0" w:before="0"/>
        <w:ind w:left="2268"/>
        <w:jc w:val="both"/>
      </w:pPr>
      <w:r>
        <w:rPr>
          <w:rFonts w:ascii="Arial" w:hAnsi="Arial" w:cs="Arial"/>
          <w:b w:val="0"/>
          <w:i/>
          <w:sz w:val="26"/>
        </w:rPr>
        <w:t>2. A sentença julgou parcialmente procedentes os pedidos para condenar a ré ao pagamento de R$ 5.000,00 a título de danos morais e rejeitar a pretensão de ressarcimento dos danos materiais. Diante da sucumbência recíproca, fixou custas e honorários advocatícios, arbitrados em 20% sobre o valor da condenação, em rateio proporcional entre as partes.</w:t>
      </w:r>
    </w:p>
    <w:p>
      <w:pPr>
        <w:spacing w:line="360" w:lineRule="auto" w:after="0" w:before="0"/>
        <w:ind w:left="2268"/>
        <w:jc w:val="both"/>
      </w:pPr>
      <w:r>
        <w:rPr>
          <w:rFonts w:ascii="Arial" w:hAnsi="Arial" w:cs="Arial"/>
          <w:b w:val="0"/>
          <w:i/>
          <w:sz w:val="26"/>
        </w:rPr>
        <w:t>3. O autor apelou pleiteando o reconhecimento dos danos materiais no valor de R$ 12.578,03, relativos a despesas com hospedagem, alimentação, transporte, vestuário e perda de diárias, bem como a majoração da indenização por danos morais, em razão do atraso de quase dois dias na chegada ao destino final e da impossibilidade de comparecer ao casamento que motivou a viagem.</w:t>
      </w:r>
    </w:p>
    <w:p>
      <w:pPr>
        <w:spacing w:line="360" w:lineRule="auto" w:after="0" w:before="0"/>
        <w:ind w:left="2268"/>
        <w:jc w:val="both"/>
      </w:pPr>
      <w:r>
        <w:rPr>
          <w:rFonts w:ascii="Arial" w:hAnsi="Arial" w:cs="Arial"/>
          <w:b w:val="0"/>
          <w:i/>
          <w:sz w:val="26"/>
        </w:rPr>
        <w:t>II. Questão em discussão</w:t>
      </w:r>
    </w:p>
    <w:p>
      <w:pPr>
        <w:spacing w:line="360" w:lineRule="auto" w:after="0" w:before="0"/>
        <w:ind w:left="2268"/>
        <w:jc w:val="both"/>
      </w:pPr>
      <w:r>
        <w:rPr>
          <w:rFonts w:ascii="Arial" w:hAnsi="Arial" w:cs="Arial"/>
          <w:b w:val="0"/>
          <w:i/>
          <w:sz w:val="26"/>
        </w:rPr>
        <w:t>4. Há duas questões em discussão: (i) saber se a ausência de tradução juramentada dos documentos em língua estrangeira impede o reconhecimento dos danos materiais decorrentes do atraso em transporte aéreo internacional; e (ii) saber se a indenização por danos morais fixada em R$ 5.000,00 comporta majoração diante do atraso prolongado, da assistência insuficiente e da perda de evento social relevante.</w:t>
      </w:r>
    </w:p>
    <w:p>
      <w:pPr>
        <w:spacing w:line="360" w:lineRule="auto" w:after="0" w:before="0"/>
        <w:ind w:left="2268"/>
        <w:jc w:val="both"/>
      </w:pPr>
      <w:r>
        <w:rPr>
          <w:rFonts w:ascii="Arial" w:hAnsi="Arial" w:cs="Arial"/>
          <w:b w:val="0"/>
          <w:i/>
          <w:sz w:val="26"/>
        </w:rPr>
        <w:t>III. Razões de decidir</w:t>
      </w:r>
    </w:p>
    <w:p>
      <w:pPr>
        <w:spacing w:line="360" w:lineRule="auto" w:after="0" w:before="0"/>
        <w:ind w:left="2268"/>
        <w:jc w:val="both"/>
      </w:pPr>
      <w:r>
        <w:rPr>
          <w:rFonts w:ascii="Arial" w:hAnsi="Arial" w:cs="Arial"/>
          <w:b w:val="0"/>
          <w:i/>
          <w:sz w:val="26"/>
        </w:rPr>
        <w:t>5. A responsabilidade pelos danos materiais decorrentes de atraso em transporte aéreo internacional submete-se às Convenções de Varsóvia e Montreal, conforme o Tema 210 do STF. Embora a emergência médica justificasse o pouso não programado, a companhia aérea não comprovou adoção de medidas suficientes para prestar assistência adequada ao passageiro ou minimizar os prejuízos decorrentes do atraso, nos termos do art. 19 da Convenção de Montreal.</w:t>
      </w:r>
    </w:p>
    <w:p>
      <w:pPr>
        <w:spacing w:line="360" w:lineRule="auto" w:after="0" w:before="0"/>
        <w:ind w:left="2268"/>
        <w:jc w:val="both"/>
      </w:pPr>
      <w:r>
        <w:rPr>
          <w:rFonts w:ascii="Arial" w:hAnsi="Arial" w:cs="Arial"/>
          <w:b w:val="0"/>
          <w:i/>
          <w:sz w:val="26"/>
        </w:rPr>
        <w:t>6. A ausência de tradução juramentada não afasta, por si só, a eficácia probatória de documentos redigidos em língua estrangeira quando seu conteúdo apresenta compreensão simples, com identificação clara das datas, valores e natureza das despesas. A interpretação do art. 192 do CPC deve harmonizar-se com os princípios da instrumentalidade das formas, da cooperação processual e da primazia do julgamento de mérito.</w:t>
      </w:r>
    </w:p>
    <w:p>
      <w:pPr>
        <w:spacing w:line="360" w:lineRule="auto" w:after="0" w:before="0"/>
        <w:ind w:left="2268"/>
        <w:jc w:val="both"/>
      </w:pPr>
      <w:r>
        <w:rPr>
          <w:rFonts w:ascii="Arial" w:hAnsi="Arial" w:cs="Arial"/>
          <w:b w:val="0"/>
          <w:i/>
          <w:sz w:val="26"/>
        </w:rPr>
        <w:t>7. Comprovadas as despesas diretamente relacionadas à falha do serviço, impõe-se o ressarcimento de R$ 8.405,03, correspondentes a R$ 6.518,04 de hospedagem, R$ 242,88 de transporte e R$ 1.644,11 de alimentação. Inviável o ressarcimento de R$ 4.173,00 referentes à aquisição de vestuário, pois o passageiro viajava com quatro malas de mão, não demonstrou necessidade emergencial compatível com o valor despendido em aproximadamente 24 horas e os bens adquiridos incorporaram-se ao seu patrimônio.</w:t>
      </w:r>
    </w:p>
    <w:p>
      <w:pPr>
        <w:spacing w:line="360" w:lineRule="auto" w:after="0" w:before="0"/>
        <w:ind w:left="2268"/>
        <w:jc w:val="both"/>
      </w:pPr>
      <w:r>
        <w:rPr>
          <w:rFonts w:ascii="Arial" w:hAnsi="Arial" w:cs="Arial"/>
          <w:b w:val="0"/>
          <w:i/>
          <w:sz w:val="26"/>
        </w:rPr>
        <w:t>8. O atraso de quase dois dias na chegada ao destino, a perda do casamento que motivou a viagem internacional, a frustração da utilização da hospedagem contratada e a assistência insuficiente prestada pela transportadora ultrapassam o mero dissabor cotidiano e configuram dano moral indenizável.</w:t>
      </w:r>
    </w:p>
    <w:p>
      <w:pPr>
        <w:spacing w:line="360" w:lineRule="auto" w:after="0" w:before="0"/>
        <w:ind w:left="2268"/>
        <w:jc w:val="both"/>
      </w:pPr>
      <w:r>
        <w:rPr>
          <w:rFonts w:ascii="Arial" w:hAnsi="Arial" w:cs="Arial"/>
          <w:b w:val="0"/>
          <w:i/>
          <w:sz w:val="26"/>
        </w:rPr>
        <w:t>9. As particularidades do caso justificam a majoração da indenização por danos morais de R$ 5.000,00 para R$ 8.000,00, valor compatível com a extensão do prejuízo experimentado, a capacidade econômica da companhia aérea e os princípios da razoabilidade e da proporcionalidade.</w:t>
      </w:r>
    </w:p>
    <w:p>
      <w:pPr>
        <w:spacing w:line="360" w:lineRule="auto" w:after="0" w:before="0"/>
        <w:ind w:left="2268"/>
        <w:jc w:val="both"/>
      </w:pPr>
      <w:r>
        <w:rPr>
          <w:rFonts w:ascii="Arial" w:hAnsi="Arial" w:cs="Arial"/>
          <w:b w:val="0"/>
          <w:i/>
          <w:sz w:val="26"/>
        </w:rPr>
        <w:t>IV. Dispositivo</w:t>
      </w:r>
    </w:p>
    <w:p>
      <w:pPr>
        <w:spacing w:line="360" w:lineRule="auto" w:after="0" w:before="0"/>
        <w:ind w:left="2268"/>
        <w:jc w:val="both"/>
      </w:pPr>
      <w:r>
        <w:rPr>
          <w:rFonts w:ascii="Arial" w:hAnsi="Arial" w:cs="Arial"/>
          <w:b w:val="0"/>
          <w:i/>
          <w:sz w:val="26"/>
        </w:rPr>
        <w:t>10. Deu-se parcial provimento ao apelo do autor para condenar a ré ao pagamento de R$ 8.405,03 a título de danos materiais, corrigidos monetariamente desde os respectivos desembolsos e acrescidos de juros de mora desde a citação, bem como para majorar a indenização por danos morais de R$ 5.000,00 para R$ 8.000,00, com correção monetária a partir do arbitramento e juros de mora desde a citação. Redistribuíram-se os ônus sucumbenciais, atribuindo-se à ré 2/3 e ao autor 1/3 das custas processuais e dos honorários advocatícios fixados em 20% sobre o valor da condenação.</w:t>
      </w:r>
    </w:p>
    <w:p>
      <w:pPr>
        <w:spacing w:line="360" w:lineRule="auto" w:after="0" w:before="0"/>
        <w:ind w:left="2268"/>
        <w:jc w:val="both"/>
      </w:pP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t>_</w:t>
      </w:r>
      <w:r>
        <w:rPr>
          <w:rFonts w:ascii="Arial" w:hAnsi="Arial" w:cs="Arial"/>
          <w:b w:val="0"/>
          <w:i/>
          <w:sz w:val="26"/>
          <w:u w:val="single"/>
        </w:rPr>
      </w:r>
    </w:p>
    <w:p>
      <w:pPr>
        <w:spacing w:line="360" w:lineRule="auto" w:after="0" w:before="0"/>
        <w:ind w:left="2268"/>
        <w:jc w:val="both"/>
      </w:pPr>
      <w:r>
        <w:rPr>
          <w:rFonts w:ascii="Arial" w:hAnsi="Arial" w:cs="Arial"/>
          <w:b w:val="0"/>
          <w:i/>
          <w:sz w:val="26"/>
        </w:rPr>
        <w:t>Dispositivos relevantes citados:</w:t>
      </w:r>
      <w:r>
        <w:rPr>
          <w:rFonts w:ascii="Arial" w:hAnsi="Arial" w:cs="Arial"/>
          <w:b w:val="0"/>
          <w:i/>
          <w:sz w:val="26"/>
        </w:rPr>
        <w:t xml:space="preserve"> CF/1988, art. 178; CPC, arts. 85, § 14, 192 e 487, I; CC, arts. 389, parágrafo único, 406; Resolução ANAC nº 400/2016, art. 27; Convenção de Montreal, art. 19.</w:t>
      </w:r>
    </w:p>
    <w:p>
      <w:pPr>
        <w:spacing w:line="360" w:lineRule="auto" w:after="0" w:before="0"/>
        <w:ind w:left="2268"/>
        <w:jc w:val="both"/>
      </w:pPr>
      <w:r>
        <w:rPr>
          <w:rFonts w:ascii="Arial" w:hAnsi="Arial" w:cs="Arial"/>
          <w:b w:val="0"/>
          <w:i/>
          <w:sz w:val="26"/>
        </w:rPr>
        <w:t>Jurisprudência relevante citada:</w:t>
      </w:r>
      <w:r>
        <w:rPr>
          <w:rFonts w:ascii="Arial" w:hAnsi="Arial" w:cs="Arial"/>
          <w:b w:val="0"/>
          <w:i/>
          <w:sz w:val="26"/>
        </w:rPr>
        <w:t xml:space="preserve"> STF, RE nº 636.331/RJ (Tema 210), Rel. Min. Gilmar Mendes, Tribunal Pleno, j. 25/05/2017; STJ, AgInt no AREsp nº 2.474.819/MG, Rel. Min. João Otávio de Noronha, Quarta Turma, j. 19/08/2024, DJe 22/08/2024.” (ID 87699311)</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embargante alega a existência de erro material no acórdão.</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 xml:space="preserve">Contrarrazões em que o embargado alega que: </w:t>
      </w:r>
      <w:r>
        <w:rPr>
          <w:rFonts w:ascii="Arial" w:hAnsi="Arial" w:cs="Arial"/>
          <w:b/>
          <w:i w:val="0"/>
          <w:sz w:val="28"/>
        </w:rPr>
        <w:t>1)</w:t>
      </w:r>
      <w:r>
        <w:rPr>
          <w:rFonts w:ascii="Arial" w:hAnsi="Arial" w:cs="Arial"/>
          <w:b w:val="0"/>
          <w:i w:val="0"/>
          <w:sz w:val="28"/>
        </w:rPr>
        <w:t xml:space="preserve"> a correção não pode adotar automaticamente o valor da ementa, sem considerar o voto condutor e o dispositivo submetidos à deliberação colegiada; </w:t>
      </w:r>
      <w:r>
        <w:rPr>
          <w:rFonts w:ascii="Arial" w:hAnsi="Arial" w:cs="Arial"/>
          <w:b/>
          <w:i w:val="0"/>
          <w:sz w:val="28"/>
        </w:rPr>
        <w:t>2)</w:t>
      </w:r>
      <w:r>
        <w:rPr>
          <w:rFonts w:ascii="Arial" w:hAnsi="Arial" w:cs="Arial"/>
          <w:b w:val="0"/>
          <w:i w:val="0"/>
          <w:sz w:val="28"/>
        </w:rPr>
        <w:t xml:space="preserve"> o voto fundamentou e o dispositivo registrou a majoração para R$ 10.000,00, ao passo que a divergência está na ementa e no item 10; </w:t>
      </w:r>
      <w:r>
        <w:rPr>
          <w:rFonts w:ascii="Arial" w:hAnsi="Arial" w:cs="Arial"/>
          <w:b/>
          <w:i w:val="0"/>
          <w:sz w:val="28"/>
        </w:rPr>
        <w:t>3)</w:t>
      </w:r>
      <w:r>
        <w:rPr>
          <w:rFonts w:ascii="Arial" w:hAnsi="Arial" w:cs="Arial"/>
          <w:b w:val="0"/>
          <w:i w:val="0"/>
          <w:sz w:val="28"/>
        </w:rPr>
        <w:t xml:space="preserve"> o valor de R$ 10.000,00 deve ser mantido se a ata e os registros oficiais confirmarem a deliberação do Colegiado e, subsidiariamente, a correção deve limitar-se à adequação formal do texto, sem alterar os demais capítulos (ID 90808048).</w:t>
      </w:r>
      <w:commentRangeEnd w:id="3"/>
      <w:r>
        <w:rPr>
          <w:rStyle w:val="CommentReference"/>
        </w:rPr>
        <w:commentReference w:id="3"/>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keepNext/>
        <w:pageBreakBefore/>
        <w:spacing w:line="360" w:lineRule="auto" w:after="0" w:before="0"/>
        <w:jc w:val="center"/>
      </w:pPr>
      <w:r>
        <w:rPr>
          <w:rFonts w:ascii="Arial" w:hAnsi="Arial" w:cs="Arial"/>
          <w:b/>
          <w:i w:val="0"/>
          <w:sz w:val="28"/>
        </w:rPr>
        <w:t>VOTO</w:t>
      </w:r>
    </w:p>
    <w:p>
      <w:pPr>
        <w:spacing w:line="360" w:lineRule="auto" w:after="0"/>
        <w:ind w:firstLine="2268"/>
      </w:pPr>
      <w:r>
        <w:rPr>
          <w:sz w:val="28"/>
        </w:rPr>
      </w:r>
    </w:p>
    <w:p>
      <w:pPr>
        <w:keepNext/>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keepNext/>
        <w:spacing w:line="360" w:lineRule="auto" w:after="0" w:before="0"/>
        <w:jc w:val="center"/>
      </w:pPr>
      <w:r>
        <w:rPr>
          <w:rFonts w:ascii="Arial" w:hAnsi="Arial" w:cs="Arial"/>
          <w:b/>
          <w:i w:val="0"/>
          <w:sz w:val="28"/>
        </w:rPr>
        <w:t>EMBARGOS DE DECLARAÇÃO OPOSTOS PELA APELADA, SOCIÉTÉ AIR FRANCE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Presentes os pressupostos de admissibilidade, conheço dos embargos de declaração.</w:t>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DA CORREÇÃO DA EMENTA QUANTO AO VALOR DA INDENIZAÇÃO POR DANOS MORAIS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embargante alega que: </w:t>
      </w:r>
      <w:r>
        <w:rPr>
          <w:rFonts w:ascii="Arial" w:hAnsi="Arial" w:cs="Arial"/>
          <w:b/>
          <w:i w:val="0"/>
          <w:sz w:val="28"/>
        </w:rPr>
        <w:t>1)</w:t>
      </w:r>
      <w:r>
        <w:rPr>
          <w:rFonts w:ascii="Arial" w:hAnsi="Arial" w:cs="Arial"/>
          <w:b w:val="0"/>
          <w:i w:val="0"/>
          <w:sz w:val="28"/>
        </w:rPr>
        <w:t xml:space="preserve"> o acórdão contém erro material quanto ao valor da indenização por danos morais; </w:t>
      </w:r>
      <w:r>
        <w:rPr>
          <w:rFonts w:ascii="Arial" w:hAnsi="Arial" w:cs="Arial"/>
          <w:b/>
          <w:i w:val="0"/>
          <w:sz w:val="28"/>
        </w:rPr>
        <w:t>2)</w:t>
      </w:r>
      <w:r>
        <w:rPr>
          <w:rFonts w:ascii="Arial" w:hAnsi="Arial" w:cs="Arial"/>
          <w:b w:val="0"/>
          <w:i w:val="0"/>
          <w:sz w:val="28"/>
        </w:rPr>
        <w:t xml:space="preserve"> a ementa e o item 10 registram a majoração de R$ 5.000,00 para R$ 8.000,00, mas o dispositivo do voto condutor fixou R$ 10.000,00 (ID 89830311).</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dos embargos de declaração para que seja sanado o erro material apontado, com a correção do dispositivo do acórdão para R$ 8.000,00 (ID 89830311).</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highlight w:val="yellow"/>
        </w:rPr>
        <w:t>Com parcial razão a embargante.</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Com efeito, a ementa e o item 10 registram a majoração da indenização por danos morais de R$ 5.000,00 para R$ 8.000,00 (ID 87699311).</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Todavia, o voto condutor fundamenta a majoração para R$ 10.000,00 nos seguintes termos:</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Assim, considerando a gravidade concreta do ocorrido, a frustração de evento social relevante e irrepetível, a extensão do atraso, a capacidade econômica da ré, empresa aérea de grande porte, e, ao mesmo tempo, a necessidade de evitar enriquecimento sem causa, mostra-se adequada a majoração da indenização por danos morais, fixados em R$ 5.000,00, para R$ 10.000,00, quantia compatível com os princípios da razoabilidade e da proporcionalidade.” (ID 87699315)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Em seguida, o dispositivo do voto reproduz o mesmo valor:</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2) majorar a indenização por danos morais de R$ 5.000,00 para R$ 10.000,00, corrigida monetariamente a partir deste arbitramento e acrescida de juros de mora desde a citação. (...)” (ID 87699315)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A fundamentação e o dispositivo do voto são coerentes entre si e foram acolhidos por unanimidade, ao passo que apenas a ementa e o item 10 destoam</w:t>
      </w:r>
      <w:r>
        <w:rPr>
          <w:rFonts w:ascii="Arial" w:hAnsi="Arial" w:cs="Arial"/>
          <w:b w:val="0"/>
          <w:i w:val="0"/>
          <w:sz w:val="28"/>
        </w:rPr>
        <w:t xml:space="preserve"> (ID 89564061).</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w:t>
      </w:r>
      <w:r>
        <w:rPr>
          <w:rFonts w:ascii="Arial" w:hAnsi="Arial" w:cs="Arial"/>
          <w:b w:val="0"/>
          <w:i w:val="0"/>
          <w:sz w:val="28"/>
          <w:highlight w:val="yellow"/>
        </w:rPr>
        <w:t>o erro material está na ementa e no item 10, e não no dispositivo do voto</w:t>
      </w:r>
      <w:r>
        <w:rPr>
          <w:rFonts w:ascii="Arial" w:hAnsi="Arial" w:cs="Arial"/>
          <w:b w:val="0"/>
          <w:i w:val="0"/>
          <w:sz w:val="28"/>
        </w:rPr>
        <w:t>, razão pela qual a correção pretendida pela embargante, que reduziria a indenização fixada pelo Colegiado, não pode ser acolhida.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Corrijo, portanto, a ementa, nos itens 9 e 10, para que, onde se lê “R$ 8.000,00”, leia-se “R$ 10.000,00”</w:t>
      </w:r>
      <w:r>
        <w:rPr>
          <w:rFonts w:ascii="Arial" w:hAnsi="Arial" w:cs="Arial"/>
          <w:b w:val="0"/>
          <w:i w:val="0"/>
          <w:sz w:val="28"/>
        </w:rPr>
        <w:t>, sem efeitos infringentes.</w:t>
      </w:r>
    </w:p>
    <w:p>
      <w:pPr>
        <w:spacing w:line="360" w:lineRule="auto" w:after="0"/>
        <w:ind w:firstLine="2268"/>
      </w:pPr>
      <w:r>
        <w:rPr>
          <w:sz w:val="28"/>
        </w:rPr>
      </w:r>
    </w:p>
    <w:p>
      <w:pPr>
        <w:keepNext/>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dou parcial provimento aos embargos de declaração da apelada</w:t>
      </w:r>
      <w:r>
        <w:rPr>
          <w:rFonts w:ascii="Arial" w:hAnsi="Arial" w:cs="Arial"/>
          <w:b w:val="0"/>
          <w:i w:val="0"/>
          <w:sz w:val="28"/>
        </w:rPr>
        <w:t>, SOCIÉTÉ AIR FRANCE, sem efeitos infringentes, para corrigir o erro material da ementa, a fim de que, nos itens 9 e 10, onde se lê “R$ 8.000,00”, leia-se “R$ 10.000,00”.</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p>
      <w:pPr>
        <w:spacing w:line="360" w:lineRule="auto" w:after="0"/>
        <w:ind w:firstLine="2268"/>
      </w:pPr>
      <w:r>
        <w:rPr>
          <w:sz w:val="28"/>
        </w:rPr>
      </w:r>
    </w:p>
    <w:p>
      <w:pPr>
        <w:pageBreakBefore/>
        <w:spacing w:line="360" w:lineRule="auto" w:after="0" w:before="0"/>
        <w:jc w:val="center"/>
      </w:pPr>
      <w:commentRangeStart w:id="5"/>
      <w:r>
        <w:rPr>
          <w:rFonts w:ascii="Arial" w:hAnsi="Arial" w:cs="Arial"/>
          <w:b/>
          <w:i w:val="0"/>
          <w:color w:val="00B050"/>
          <w:sz w:val="27"/>
        </w:rPr>
        <w:t>DECISÃO RECORRIDA</w:t>
      </w:r>
      <w:commentRangeEnd w:id="5"/>
      <w:r>
        <w:rPr>
          <w:rStyle w:val="CommentReference"/>
        </w:rPr>
        <w:commentReference w:id="5"/>
      </w:r>
    </w:p>
    <w:p>
      <w:pPr>
        <w:spacing w:line="360" w:lineRule="auto" w:after="0" w:before="0"/>
        <w:jc w:val="both"/>
      </w:pPr>
      <w:r>
        <w:rPr>
          <w:rFonts w:ascii="Arial" w:hAnsi="Arial" w:cs="Arial"/>
          <w:b/>
          <w:i w:val="0"/>
          <w:color w:val="00B050"/>
          <w:sz w:val="27"/>
        </w:rPr>
        <w:t>EMENTA</w:t>
      </w:r>
    </w:p>
    <w:p>
      <w:pPr>
        <w:spacing w:line="360" w:lineRule="auto" w:after="0" w:before="0"/>
        <w:jc w:val="both"/>
      </w:pPr>
      <w:r>
        <w:rPr>
          <w:rFonts w:ascii="Arial" w:hAnsi="Arial" w:cs="Arial"/>
          <w:b w:val="0"/>
          <w:i w:val="0"/>
          <w:color w:val="00B050"/>
          <w:sz w:val="27"/>
        </w:rPr>
        <w:t>APELAÇÃO CÍVEL. DIREITO DO CONSUMIDOR E DIREITO AERONÁUTICO. TRANSPORTE AÉREO INTERNACIONAL. ATRASO DE VOO. POUSO NÃO PROGRAMADO POR EMERGÊNCIA MÉDICA. ASSISTÊNCIA MATERIAL INSUFICIENTE. DANOS MATERIAIS. DOCUMENTOS EM LÍNGUA ESTRANGEIRA. DESNECESSIDADE DE TRADUÇÃO JURAMENTADA EM HIPÓTESE DE FÁCIL COMPREENSÃO. DANO MORAL. PERDA DE EVENTO SOCIAL RELEVANTE. MAJORAÇÃO DA INDENIZAÇÃO. RECURSO PARCIALMENTE PROVIDO.</w:t>
      </w:r>
    </w:p>
    <w:p>
      <w:pPr>
        <w:spacing w:line="360" w:lineRule="auto" w:after="0" w:before="0"/>
        <w:jc w:val="both"/>
      </w:pPr>
      <w:r>
        <w:rPr>
          <w:rFonts w:ascii="Arial" w:hAnsi="Arial" w:cs="Arial"/>
          <w:b w:val="0"/>
          <w:i w:val="0"/>
          <w:color w:val="00B050"/>
          <w:sz w:val="27"/>
        </w:rPr>
        <w:t>I. Caso em exame</w:t>
      </w:r>
    </w:p>
    <w:p>
      <w:pPr>
        <w:spacing w:line="360" w:lineRule="auto" w:after="0" w:before="0"/>
        <w:jc w:val="both"/>
      </w:pPr>
      <w:r>
        <w:rPr>
          <w:rFonts w:ascii="Arial" w:hAnsi="Arial" w:cs="Arial"/>
          <w:b w:val="0"/>
          <w:i w:val="0"/>
          <w:color w:val="00B050"/>
          <w:sz w:val="27"/>
        </w:rPr>
        <w:t>1. Ação de indenização por danos materiais e morais proposta por pessoa natural contra SOCIÉTÉ AIR FRANCE, em razão de atraso em transporte aéreo internacional no trecho Tóquio/Japão-Paris/França-Roma/Itália, após pouso não programado no Alasca/Estados Unidos por emergência médica a bordo, com alegação de falha na prestação de assistência aos passageiros.</w:t>
      </w:r>
    </w:p>
    <w:p>
      <w:pPr>
        <w:spacing w:line="360" w:lineRule="auto" w:after="0" w:before="0"/>
        <w:jc w:val="both"/>
      </w:pPr>
      <w:r>
        <w:rPr>
          <w:rFonts w:ascii="Arial" w:hAnsi="Arial" w:cs="Arial"/>
          <w:b w:val="0"/>
          <w:i w:val="0"/>
          <w:color w:val="00B050"/>
          <w:sz w:val="27"/>
        </w:rPr>
        <w:t>2. A sentença julgou parcialmente procedentes os pedidos para condenar a ré ao pagamento de R$ 5.000,00 a título de danos morais e rejeitar a pretensão de ressarcimento dos danos materiais. Diante da sucumbência recíproca, fixou custas e honorários advocatícios, arbitrados em 20% sobre o valor da condenação, em rateio proporcional entre as partes.</w:t>
      </w:r>
    </w:p>
    <w:p>
      <w:pPr>
        <w:spacing w:line="360" w:lineRule="auto" w:after="0" w:before="0"/>
        <w:jc w:val="both"/>
      </w:pPr>
      <w:r>
        <w:rPr>
          <w:rFonts w:ascii="Arial" w:hAnsi="Arial" w:cs="Arial"/>
          <w:b w:val="0"/>
          <w:i w:val="0"/>
          <w:color w:val="00B050"/>
          <w:sz w:val="27"/>
        </w:rPr>
        <w:t>3. O autor apelou pleiteando o reconhecimento dos danos materiais no valor de R$ 12.578,03, relativos a despesas com hospedagem, alimentação, transporte, vestuário e perda de diárias, bem como a majoração da indenização por danos morais, em razão do atraso de quase dois dias na chegada ao destino final e da impossibilidade de comparecer ao casamento que motivou a viagem.</w:t>
      </w:r>
    </w:p>
    <w:p>
      <w:pPr>
        <w:spacing w:line="360" w:lineRule="auto" w:after="0" w:before="0"/>
        <w:jc w:val="both"/>
      </w:pPr>
      <w:r>
        <w:rPr>
          <w:rFonts w:ascii="Arial" w:hAnsi="Arial" w:cs="Arial"/>
          <w:b w:val="0"/>
          <w:i w:val="0"/>
          <w:color w:val="00B050"/>
          <w:sz w:val="27"/>
        </w:rPr>
        <w:t>II. Questão em discussão</w:t>
      </w:r>
    </w:p>
    <w:p>
      <w:pPr>
        <w:spacing w:line="360" w:lineRule="auto" w:after="0" w:before="0"/>
        <w:jc w:val="both"/>
      </w:pPr>
      <w:r>
        <w:rPr>
          <w:rFonts w:ascii="Arial" w:hAnsi="Arial" w:cs="Arial"/>
          <w:b w:val="0"/>
          <w:i w:val="0"/>
          <w:color w:val="00B050"/>
          <w:sz w:val="27"/>
        </w:rPr>
        <w:t>4. Há duas questões em discussão: (i) saber se a ausência de tradução juramentada dos documentos em língua estrangeira impede o reconhecimento dos danos materiais decorrentes do atraso em transporte aéreo internacional; e (ii) saber se a indenização por danos morais fixada em R$ 5.000,00 comporta majoração diante do atraso prolongado, da assistência insuficiente e da perda de evento social relevante.</w:t>
      </w:r>
    </w:p>
    <w:p>
      <w:pPr>
        <w:spacing w:line="360" w:lineRule="auto" w:after="0" w:before="0"/>
        <w:jc w:val="both"/>
      </w:pPr>
      <w:r>
        <w:rPr>
          <w:rFonts w:ascii="Arial" w:hAnsi="Arial" w:cs="Arial"/>
          <w:b w:val="0"/>
          <w:i w:val="0"/>
          <w:color w:val="00B050"/>
          <w:sz w:val="27"/>
        </w:rPr>
        <w:t>III. Razões de decidir</w:t>
      </w:r>
    </w:p>
    <w:p>
      <w:pPr>
        <w:spacing w:line="360" w:lineRule="auto" w:after="0" w:before="0"/>
        <w:jc w:val="both"/>
      </w:pPr>
      <w:r>
        <w:rPr>
          <w:rFonts w:ascii="Arial" w:hAnsi="Arial" w:cs="Arial"/>
          <w:b w:val="0"/>
          <w:i w:val="0"/>
          <w:color w:val="00B050"/>
          <w:sz w:val="27"/>
        </w:rPr>
        <w:t>5. A responsabilidade pelos danos materiais decorrentes de atraso em transporte aéreo internacional submete-se às Convenções de Varsóvia e Montreal, conforme o Tema 210 do STF. Embora a emergência médica justificasse o pouso não programado, a companhia aérea não comprovou adoção de medidas suficientes para prestar assistência adequada ao passageiro ou minimizar os prejuízos decorrentes do atraso, nos termos do art. 19 da Convenção de Montreal.</w:t>
      </w:r>
    </w:p>
    <w:p>
      <w:pPr>
        <w:spacing w:line="360" w:lineRule="auto" w:after="0" w:before="0"/>
        <w:jc w:val="both"/>
      </w:pPr>
      <w:r>
        <w:rPr>
          <w:rFonts w:ascii="Arial" w:hAnsi="Arial" w:cs="Arial"/>
          <w:b w:val="0"/>
          <w:i w:val="0"/>
          <w:color w:val="00B050"/>
          <w:sz w:val="27"/>
        </w:rPr>
        <w:t>6. A ausência de tradução juramentada não afasta, por si só, a eficácia probatória de documentos redigidos em língua estrangeira quando seu conteúdo apresenta compreensão simples, com identificação clara das datas, valores e natureza das despesas. A interpretação do art. 192 do CPC deve harmonizar-se com os princípios da instrumentalidade das formas, da cooperação processual e da primazia do julgamento de mérito.</w:t>
      </w:r>
    </w:p>
    <w:p>
      <w:pPr>
        <w:spacing w:line="360" w:lineRule="auto" w:after="0" w:before="0"/>
        <w:jc w:val="both"/>
      </w:pPr>
      <w:r>
        <w:rPr>
          <w:rFonts w:ascii="Arial" w:hAnsi="Arial" w:cs="Arial"/>
          <w:b w:val="0"/>
          <w:i w:val="0"/>
          <w:color w:val="00B050"/>
          <w:sz w:val="27"/>
        </w:rPr>
        <w:t>7. Comprovadas as despesas diretamente relacionadas à falha do serviço, impõe-se o ressarcimento de R$ 8.405,03, correspondentes a R$ 6.518,04 de hospedagem, R$ 242,88 de transporte e R$ 1.644,11 de alimentação. Inviável o ressarcimento de R$ 4.173,00 referentes à aquisição de vestuário, pois o passageiro viajava com quatro malas de mão, não demonstrou necessidade emergencial compatível com o valor despendido em aproximadamente 24 horas e os bens adquiridos incorporaram-se ao seu patrimônio.</w:t>
      </w:r>
    </w:p>
    <w:p>
      <w:pPr>
        <w:spacing w:line="360" w:lineRule="auto" w:after="0" w:before="0"/>
        <w:jc w:val="both"/>
      </w:pPr>
      <w:r>
        <w:rPr>
          <w:rFonts w:ascii="Arial" w:hAnsi="Arial" w:cs="Arial"/>
          <w:b w:val="0"/>
          <w:i w:val="0"/>
          <w:color w:val="00B050"/>
          <w:sz w:val="27"/>
        </w:rPr>
        <w:t>8. O atraso de quase dois dias na chegada ao destino, a perda do casamento que motivou a viagem internacional, a frustração da utilização da hospedagem contratada e a assistência insuficiente prestada pela transportadora ultrapassam o mero dissabor cotidiano e configuram dano moral indenizável.</w:t>
      </w:r>
    </w:p>
    <w:p>
      <w:pPr>
        <w:spacing w:line="360" w:lineRule="auto" w:after="0" w:before="0"/>
        <w:jc w:val="both"/>
      </w:pPr>
      <w:r>
        <w:rPr>
          <w:rFonts w:ascii="Arial" w:hAnsi="Arial" w:cs="Arial"/>
          <w:b w:val="0"/>
          <w:i w:val="0"/>
          <w:color w:val="00B050"/>
          <w:sz w:val="27"/>
        </w:rPr>
        <w:t>9. As particularidades do caso justificam a majoração da indenização por danos morais de R$ 5.000,00 para R$ 8.000,00, valor compatível com a extensão do prejuízo experimentado, a capacidade econômica da companhia aérea e os princípios da razoabilidade e da proporcionalidade.</w:t>
      </w:r>
    </w:p>
    <w:p>
      <w:pPr>
        <w:spacing w:line="360" w:lineRule="auto" w:after="0" w:before="0"/>
        <w:jc w:val="both"/>
      </w:pPr>
      <w:r>
        <w:rPr>
          <w:rFonts w:ascii="Arial" w:hAnsi="Arial" w:cs="Arial"/>
          <w:b w:val="0"/>
          <w:i w:val="0"/>
          <w:color w:val="00B050"/>
          <w:sz w:val="27"/>
        </w:rPr>
        <w:t>IV. Dispositivo</w:t>
      </w:r>
    </w:p>
    <w:p>
      <w:pPr>
        <w:spacing w:line="360" w:lineRule="auto" w:after="0" w:before="0"/>
        <w:jc w:val="both"/>
      </w:pPr>
      <w:r>
        <w:rPr>
          <w:rFonts w:ascii="Arial" w:hAnsi="Arial" w:cs="Arial"/>
          <w:b w:val="0"/>
          <w:i w:val="0"/>
          <w:color w:val="00B050"/>
          <w:sz w:val="27"/>
        </w:rPr>
        <w:t>10. Deu-se parcial provimento ao apelo do autor para condenar a ré ao pagamento de R$ 8.405,03 a título de danos materiais, corrigidos monetariamente desde os respectivos desembolsos e acrescidos de juros de mora desde a citação, bem como para majorar a indenização por danos morais de R$ 5.000,00 para R$ 8.000,00, com correção monetária a partir do arbitramento e juros de mora desde a citação. Redistribuíram-se os ônus sucumbenciais, atribuindo-se à ré 2/3 e ao autor 1/3 das custas processuais e dos honorários advocatícios fixados em 20% sobre o valor da condenação.</w:t>
      </w:r>
    </w:p>
    <w:p>
      <w:pPr>
        <w:spacing w:line="360" w:lineRule="auto" w:after="0" w:before="0"/>
        <w:jc w:val="both"/>
      </w:pP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r>
    </w:p>
    <w:p>
      <w:pPr>
        <w:spacing w:line="360" w:lineRule="auto" w:after="0" w:before="0"/>
        <w:jc w:val="both"/>
      </w:pPr>
      <w:r>
        <w:rPr>
          <w:rFonts w:ascii="Arial" w:hAnsi="Arial" w:cs="Arial"/>
          <w:b w:val="0"/>
          <w:i/>
          <w:color w:val="00B050"/>
          <w:sz w:val="27"/>
        </w:rPr>
        <w:t>Dispositivos relevantes citados:</w:t>
      </w:r>
      <w:r>
        <w:rPr>
          <w:rFonts w:ascii="Arial" w:hAnsi="Arial" w:cs="Arial"/>
          <w:b w:val="0"/>
          <w:i w:val="0"/>
          <w:color w:val="00B050"/>
          <w:sz w:val="27"/>
        </w:rPr>
        <w:t xml:space="preserve"> CF/1988, art. 178; CPC, arts. 85, § 14, 192 e 487, I; CC, arts. 389, parágrafo único, 406; Resolução ANAC nº 400/2016, art. 27; Convenção de Montreal, art. 19.</w:t>
      </w:r>
    </w:p>
    <w:p>
      <w:pPr>
        <w:spacing w:line="360" w:lineRule="auto" w:after="0" w:before="0"/>
        <w:jc w:val="both"/>
      </w:pPr>
      <w:r>
        <w:rPr>
          <w:rFonts w:ascii="Arial" w:hAnsi="Arial" w:cs="Arial"/>
          <w:b w:val="0"/>
          <w:i/>
          <w:color w:val="00B050"/>
          <w:sz w:val="27"/>
        </w:rPr>
        <w:t>Jurisprudência relevante citada:</w:t>
      </w:r>
      <w:r>
        <w:rPr>
          <w:rFonts w:ascii="Arial" w:hAnsi="Arial" w:cs="Arial"/>
          <w:b w:val="0"/>
          <w:i w:val="0"/>
          <w:color w:val="00B050"/>
          <w:sz w:val="27"/>
        </w:rPr>
        <w:t xml:space="preserve"> STF, RE nº 636.331/RJ (Tema 210), Rel. Min. Gilmar Mendes, Tribunal Pleno, j. 25/05/2017; STJ, AgInt no AREsp nº 2.474.819/MG, Rel. Min. João Otávio de Noronha, Quarta Turma, j. 19/08/2024, DJe 22/08/2024.</w:t>
      </w:r>
    </w:p>
    <w:p>
      <w:pPr>
        <w:spacing w:line="360" w:lineRule="auto" w:after="0" w:before="0"/>
        <w:jc w:val="both"/>
      </w:pPr>
      <w:r>
        <w:rPr>
          <w:rFonts w:ascii="Arial" w:hAnsi="Arial" w:cs="Arial"/>
          <w:b/>
          <w:i w:val="0"/>
          <w:color w:val="00B050"/>
          <w:sz w:val="27"/>
        </w:rPr>
        <w:t>ACÓRDÃO</w:t>
      </w:r>
    </w:p>
    <w:p>
      <w:pPr>
        <w:spacing w:line="360" w:lineRule="auto" w:after="0" w:before="0"/>
        <w:jc w:val="both"/>
      </w:pPr>
      <w:r>
        <w:rPr>
          <w:rFonts w:ascii="Arial" w:hAnsi="Arial" w:cs="Arial"/>
          <w:b w:val="0"/>
          <w:i w:val="0"/>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DAR PARCIAL PROVIMENTO AO RECURSO. UNÂNIME, de acordo com a ata do julgamento e notas taquigráficas.</w:t>
      </w:r>
    </w:p>
    <w:p>
      <w:pPr>
        <w:spacing w:line="360" w:lineRule="auto" w:after="0" w:before="0"/>
        <w:jc w:val="both"/>
      </w:pPr>
      <w:r>
        <w:rPr>
          <w:rFonts w:ascii="Arial" w:hAnsi="Arial" w:cs="Arial"/>
          <w:b w:val="0"/>
          <w:i w:val="0"/>
          <w:color w:val="00B050"/>
          <w:sz w:val="27"/>
        </w:rPr>
        <w:t>Brasília (DF), 11 de setembro de 2026.</w:t>
      </w:r>
    </w:p>
    <w:p>
      <w:pPr>
        <w:spacing w:line="360" w:lineRule="auto" w:after="0" w:before="0"/>
        <w:jc w:val="both"/>
      </w:pPr>
      <w:r>
        <w:rPr>
          <w:rFonts w:ascii="Arial" w:hAnsi="Arial" w:cs="Arial"/>
          <w:b/>
          <w:i w:val="0"/>
          <w:color w:val="00B050"/>
          <w:sz w:val="27"/>
        </w:rPr>
        <w:t>VOTO (trecho sobre os danos morais e dispositivo)</w:t>
      </w:r>
    </w:p>
    <w:p>
      <w:pPr>
        <w:spacing w:line="360" w:lineRule="auto" w:after="0" w:before="0"/>
        <w:jc w:val="both"/>
      </w:pPr>
      <w:r>
        <w:rPr>
          <w:rFonts w:ascii="Arial" w:hAnsi="Arial" w:cs="Arial"/>
          <w:b w:val="0"/>
          <w:i w:val="0"/>
          <w:color w:val="00B050"/>
          <w:sz w:val="27"/>
        </w:rPr>
        <w:t>Quanto aos danos morais, o Tema 210 do STF expressamente afasta a incidência das limitações das Convenções de Varsóvia e Montreal às hipóteses de danos extrapatrimoniais.</w:t>
      </w:r>
    </w:p>
    <w:p>
      <w:pPr>
        <w:spacing w:line="360" w:lineRule="auto" w:after="0" w:before="0"/>
        <w:jc w:val="both"/>
      </w:pPr>
      <w:r>
        <w:rPr>
          <w:rFonts w:ascii="Arial" w:hAnsi="Arial" w:cs="Arial"/>
          <w:b w:val="0"/>
          <w:i w:val="0"/>
          <w:color w:val="00B050"/>
          <w:sz w:val="27"/>
        </w:rPr>
        <w:t>No ponto, aplica-se o regime de responsabilidade civil decorrente da falha na prestação do serviço, sendo relevante considerar que o autor chegou ao destino quase dois dias após o horário previsto, perdeu o casamento de amigo que motivou a viagem internacional e ainda deixou de usufruir hospedagem previamente contratada.</w:t>
      </w:r>
    </w:p>
    <w:p>
      <w:pPr>
        <w:spacing w:line="360" w:lineRule="auto" w:after="0" w:before="0"/>
        <w:jc w:val="both"/>
      </w:pPr>
      <w:r>
        <w:rPr>
          <w:rFonts w:ascii="Arial" w:hAnsi="Arial" w:cs="Arial"/>
          <w:b w:val="0"/>
          <w:i w:val="0"/>
          <w:color w:val="00B050"/>
          <w:sz w:val="27"/>
        </w:rPr>
        <w:t>Soma-se a isso a assistência insuficiente prestada pela companhia aérea durante o atraso, circunstâncias que ultrapassam o mero aborrecimento e configuram efetivo abalo extrapatrimonial.</w:t>
      </w:r>
    </w:p>
    <w:p>
      <w:pPr>
        <w:spacing w:line="360" w:lineRule="auto" w:after="0" w:before="0"/>
        <w:jc w:val="both"/>
      </w:pPr>
      <w:r>
        <w:rPr>
          <w:rFonts w:ascii="Arial" w:hAnsi="Arial" w:cs="Arial"/>
          <w:b w:val="0"/>
          <w:i w:val="0"/>
          <w:color w:val="00B050"/>
          <w:sz w:val="27"/>
        </w:rPr>
        <w:t>Assim, considerando a gravidade concreta do ocorrido, a frustração de evento social relevante e irrepetível, a extensão do atraso, a capacidade econômica da ré, empresa aérea de grande porte, e, ao mesmo tempo, a necessidade de evitar enriquecimento sem causa, mostra-se adequada a majoração da indenização por danos morais, fixados em R$ 5.000,00, para R$ 10.000,00, quantia compatível com os princípios da razoabilidade e da proporcionalidade.</w:t>
      </w:r>
    </w:p>
    <w:p>
      <w:pPr>
        <w:spacing w:line="360" w:lineRule="auto" w:after="0" w:before="0"/>
        <w:jc w:val="both"/>
      </w:pPr>
      <w:r>
        <w:rPr>
          <w:rFonts w:ascii="Arial" w:hAnsi="Arial" w:cs="Arial"/>
          <w:b/>
          <w:i w:val="0"/>
          <w:color w:val="00B050"/>
          <w:sz w:val="27"/>
        </w:rPr>
        <w:t>DISPOSITIVO</w:t>
      </w:r>
    </w:p>
    <w:p>
      <w:pPr>
        <w:spacing w:line="360" w:lineRule="auto" w:after="0" w:before="0"/>
        <w:jc w:val="both"/>
      </w:pPr>
      <w:r>
        <w:rPr>
          <w:rFonts w:ascii="Arial" w:hAnsi="Arial" w:cs="Arial"/>
          <w:b w:val="0"/>
          <w:i w:val="0"/>
          <w:color w:val="00B050"/>
          <w:sz w:val="27"/>
        </w:rPr>
        <w:t>Ante o exposto, reiteradas as vênias, dou parcial provimento ao apelo do autor, Leandro Ribeiro Vaz, para reformar a r. sentença para:</w:t>
      </w:r>
    </w:p>
    <w:p>
      <w:pPr>
        <w:spacing w:line="360" w:lineRule="auto" w:after="0" w:before="0"/>
        <w:jc w:val="both"/>
      </w:pPr>
      <w:r>
        <w:rPr>
          <w:rFonts w:ascii="Arial" w:hAnsi="Arial" w:cs="Arial"/>
          <w:b w:val="0"/>
          <w:i w:val="0"/>
          <w:color w:val="00B050"/>
          <w:sz w:val="27"/>
        </w:rPr>
        <w:t>1) condenar a ré, Societe Air France, ao pagamento de R$ 8.405,03 a título de danos materiais, correspondentes às despesas com hospedagem, alimentação e transporte, corrigidos monetariamente desde os respectivos desembolsos e acrescidos de juros de mora desde a citação;</w:t>
      </w:r>
    </w:p>
    <w:p>
      <w:pPr>
        <w:spacing w:line="360" w:lineRule="auto" w:after="0" w:before="0"/>
        <w:jc w:val="both"/>
      </w:pPr>
      <w:r>
        <w:rPr>
          <w:rFonts w:ascii="Arial" w:hAnsi="Arial" w:cs="Arial"/>
          <w:b w:val="0"/>
          <w:i w:val="0"/>
          <w:color w:val="00B050"/>
          <w:sz w:val="27"/>
        </w:rPr>
        <w:t>2) majorar a indenização por danos morais de R$ 5.000,00 para R$ 10.000,00, corrigida monetariamente a partir deste arbitramento e acrescida de juros de mora desde a citação.</w:t>
      </w:r>
    </w:p>
    <w:p>
      <w:pPr>
        <w:spacing w:line="360" w:lineRule="auto" w:after="0" w:before="0"/>
        <w:jc w:val="both"/>
      </w:pPr>
      <w:r>
        <w:rPr>
          <w:rFonts w:ascii="Arial" w:hAnsi="Arial" w:cs="Arial"/>
          <w:b w:val="0"/>
          <w:i w:val="0"/>
          <w:color w:val="00B050"/>
          <w:sz w:val="27"/>
        </w:rPr>
        <w:t>Ficam mantidos os demais termos da sentença, no que não conflitarem com este julgamento, devendo ser abatidos da condenação os valores eventualmente pagos ou depositados nos autos.</w:t>
      </w:r>
    </w:p>
    <w:p>
      <w:pPr>
        <w:spacing w:line="360" w:lineRule="auto" w:after="0" w:before="0"/>
        <w:jc w:val="both"/>
      </w:pPr>
      <w:r>
        <w:rPr>
          <w:rFonts w:ascii="Arial" w:hAnsi="Arial" w:cs="Arial"/>
          <w:b w:val="0"/>
          <w:i w:val="0"/>
          <w:color w:val="00B050"/>
          <w:sz w:val="27"/>
        </w:rPr>
        <w:t>Em razão da sucumbência recíproca não proporcional, redistribuo os ônus sucumbenciais fixados na r. sentença em 20% sobre o valor da condenação, atribuindo à ré 2/3 das custas processuais e dos honorários advocatícios devidos ao patrono do autor, e ao autor 1/3, observada a vedação à compensação, nos termos do art. 85, § 14, do CPC.</w:t>
      </w:r>
    </w:p>
    <w:p>
      <w:pPr>
        <w:spacing w:line="360" w:lineRule="auto" w:after="0" w:before="0"/>
        <w:jc w:val="both"/>
      </w:pPr>
      <w:r>
        <w:rPr>
          <w:rFonts w:ascii="Arial" w:hAnsi="Arial" w:cs="Arial"/>
          <w:b w:val="0"/>
          <w:i w:val="0"/>
          <w:color w:val="00B050"/>
          <w:sz w:val="27"/>
        </w:rPr>
        <w:t>É como voto.</w:t>
      </w:r>
    </w:p>
    <w:p>
      <w:pPr>
        <w:spacing w:line="360" w:lineRule="auto" w:after="0" w:before="0"/>
        <w:jc w:val="both"/>
      </w:pPr>
      <w:r>
        <w:rPr>
          <w:rFonts w:ascii="Arial" w:hAnsi="Arial" w:cs="Arial"/>
          <w:b w:val="0"/>
          <w:i w:val="0"/>
          <w:color w:val="00B050"/>
          <w:sz w:val="27"/>
        </w:rPr>
        <w:t>O Senhor Desembargador MARIO-ZAM BELMIRO - 1º Vogal: Com o(a) relator(a).</w:t>
      </w:r>
    </w:p>
    <w:p>
      <w:pPr>
        <w:spacing w:line="360" w:lineRule="auto" w:after="0" w:before="0"/>
        <w:jc w:val="both"/>
      </w:pPr>
      <w:r>
        <w:rPr>
          <w:rFonts w:ascii="Arial" w:hAnsi="Arial" w:cs="Arial"/>
          <w:b w:val="0"/>
          <w:i w:val="0"/>
          <w:color w:val="00B050"/>
          <w:sz w:val="27"/>
        </w:rPr>
        <w:t>O Senhor Desembargador ROBERVAL CASEMIRO BELINATI - 2º Vogal: Com o(a) relator(a).</w:t>
      </w:r>
    </w:p>
    <w:p>
      <w:pPr>
        <w:spacing w:line="360" w:lineRule="auto" w:after="0" w:before="0"/>
        <w:jc w:val="both"/>
      </w:pPr>
      <w:r>
        <w:rPr>
          <w:rFonts w:ascii="Arial" w:hAnsi="Arial" w:cs="Arial"/>
          <w:b/>
          <w:i w:val="0"/>
          <w:color w:val="00B050"/>
          <w:sz w:val="27"/>
        </w:rPr>
        <w:t>DECISÃO</w:t>
      </w:r>
    </w:p>
    <w:p>
      <w:pPr>
        <w:spacing w:line="360" w:lineRule="auto" w:after="0" w:before="0"/>
        <w:jc w:val="both"/>
      </w:pPr>
      <w:r>
        <w:rPr>
          <w:rFonts w:ascii="Arial" w:hAnsi="Arial" w:cs="Arial"/>
          <w:b w:val="0"/>
          <w:i w:val="0"/>
          <w:color w:val="00B050"/>
          <w:sz w:val="27"/>
        </w:rPr>
        <w:t>DAR PARCIAL PROVIMENTO AO RECURSO. UNÂNIME</w:t>
      </w:r>
    </w:p>
    <w:sectPr w:rsidRPr="002B4706" w:rsidR="002B4706">
      <w:footerReference w:type="default" r:id="rId15"/>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nuta GDSXSR" w:initials="MG" w:date="2026-10-30T16:42:59Z">
    <w:p>
      <w:pPr>
        <w:pStyle w:val="CommentText"/>
      </w:pPr>
      <w:r>
        <w:rPr>
          <w:rStyle w:val="CommentReference"/>
        </w:rPr>
        <w:annotationRef/>
      </w:r>
      <w:r>
        <w:t>MINUTA GDSXSR — Resultado adotado: a divergência entre a ementa/item 10 (R$ 8.000,00) e o voto/dispositivo (R$ 10.000,00) é resolvida pela correção da ementa, mantido o dispositivo. Fundamento: o voto (ID 87699315) justifica e repete R$ 10.000,00, e os vogais acompanharam o Relator (ID 89564061). Se o Relator tiver votado R$ 8.000,00 em sessão, o capítulo e o dispositivo se invertem (correção do dispositivo, com efeitos infringentes). Ata e notas taquigráficas não estão nos autos recebidos (C-24, C-52).</w:t>
      </w:r>
    </w:p>
  </w:comment>
  <w:comment w:id="1" w:author="Minuta GDSXSR" w:initials="MG" w:date="2026-10-30T16:42:59Z">
    <w:p>
      <w:pPr>
        <w:pStyle w:val="CommentText"/>
      </w:pPr>
      <w:r>
        <w:rPr>
          <w:rStyle w:val="CommentReference"/>
        </w:rPr>
        <w:annotationRef/>
      </w:r>
      <w:r>
        <w:t>MINUTA GDSXSR — Texto literal (C-63) — CPC, art. 1.022: “Art. 1.022. Cabem embargos de declaração contra qualquer decisão judicial para: (...) III - corrigir erro material.” (fonte: Planalto, Lei nº 13.105/2015, compilada; texto conferido no iajus em 30/10/2026)</w:t>
      </w:r>
    </w:p>
  </w:comment>
  <w:comment w:id="2" w:author="Minuta GDSXSR" w:initials="MG" w:date="2026-10-30T16:42:59Z">
    <w:p>
      <w:pPr>
        <w:pStyle w:val="CommentText"/>
      </w:pPr>
      <w:r>
        <w:rPr>
          <w:rStyle w:val="CommentReference"/>
        </w:rPr>
        <w:annotationRef/>
      </w:r>
      <w:r>
        <w:t>MINUTA GDSXSR — Jurisprudência: nenhum precedente entrou no voto. O iajus devolveu o EDcl no AgInt no RMS 76532 (Rel. Min. Sérgio Kukina, Primeira Turma, j. 15/12/2025), que corrige ementa divergente do voto condutor, mas sem UF e sem DJe; a conferência no SCON/STJ (3 tentativas somadas na web) não completou a identificação (C-72). Se Marcos quiser, basta completá-lo e inserir após o parágrafo da ementa.</w:t>
      </w:r>
    </w:p>
  </w:comment>
  <w:comment w:id="3" w:author="Minuta GDSXSR" w:initials="MG" w:date="2026-10-30T16:42:59Z">
    <w:p>
      <w:pPr>
        <w:pStyle w:val="CommentText"/>
      </w:pPr>
      <w:r>
        <w:rPr>
          <w:rStyle w:val="CommentReference"/>
        </w:rPr>
        <w:annotationRef/>
      </w:r>
      <w:r>
        <w:t>MINUTA GDSXSR — Contrarrazões lidas no OCR do ID 90808048 (pp. 1 a 4), peça em imagem; síntese conferida. Protocoladas em 09/10/2026, após o despacho do ID 90599917 (disponibilizado em 06/10/2026), que as determinou por possível efeito infringente (CPC 1.023 § 2º).</w:t>
      </w:r>
    </w:p>
  </w:comment>
  <w:comment w:id="4" w:author="Minuta GDSXSR" w:initials="MG" w:date="2026-10-30T16:42:59Z">
    <w:p>
      <w:pPr>
        <w:pStyle w:val="CommentText"/>
      </w:pPr>
      <w:r>
        <w:rPr>
          <w:rStyle w:val="CommentReference"/>
        </w:rPr>
        <w:annotationRef/>
      </w:r>
      <w:r>
        <w:t>MINUTA GDSXSR — Pendência (C-24, C-52): a ata e as notas taquigráficas citadas no acórdão não vieram nos autos recebidos; há só a certidão de julgamento (ID 89508578) e o acórdão (ID 89564061), com os vogais “Com o(a) relator(a)”. Confirmar no PJe se a sessão de 02 a 11/09/2026 proclamou R$ 10.000,00.</w:t>
      </w:r>
    </w:p>
  </w:comment>
  <w:comment w:id="5" w:author="Minuta GDSXSR" w:initials="MG" w:date="2026-10-30T16:42:59Z">
    <w:p>
      <w:pPr>
        <w:pStyle w:val="CommentText"/>
      </w:pPr>
      <w:r>
        <w:rPr>
          <w:rStyle w:val="CommentReference"/>
        </w:rPr>
        <w:annotationRef/>
      </w:r>
      <w:r>
        <w:t>MINUTA GDSXSR — Anexo parcial: ementa, súmula do acórdão e o trecho do voto sobre os danos morais e o dispositivo (ID 89564061). O relatório e os capítulos dos danos materiais ficaram de fora.</w:t>
      </w:r>
    </w:p>
  </w:comment>
</w:comments>
</file>

<file path=word/commentsExtended.xml><?xml version="1.0" encoding="utf-8"?>
<w15:commentsEx xmlns:mc="http://schemas.openxmlformats.org/markup-compatibility/2006" xmlns:w15="http://schemas.microsoft.com/office/word/2012/wordml" mc:Ignorable="w15">
  <w15:commentEx w15:done="0" w15:paraId="41E54A8F"/>
  <w15:commentEx w15:done="0" w15:paraId="7DE039A5"/>
  <w15:commentEx w15:done="0" w15:paraId="1B3D531B"/>
  <w15:commentEx w15:done="0" w15:paraId="13F3BAE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2A2832" w16cex:dateUtc="2026-07-21T20:28:34.106Z"/>
  <w16cex:commentExtensible w16cex:durableId="1E961CF9" w16cex:dateUtc="2026-04-13T15:03:00Z"/>
  <w16cex:commentExtensible w16cex:durableId="6F138435" w16cex:dateUtc="2026-05-11T21:53:42.13Z"/>
  <w16cex:commentExtensible w16cex:durableId="779D8E5D" w16cex:dateUtc="2026-07-21T20:31:13.107Z"/>
</w16cex:commentsExtensible>
</file>

<file path=word/commentsIds.xml><?xml version="1.0" encoding="utf-8"?>
<w16cid:commentsIds xmlns:mc="http://schemas.openxmlformats.org/markup-compatibility/2006" xmlns:w16cid="http://schemas.microsoft.com/office/word/2016/wordml/cid" mc:Ignorable="w16cid">
  <w16cid:commentId w16cid:paraId="7DE039A5" w16cid:durableId="1E961CF9"/>
  <w16cid:commentId w16cid:paraId="1B3D531B" w16cid:durableId="6F138435"/>
  <w16cid:commentId w16cid:paraId="41E54A8F" w16cid:durableId="342A2832"/>
  <w16cid:commentId w16cid:paraId="13F3BAE2" w16cid:durableId="779D8E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4E92" w:rsidP="003A42DE" w:rsidRDefault="008D4E92" w14:paraId="5292FC60" w14:textId="77777777">
      <w:pPr>
        <w:spacing w:after="0" w:line="240" w:lineRule="auto"/>
      </w:pPr>
      <w:r>
        <w:separator/>
      </w:r>
    </w:p>
  </w:endnote>
  <w:endnote w:type="continuationSeparator" w:id="0">
    <w:p w:rsidR="008D4E92" w:rsidP="003A42DE" w:rsidRDefault="008D4E92" w14:paraId="5C6BC6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Content>
      <w:p w:rsidR="003A42DE" w:rsidRDefault="003A42DE" w14:paraId="22725E9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18A3E27C"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4E92" w:rsidP="003A42DE" w:rsidRDefault="008D4E92" w14:paraId="7E582F9B" w14:textId="77777777">
      <w:pPr>
        <w:spacing w:after="0" w:line="240" w:lineRule="auto"/>
      </w:pPr>
      <w:r>
        <w:separator/>
      </w:r>
    </w:p>
  </w:footnote>
  <w:footnote w:type="continuationSeparator" w:id="0">
    <w:p w:rsidR="008D4E92" w:rsidP="003A42DE" w:rsidRDefault="008D4E92" w14:paraId="3476E78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0"/>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738F"/>
    <w:rsid w:val="00033AFD"/>
    <w:rsid w:val="000340CD"/>
    <w:rsid w:val="00052AE3"/>
    <w:rsid w:val="000619E0"/>
    <w:rsid w:val="00076D7D"/>
    <w:rsid w:val="000842C1"/>
    <w:rsid w:val="0008755F"/>
    <w:rsid w:val="0009174A"/>
    <w:rsid w:val="00091ABC"/>
    <w:rsid w:val="000B0FC6"/>
    <w:rsid w:val="000C33B7"/>
    <w:rsid w:val="000D2E62"/>
    <w:rsid w:val="000D59B2"/>
    <w:rsid w:val="000F1358"/>
    <w:rsid w:val="000F1817"/>
    <w:rsid w:val="001009CC"/>
    <w:rsid w:val="0011527A"/>
    <w:rsid w:val="00115458"/>
    <w:rsid w:val="00115569"/>
    <w:rsid w:val="00122133"/>
    <w:rsid w:val="0013776E"/>
    <w:rsid w:val="00151611"/>
    <w:rsid w:val="00161CD2"/>
    <w:rsid w:val="0017011F"/>
    <w:rsid w:val="001801E9"/>
    <w:rsid w:val="00183B77"/>
    <w:rsid w:val="001A09B8"/>
    <w:rsid w:val="001C466B"/>
    <w:rsid w:val="001D2162"/>
    <w:rsid w:val="001E4974"/>
    <w:rsid w:val="001E7903"/>
    <w:rsid w:val="00206304"/>
    <w:rsid w:val="002126F1"/>
    <w:rsid w:val="0021526A"/>
    <w:rsid w:val="00232EEB"/>
    <w:rsid w:val="00254E51"/>
    <w:rsid w:val="00264107"/>
    <w:rsid w:val="0028319F"/>
    <w:rsid w:val="00292E82"/>
    <w:rsid w:val="00296DAE"/>
    <w:rsid w:val="002A0AC0"/>
    <w:rsid w:val="002A3D11"/>
    <w:rsid w:val="002A5205"/>
    <w:rsid w:val="002B210E"/>
    <w:rsid w:val="002B4706"/>
    <w:rsid w:val="002C2464"/>
    <w:rsid w:val="002C42D2"/>
    <w:rsid w:val="002D3FF3"/>
    <w:rsid w:val="00303FAE"/>
    <w:rsid w:val="0031063D"/>
    <w:rsid w:val="00312291"/>
    <w:rsid w:val="00316B1F"/>
    <w:rsid w:val="00321068"/>
    <w:rsid w:val="00323779"/>
    <w:rsid w:val="00323D27"/>
    <w:rsid w:val="0034511C"/>
    <w:rsid w:val="003462F3"/>
    <w:rsid w:val="00347980"/>
    <w:rsid w:val="00351653"/>
    <w:rsid w:val="00352D66"/>
    <w:rsid w:val="00354AA2"/>
    <w:rsid w:val="003717FC"/>
    <w:rsid w:val="00372AED"/>
    <w:rsid w:val="003733EA"/>
    <w:rsid w:val="003749AB"/>
    <w:rsid w:val="00380993"/>
    <w:rsid w:val="00393D29"/>
    <w:rsid w:val="003A42DE"/>
    <w:rsid w:val="003A4E55"/>
    <w:rsid w:val="003B3398"/>
    <w:rsid w:val="003D11BE"/>
    <w:rsid w:val="003D3FEE"/>
    <w:rsid w:val="00423538"/>
    <w:rsid w:val="00445ED9"/>
    <w:rsid w:val="0044724C"/>
    <w:rsid w:val="00451A6D"/>
    <w:rsid w:val="0045675A"/>
    <w:rsid w:val="00463DCB"/>
    <w:rsid w:val="0047216B"/>
    <w:rsid w:val="00475B6E"/>
    <w:rsid w:val="004762F1"/>
    <w:rsid w:val="004764BC"/>
    <w:rsid w:val="00476A62"/>
    <w:rsid w:val="00485185"/>
    <w:rsid w:val="004947FB"/>
    <w:rsid w:val="00496EB5"/>
    <w:rsid w:val="004B2A9C"/>
    <w:rsid w:val="004C7418"/>
    <w:rsid w:val="00506D76"/>
    <w:rsid w:val="00517F10"/>
    <w:rsid w:val="00530C7C"/>
    <w:rsid w:val="00560427"/>
    <w:rsid w:val="00573C5D"/>
    <w:rsid w:val="00576A45"/>
    <w:rsid w:val="0057726B"/>
    <w:rsid w:val="00586EB6"/>
    <w:rsid w:val="005925FC"/>
    <w:rsid w:val="0059689A"/>
    <w:rsid w:val="00597864"/>
    <w:rsid w:val="005A1AD9"/>
    <w:rsid w:val="005B7851"/>
    <w:rsid w:val="005C31C4"/>
    <w:rsid w:val="005D4699"/>
    <w:rsid w:val="005E3F4E"/>
    <w:rsid w:val="005F79F3"/>
    <w:rsid w:val="00601B09"/>
    <w:rsid w:val="0060333D"/>
    <w:rsid w:val="00611216"/>
    <w:rsid w:val="00613AA3"/>
    <w:rsid w:val="00615051"/>
    <w:rsid w:val="0062722D"/>
    <w:rsid w:val="00633703"/>
    <w:rsid w:val="00641BB6"/>
    <w:rsid w:val="00661CF3"/>
    <w:rsid w:val="006658A2"/>
    <w:rsid w:val="00686FA4"/>
    <w:rsid w:val="006921E1"/>
    <w:rsid w:val="006B2A89"/>
    <w:rsid w:val="006B555B"/>
    <w:rsid w:val="006C6E29"/>
    <w:rsid w:val="006D3824"/>
    <w:rsid w:val="006F475A"/>
    <w:rsid w:val="00711FE9"/>
    <w:rsid w:val="0072020D"/>
    <w:rsid w:val="00721473"/>
    <w:rsid w:val="00730800"/>
    <w:rsid w:val="00731ADF"/>
    <w:rsid w:val="00744BDF"/>
    <w:rsid w:val="00765709"/>
    <w:rsid w:val="00770E7F"/>
    <w:rsid w:val="0077693D"/>
    <w:rsid w:val="0077719E"/>
    <w:rsid w:val="00782446"/>
    <w:rsid w:val="00791D48"/>
    <w:rsid w:val="00797934"/>
    <w:rsid w:val="007A3F4D"/>
    <w:rsid w:val="007B265E"/>
    <w:rsid w:val="007B5286"/>
    <w:rsid w:val="007C0FEF"/>
    <w:rsid w:val="007C196D"/>
    <w:rsid w:val="007C4990"/>
    <w:rsid w:val="007D00F1"/>
    <w:rsid w:val="007D27C7"/>
    <w:rsid w:val="007D3BA7"/>
    <w:rsid w:val="007D4432"/>
    <w:rsid w:val="007D4851"/>
    <w:rsid w:val="007E3BF9"/>
    <w:rsid w:val="007F0F43"/>
    <w:rsid w:val="00800051"/>
    <w:rsid w:val="00804386"/>
    <w:rsid w:val="008151BB"/>
    <w:rsid w:val="00825BFF"/>
    <w:rsid w:val="0085425F"/>
    <w:rsid w:val="00855852"/>
    <w:rsid w:val="0086390F"/>
    <w:rsid w:val="00873BC7"/>
    <w:rsid w:val="00877CCC"/>
    <w:rsid w:val="00877F2B"/>
    <w:rsid w:val="008966E3"/>
    <w:rsid w:val="008A01E9"/>
    <w:rsid w:val="008A49BC"/>
    <w:rsid w:val="008A56A3"/>
    <w:rsid w:val="008A5F68"/>
    <w:rsid w:val="008A7293"/>
    <w:rsid w:val="008C306F"/>
    <w:rsid w:val="008C34E5"/>
    <w:rsid w:val="008C641E"/>
    <w:rsid w:val="008D0C9F"/>
    <w:rsid w:val="008D1E2E"/>
    <w:rsid w:val="008D4E92"/>
    <w:rsid w:val="008D721A"/>
    <w:rsid w:val="008E39A8"/>
    <w:rsid w:val="008F4440"/>
    <w:rsid w:val="0092538F"/>
    <w:rsid w:val="009300C5"/>
    <w:rsid w:val="00933600"/>
    <w:rsid w:val="0093727A"/>
    <w:rsid w:val="00945DCA"/>
    <w:rsid w:val="00951CAD"/>
    <w:rsid w:val="00966A46"/>
    <w:rsid w:val="00972EF3"/>
    <w:rsid w:val="009A136D"/>
    <w:rsid w:val="009C4045"/>
    <w:rsid w:val="009D0BA0"/>
    <w:rsid w:val="009D1137"/>
    <w:rsid w:val="009E1D8D"/>
    <w:rsid w:val="009E3BE9"/>
    <w:rsid w:val="009F759D"/>
    <w:rsid w:val="00A03057"/>
    <w:rsid w:val="00A31C13"/>
    <w:rsid w:val="00A330C4"/>
    <w:rsid w:val="00A3595E"/>
    <w:rsid w:val="00A6481B"/>
    <w:rsid w:val="00A773CE"/>
    <w:rsid w:val="00A80091"/>
    <w:rsid w:val="00A87227"/>
    <w:rsid w:val="00A96CB3"/>
    <w:rsid w:val="00AA7E81"/>
    <w:rsid w:val="00AB1DE4"/>
    <w:rsid w:val="00B01AA8"/>
    <w:rsid w:val="00B04942"/>
    <w:rsid w:val="00B17310"/>
    <w:rsid w:val="00B26186"/>
    <w:rsid w:val="00B41866"/>
    <w:rsid w:val="00B45DD6"/>
    <w:rsid w:val="00B5663B"/>
    <w:rsid w:val="00B606B1"/>
    <w:rsid w:val="00B7147F"/>
    <w:rsid w:val="00BA3360"/>
    <w:rsid w:val="00BB2608"/>
    <w:rsid w:val="00BB6749"/>
    <w:rsid w:val="00BE75D7"/>
    <w:rsid w:val="00BF173F"/>
    <w:rsid w:val="00BF4903"/>
    <w:rsid w:val="00C01659"/>
    <w:rsid w:val="00C11878"/>
    <w:rsid w:val="00C21B40"/>
    <w:rsid w:val="00C249B8"/>
    <w:rsid w:val="00C33B77"/>
    <w:rsid w:val="00C341CF"/>
    <w:rsid w:val="00C35DEF"/>
    <w:rsid w:val="00C40A19"/>
    <w:rsid w:val="00C4378B"/>
    <w:rsid w:val="00C53423"/>
    <w:rsid w:val="00C5417E"/>
    <w:rsid w:val="00C57E17"/>
    <w:rsid w:val="00C626EA"/>
    <w:rsid w:val="00C6664A"/>
    <w:rsid w:val="00C70614"/>
    <w:rsid w:val="00C94119"/>
    <w:rsid w:val="00CA324E"/>
    <w:rsid w:val="00CB4E4C"/>
    <w:rsid w:val="00CB7FF8"/>
    <w:rsid w:val="00CC7150"/>
    <w:rsid w:val="00CF247F"/>
    <w:rsid w:val="00D04BD8"/>
    <w:rsid w:val="00D07310"/>
    <w:rsid w:val="00D077F6"/>
    <w:rsid w:val="00D101EF"/>
    <w:rsid w:val="00D1067B"/>
    <w:rsid w:val="00D135AB"/>
    <w:rsid w:val="00D14D52"/>
    <w:rsid w:val="00D17E79"/>
    <w:rsid w:val="00D34492"/>
    <w:rsid w:val="00D4104B"/>
    <w:rsid w:val="00D419A3"/>
    <w:rsid w:val="00D42B4A"/>
    <w:rsid w:val="00D7642B"/>
    <w:rsid w:val="00D80EBC"/>
    <w:rsid w:val="00D85E07"/>
    <w:rsid w:val="00DB1301"/>
    <w:rsid w:val="00DB342D"/>
    <w:rsid w:val="00DC524B"/>
    <w:rsid w:val="00DC71DB"/>
    <w:rsid w:val="00DF0654"/>
    <w:rsid w:val="00DF2670"/>
    <w:rsid w:val="00DF2730"/>
    <w:rsid w:val="00E211F5"/>
    <w:rsid w:val="00E26735"/>
    <w:rsid w:val="00E437CF"/>
    <w:rsid w:val="00E53CAF"/>
    <w:rsid w:val="00E647A0"/>
    <w:rsid w:val="00E718BA"/>
    <w:rsid w:val="00E91CD1"/>
    <w:rsid w:val="00E963CE"/>
    <w:rsid w:val="00E96D12"/>
    <w:rsid w:val="00E97CB9"/>
    <w:rsid w:val="00EB3F6A"/>
    <w:rsid w:val="00EC5732"/>
    <w:rsid w:val="00ED0A9E"/>
    <w:rsid w:val="00ED5E8E"/>
    <w:rsid w:val="00EE027D"/>
    <w:rsid w:val="00EE5BE0"/>
    <w:rsid w:val="00EE5DD5"/>
    <w:rsid w:val="00EF2715"/>
    <w:rsid w:val="00F041BA"/>
    <w:rsid w:val="00F10D23"/>
    <w:rsid w:val="00F12768"/>
    <w:rsid w:val="00F143F5"/>
    <w:rsid w:val="00F1627D"/>
    <w:rsid w:val="00F20A80"/>
    <w:rsid w:val="00F3251E"/>
    <w:rsid w:val="00F34A9C"/>
    <w:rsid w:val="00F42F7B"/>
    <w:rsid w:val="00F51F47"/>
    <w:rsid w:val="00F547F1"/>
    <w:rsid w:val="00F55C45"/>
    <w:rsid w:val="00F657B6"/>
    <w:rsid w:val="00F66640"/>
    <w:rsid w:val="00F87022"/>
    <w:rsid w:val="00F90DC1"/>
    <w:rsid w:val="00F91FE8"/>
    <w:rsid w:val="00FB3186"/>
    <w:rsid w:val="00FC0273"/>
    <w:rsid w:val="00FC0C0F"/>
    <w:rsid w:val="00FC613E"/>
    <w:rsid w:val="00FD5831"/>
    <w:rsid w:val="00FF5783"/>
    <w:rsid w:val="0100D07F"/>
    <w:rsid w:val="012B7E23"/>
    <w:rsid w:val="01427B94"/>
    <w:rsid w:val="026E497E"/>
    <w:rsid w:val="02A71F51"/>
    <w:rsid w:val="0406F2B1"/>
    <w:rsid w:val="04EB9BAA"/>
    <w:rsid w:val="05C072E5"/>
    <w:rsid w:val="061EE5CE"/>
    <w:rsid w:val="063EE1C3"/>
    <w:rsid w:val="06451214"/>
    <w:rsid w:val="066636ED"/>
    <w:rsid w:val="0741BAA1"/>
    <w:rsid w:val="07BAB62F"/>
    <w:rsid w:val="08624999"/>
    <w:rsid w:val="08BDBA2B"/>
    <w:rsid w:val="09AF7D3E"/>
    <w:rsid w:val="0A795B63"/>
    <w:rsid w:val="0D003B5C"/>
    <w:rsid w:val="0DE9B17F"/>
    <w:rsid w:val="0F0DF649"/>
    <w:rsid w:val="0F16BAD4"/>
    <w:rsid w:val="0F49A558"/>
    <w:rsid w:val="0F4CCC86"/>
    <w:rsid w:val="0FDC5A81"/>
    <w:rsid w:val="10E575B9"/>
    <w:rsid w:val="10E89CE7"/>
    <w:rsid w:val="1281461A"/>
    <w:rsid w:val="14E50BFD"/>
    <w:rsid w:val="15075F5D"/>
    <w:rsid w:val="1522464B"/>
    <w:rsid w:val="1522DC33"/>
    <w:rsid w:val="159010E4"/>
    <w:rsid w:val="15EBCEE6"/>
    <w:rsid w:val="161D075D"/>
    <w:rsid w:val="16AFD0FD"/>
    <w:rsid w:val="1754F7B4"/>
    <w:rsid w:val="18BBA766"/>
    <w:rsid w:val="18F92628"/>
    <w:rsid w:val="194071AB"/>
    <w:rsid w:val="1A3ABA4C"/>
    <w:rsid w:val="1B897297"/>
    <w:rsid w:val="1DE275A0"/>
    <w:rsid w:val="1FAFCC66"/>
    <w:rsid w:val="20C28624"/>
    <w:rsid w:val="22242253"/>
    <w:rsid w:val="2259356D"/>
    <w:rsid w:val="232923D0"/>
    <w:rsid w:val="23A74E63"/>
    <w:rsid w:val="248F4127"/>
    <w:rsid w:val="249657A5"/>
    <w:rsid w:val="249E222A"/>
    <w:rsid w:val="26A9A53C"/>
    <w:rsid w:val="27623DE6"/>
    <w:rsid w:val="27A692C6"/>
    <w:rsid w:val="294BC7F0"/>
    <w:rsid w:val="29FC1AE8"/>
    <w:rsid w:val="2AE1B6B7"/>
    <w:rsid w:val="2AE79E71"/>
    <w:rsid w:val="2AF5D78B"/>
    <w:rsid w:val="2BDF0338"/>
    <w:rsid w:val="2D65BB77"/>
    <w:rsid w:val="2DD61D48"/>
    <w:rsid w:val="2F1C19A9"/>
    <w:rsid w:val="30508782"/>
    <w:rsid w:val="30587508"/>
    <w:rsid w:val="316CEE29"/>
    <w:rsid w:val="31EC57E3"/>
    <w:rsid w:val="326E1F5B"/>
    <w:rsid w:val="348DB4EB"/>
    <w:rsid w:val="3601BA69"/>
    <w:rsid w:val="367267F9"/>
    <w:rsid w:val="36CA94C4"/>
    <w:rsid w:val="370C73D9"/>
    <w:rsid w:val="37408DCC"/>
    <w:rsid w:val="38EEAB87"/>
    <w:rsid w:val="39AE4A8D"/>
    <w:rsid w:val="39FF574E"/>
    <w:rsid w:val="3AD2045E"/>
    <w:rsid w:val="3BB47562"/>
    <w:rsid w:val="3C5D9607"/>
    <w:rsid w:val="3C93E61D"/>
    <w:rsid w:val="3D1A2DB7"/>
    <w:rsid w:val="3F5EF33A"/>
    <w:rsid w:val="3FBD6A61"/>
    <w:rsid w:val="3FD06354"/>
    <w:rsid w:val="3FF413CA"/>
    <w:rsid w:val="3FFE3DCC"/>
    <w:rsid w:val="41E1021E"/>
    <w:rsid w:val="420D9061"/>
    <w:rsid w:val="4228454C"/>
    <w:rsid w:val="42F63EA0"/>
    <w:rsid w:val="4380C41B"/>
    <w:rsid w:val="43A63994"/>
    <w:rsid w:val="43A67A0B"/>
    <w:rsid w:val="44688134"/>
    <w:rsid w:val="45D7D81A"/>
    <w:rsid w:val="45EE95F0"/>
    <w:rsid w:val="45F76A41"/>
    <w:rsid w:val="4614B705"/>
    <w:rsid w:val="463AD933"/>
    <w:rsid w:val="46C7D927"/>
    <w:rsid w:val="46DE1ACD"/>
    <w:rsid w:val="4962903A"/>
    <w:rsid w:val="49AAD572"/>
    <w:rsid w:val="49EEDE05"/>
    <w:rsid w:val="4AF457DF"/>
    <w:rsid w:val="4B409B22"/>
    <w:rsid w:val="4BB2DCBE"/>
    <w:rsid w:val="4BC21FB2"/>
    <w:rsid w:val="4D3433F4"/>
    <w:rsid w:val="4D45AE2A"/>
    <w:rsid w:val="4E301FE3"/>
    <w:rsid w:val="4E8BFA29"/>
    <w:rsid w:val="4EB5970F"/>
    <w:rsid w:val="4F19CB2D"/>
    <w:rsid w:val="4FB28328"/>
    <w:rsid w:val="50F7DE2D"/>
    <w:rsid w:val="515F5732"/>
    <w:rsid w:val="51CB97D5"/>
    <w:rsid w:val="5212BFAD"/>
    <w:rsid w:val="52A86183"/>
    <w:rsid w:val="52BB2FBF"/>
    <w:rsid w:val="52E52664"/>
    <w:rsid w:val="53A37578"/>
    <w:rsid w:val="54AAEF1D"/>
    <w:rsid w:val="54F9F8CE"/>
    <w:rsid w:val="569FF477"/>
    <w:rsid w:val="57608C97"/>
    <w:rsid w:val="5774762B"/>
    <w:rsid w:val="58BC1B45"/>
    <w:rsid w:val="58D74B0D"/>
    <w:rsid w:val="58F5228C"/>
    <w:rsid w:val="595140BA"/>
    <w:rsid w:val="5ADB7790"/>
    <w:rsid w:val="5B188E3D"/>
    <w:rsid w:val="5D37D7FE"/>
    <w:rsid w:val="5D93D838"/>
    <w:rsid w:val="5DC7BB1E"/>
    <w:rsid w:val="5E27D90B"/>
    <w:rsid w:val="5E6879DC"/>
    <w:rsid w:val="5F1409FE"/>
    <w:rsid w:val="60006236"/>
    <w:rsid w:val="606F78C0"/>
    <w:rsid w:val="60D920B7"/>
    <w:rsid w:val="60DF5AE8"/>
    <w:rsid w:val="61757AFC"/>
    <w:rsid w:val="620B4921"/>
    <w:rsid w:val="62AAAE4B"/>
    <w:rsid w:val="62E05403"/>
    <w:rsid w:val="63342658"/>
    <w:rsid w:val="63C11CD1"/>
    <w:rsid w:val="63C2EF9E"/>
    <w:rsid w:val="643043B2"/>
    <w:rsid w:val="6465318A"/>
    <w:rsid w:val="64971A8F"/>
    <w:rsid w:val="64BEBE7C"/>
    <w:rsid w:val="6542E9E3"/>
    <w:rsid w:val="65C26DF6"/>
    <w:rsid w:val="666768FE"/>
    <w:rsid w:val="675A84C2"/>
    <w:rsid w:val="67CD610C"/>
    <w:rsid w:val="6A1CED46"/>
    <w:rsid w:val="6BB8BDA7"/>
    <w:rsid w:val="6BC51F58"/>
    <w:rsid w:val="6CAA19FA"/>
    <w:rsid w:val="6CABDDED"/>
    <w:rsid w:val="6D09AFC2"/>
    <w:rsid w:val="6D53E1DA"/>
    <w:rsid w:val="6E776DB3"/>
    <w:rsid w:val="6ED44885"/>
    <w:rsid w:val="6EE9C512"/>
    <w:rsid w:val="6F443EC0"/>
    <w:rsid w:val="6FABE9FB"/>
    <w:rsid w:val="6FB44F01"/>
    <w:rsid w:val="712DA350"/>
    <w:rsid w:val="71983C17"/>
    <w:rsid w:val="7306BEE6"/>
    <w:rsid w:val="734735EF"/>
    <w:rsid w:val="74B9330C"/>
    <w:rsid w:val="7557E461"/>
    <w:rsid w:val="756F79F5"/>
    <w:rsid w:val="772D2BEE"/>
    <w:rsid w:val="77322A95"/>
    <w:rsid w:val="7789B4DF"/>
    <w:rsid w:val="787C9FAD"/>
    <w:rsid w:val="790A2D0D"/>
    <w:rsid w:val="7A099305"/>
    <w:rsid w:val="7BD36FA0"/>
    <w:rsid w:val="7C0D5C19"/>
    <w:rsid w:val="7E272F86"/>
    <w:rsid w:val="7E65F309"/>
    <w:rsid w:val="7EBEF5B8"/>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C3FE"/>
  <w15:chartTrackingRefBased/>
  <w15:docId w15:val="{12C2A190-C89D-47AC-B827-7986B6FC78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PargrafodaLista">
    <w:name w:val="List Paragraph"/>
    <w:basedOn w:val="Normal"/>
    <w:uiPriority w:val="34"/>
    <w:rsid w:val="002B47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xmlns:wp14="http://schemas.microsoft.com/office/word/2010/wordml" w:rsidR="00B322EC" w:rsidP="00730800" w:rsidRDefault="00730800" w14:paraId="21A1D5B3" wp14:textId="77777777">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xmlns:wp14="http://schemas.microsoft.com/office/word/2010/wordml" w:rsidR="00B322EC" w:rsidP="00730800" w:rsidRDefault="00730800" w14:paraId="214B1BDF" wp14:textId="77777777">
          <w:pPr>
            <w:pStyle w:val="3FA3A92DAD524C3DB57C04BE729E38DD"/>
          </w:pPr>
          <w:r w:rsidRPr="00B84BB0">
            <w:rPr>
              <w:rStyle w:val="TextodoEspaoReservado"/>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xmlns:wp14="http://schemas.microsoft.com/office/word/2010/wordml" w:rsidR="00B322EC" w:rsidP="00730800" w:rsidRDefault="00730800" w14:paraId="664E49CC" wp14:textId="77777777">
          <w:pPr>
            <w:pStyle w:val="D299773260594DFB838BAFD35996AEEF"/>
          </w:pPr>
          <w:r>
            <w:rPr>
              <w:rFonts w:cs="Arial"/>
            </w:rPr>
            <w:t>Polo ativo</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xmlns:wp14="http://schemas.microsoft.com/office/word/2010/wordml" w:rsidR="00B322EC" w:rsidP="00730800" w:rsidRDefault="00730800" w14:paraId="7C0CDCDB" wp14:textId="77777777">
          <w:pPr>
            <w:pStyle w:val="7AA328237CE04ECF8850841618042D0C"/>
          </w:pPr>
          <w:r>
            <w:rPr>
              <w:rFonts w:cs="Arial"/>
            </w:rPr>
            <w:t>Polo passivo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340CD"/>
    <w:rsid w:val="000C6C88"/>
    <w:rsid w:val="000D01F2"/>
    <w:rsid w:val="00310218"/>
    <w:rsid w:val="00331A73"/>
    <w:rsid w:val="00377D33"/>
    <w:rsid w:val="0040087F"/>
    <w:rsid w:val="00686FA4"/>
    <w:rsid w:val="00730800"/>
    <w:rsid w:val="00731ADF"/>
    <w:rsid w:val="0077693D"/>
    <w:rsid w:val="00800358"/>
    <w:rsid w:val="00855852"/>
    <w:rsid w:val="009B5AA0"/>
    <w:rsid w:val="00AB7168"/>
    <w:rsid w:val="00B322EC"/>
    <w:rsid w:val="00B67045"/>
    <w:rsid w:val="00CC281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30800"/>
    <w:rPr>
      <w:color w:val="808080"/>
    </w:rPr>
  </w:style>
  <w:style w:type="paragraph" w:customStyle="1" w:styleId="A3B9A70FAF5543A087E733AB63B30A08">
    <w:name w:val="A3B9A70FAF5543A087E733AB63B30A08"/>
    <w:rsid w:val="00730800"/>
  </w:style>
  <w:style w:type="paragraph" w:customStyle="1" w:styleId="3FA3A92DAD524C3DB57C04BE729E38DD">
    <w:name w:val="3FA3A92DAD524C3DB57C04BE729E38DD"/>
    <w:rsid w:val="00730800"/>
  </w:style>
  <w:style w:type="paragraph" w:customStyle="1" w:styleId="D299773260594DFB838BAFD35996AEEF">
    <w:name w:val="D299773260594DFB838BAFD35996AEEF"/>
    <w:rsid w:val="00730800"/>
  </w:style>
  <w:style w:type="paragraph" w:customStyle="1" w:styleId="7AA328237CE04ECF8850841618042D0C">
    <w:name w:val="7AA328237CE04ECF8850841618042D0C"/>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57BA09A0-33E8-4579-89EA-871B8A518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Orana Oliveira Guerra - GDSXSR</lastModifiedBy>
  <revision>55</revision>
  <dcterms:created xsi:type="dcterms:W3CDTF">2025-11-04T15:57:00.0000000Z</dcterms:created>
  <dcterms:modified xsi:type="dcterms:W3CDTF">2026-09-21T20:27:41.7785856Z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