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44DF5" w14:textId="77777777" w:rsidR="00FE3F13" w:rsidRDefault="00FE3F13"/>
    <w:tbl>
      <w:tblPr>
        <w:tblW w:w="8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FE3F13" w14:paraId="45C44DFB" w14:textId="77777777">
        <w:tc>
          <w:tcPr>
            <w:tcW w:w="2822" w:type="dxa"/>
          </w:tcPr>
          <w:p w14:paraId="45C44DF6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5C44F05" wp14:editId="45C44F06">
                  <wp:extent cx="1647825" cy="504825"/>
                  <wp:effectExtent l="0" t="0" r="0" b="0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1" w:type="dxa"/>
          </w:tcPr>
          <w:p w14:paraId="45C44DF7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  <w:commentRangeStart w:id="0"/>
            <w:commentRangeStart w:id="1"/>
            <w:commentRangeStart w:id="2"/>
            <w:commentRangeEnd w:id="0"/>
            <w:r>
              <w:rPr>
                <w:rStyle w:val="Refdecomentrio"/>
                <w:sz w:val="24"/>
                <w:szCs w:val="24"/>
              </w:rPr>
              <w:commentReference w:id="0"/>
            </w:r>
            <w:commentRangeEnd w:id="1"/>
            <w:r w:rsidR="000A5502">
              <w:rPr>
                <w:rStyle w:val="Refdecomentrio"/>
                <w:sz w:val="24"/>
                <w:szCs w:val="24"/>
              </w:rPr>
              <w:commentReference w:id="1"/>
            </w:r>
            <w:commentRangeEnd w:id="2"/>
            <w:r w:rsidR="00795C11">
              <w:rPr>
                <w:rStyle w:val="Refdecomentrio"/>
                <w:rFonts w:ascii="Verdana" w:hAnsi="Verdana"/>
                <w:lang w:val="x-none" w:eastAsia="x-none"/>
              </w:rPr>
              <w:commentReference w:id="2"/>
            </w:r>
          </w:p>
          <w:p w14:paraId="45C44DF8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45C44DF9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45C44DFA" w14:textId="77777777" w:rsidR="00FE3F13" w:rsidRDefault="00EA68EF" w:rsidP="00C01F93">
            <w:pPr>
              <w:pStyle w:val="paragraph"/>
              <w:spacing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45C44DFC" w14:textId="77777777" w:rsidR="00FE3F13" w:rsidRDefault="00FE3F13" w:rsidP="00C01F93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3686"/>
        <w:gridCol w:w="446"/>
        <w:gridCol w:w="4591"/>
      </w:tblGrid>
      <w:tr w:rsidR="00FE3F13" w:rsidRPr="00C01F93" w14:paraId="45C44E00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DFD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6" w:type="dxa"/>
            <w:vAlign w:val="center"/>
          </w:tcPr>
          <w:p w14:paraId="45C44DFE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DFF" w14:textId="77777777" w:rsidR="00FE3F13" w:rsidRPr="00C01F93" w:rsidRDefault="00995DCC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76364197"/>
                <w:dropDownList>
                  <w:listItem w:displayText="Escolher um item."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FE3F13" w:rsidRPr="00C01F93" w14:paraId="45C44E04" w14:textId="77777777">
        <w:trPr>
          <w:cantSplit/>
          <w:trHeight w:val="570"/>
        </w:trPr>
        <w:tc>
          <w:tcPr>
            <w:tcW w:w="3686" w:type="dxa"/>
            <w:vAlign w:val="center"/>
          </w:tcPr>
          <w:p w14:paraId="45C44E01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6" w:type="dxa"/>
            <w:vAlign w:val="center"/>
          </w:tcPr>
          <w:p w14:paraId="45C44E0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3" w14:textId="77777777" w:rsidR="00FE3F13" w:rsidRPr="00C01F93" w:rsidRDefault="00995DCC">
            <w:pPr>
              <w:pStyle w:val="Citao"/>
              <w:ind w:left="0" w:firstLine="0"/>
              <w:jc w:val="both"/>
              <w:rPr>
                <w:rFonts w:cs="Arial"/>
                <w:i w:val="0"/>
                <w:iCs w:val="0"/>
                <w:sz w:val="28"/>
                <w:szCs w:val="28"/>
              </w:rPr>
            </w:pPr>
            <w:sdt>
              <w:sdtPr>
                <w:rPr>
                  <w:rFonts w:cs="Arial"/>
                  <w:i w:val="0"/>
                  <w:iCs w:val="0"/>
                  <w:sz w:val="28"/>
                  <w:szCs w:val="28"/>
                </w:rPr>
                <w:id w:val="-338152962"/>
                <w:dropDownList>
                  <w:listItem w:displayText="Escolher um item." w:value="Escolher um item."/>
                  <w:listItem w:displayText="Apelação Cível" w:value="Apelação Cível"/>
                  <w:listItem w:displayText="Agravo de Instrumento" w:value="Agravo de Instrumento"/>
                  <w:listItem w:displayText="Embargos de Declaração" w:value="Embargos de Declaração"/>
                  <w:listItem w:displayText="Agravo Interno" w:value="Agravo Interno"/>
                  <w:listItem w:displayText="Agravo de Instrumento e Agravo Interno" w:value="Agravo de Instrumento e Agravo Interno"/>
                  <w:listItem w:displayText="Apelação e Reexame Necessário" w:value="Apelação e Reexame Necessário"/>
                  <w:listItem w:displayText="Reexame Necessário" w:value="Reexame Necessário"/>
                  <w:listItem w:displayText="Mandado de Segurança" w:value="Mandado de Segurança"/>
                  <w:listItem w:displayText="Mandado de Injunção" w:value="Mandado de Injunção"/>
                  <w:listItem w:displayText="Ação Direta de Constitucionalidade" w:value="Ação Direta de Constitucionalidade"/>
                  <w:listItem w:displayText="Ação Declaratória de Constitucionalidade" w:value="Ação Declaratória de Constitucionalidade"/>
                  <w:listItem w:displayText="Ação Penal Originária" w:value="Ação Penal Originária"/>
                  <w:listItem w:displayText="Conflito de Competência" w:value="Conflito de Competência"/>
                  <w:listItem w:displayText="Ação Rescisória" w:value="Ação Rescisória"/>
                  <w:listItem w:displayText="Reclamação" w:value="Reclamação"/>
                  <w:listItem w:displayText="Petição" w:value="Petição"/>
                </w:dropDownList>
              </w:sdtPr>
              <w:sdtEndPr/>
              <w:sdtContent>
                <w:r w:rsidR="00EA68EF" w:rsidRPr="00C01F93"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sdtContent>
            </w:sdt>
          </w:p>
        </w:tc>
      </w:tr>
      <w:tr w:rsidR="00FE3F13" w:rsidRPr="00C01F93" w14:paraId="45C44E08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5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6" w:type="dxa"/>
            <w:vAlign w:val="center"/>
          </w:tcPr>
          <w:p w14:paraId="45C44E06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1" w:type="dxa"/>
            <w:vAlign w:val="center"/>
          </w:tcPr>
          <w:p w14:paraId="45C44E07" w14:textId="77777777" w:rsidR="00FE3F13" w:rsidRPr="00C01F93" w:rsidRDefault="00EA68E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0712275-68.2024.8.07.0020</w:t>
            </w:r>
          </w:p>
        </w:tc>
      </w:tr>
      <w:tr w:rsidR="00FE3F13" w:rsidRPr="00C01F93" w14:paraId="45C44E0D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9" w14:textId="77777777" w:rsidR="00FE3F13" w:rsidRPr="00C01F93" w:rsidRDefault="00995DCC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708153707"/>
                <w:dropDownList>
                  <w:listItem w:displayText="Escolher um item."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dropDownList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>Apelante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540505830"/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861899561"/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>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A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0B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EDNALVA RODRIGUES VIEIRA</w:t>
            </w:r>
          </w:p>
          <w:p w14:paraId="45C44E0C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GILSON JOSÉ VIEIRA E LUCIENE DA SILVA VIEIRA</w:t>
            </w:r>
          </w:p>
        </w:tc>
      </w:tr>
      <w:tr w:rsidR="00FE3F13" w:rsidRPr="00C01F93" w14:paraId="45C44E11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0E" w14:textId="77777777" w:rsidR="00FE3F13" w:rsidRPr="00C01F93" w:rsidRDefault="00995DCC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295043843"/>
                <w:dropDownList>
                  <w:listItem w:displayText="Escolher um item."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dropDownList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>Apelado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1844122938"/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 xml:space="preserve"> </w:t>
                </w:r>
              </w:sdtContent>
            </w:sdt>
            <w:sdt>
              <w:sdtPr>
                <w:rPr>
                  <w:rFonts w:ascii="Arial" w:hAnsi="Arial" w:cs="Arial"/>
                  <w:sz w:val="28"/>
                  <w:szCs w:val="28"/>
                </w:rPr>
                <w:id w:val="2089387350"/>
              </w:sdtPr>
              <w:sdtEndPr/>
              <w:sdtContent>
                <w:r w:rsidR="00EA68EF" w:rsidRPr="00C01F93">
                  <w:rPr>
                    <w:rFonts w:ascii="Arial" w:hAnsi="Arial" w:cs="Arial"/>
                    <w:sz w:val="28"/>
                    <w:szCs w:val="28"/>
                  </w:rPr>
                  <w:t>(a)(s)</w:t>
                </w:r>
              </w:sdtContent>
            </w:sdt>
          </w:p>
        </w:tc>
        <w:tc>
          <w:tcPr>
            <w:tcW w:w="446" w:type="dxa"/>
            <w:vAlign w:val="center"/>
          </w:tcPr>
          <w:p w14:paraId="45C44E0F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0" w14:textId="77777777" w:rsidR="00FE3F13" w:rsidRPr="00C01F93" w:rsidRDefault="00EA68E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BANCO DO BRASIL S/A</w:t>
            </w:r>
          </w:p>
        </w:tc>
      </w:tr>
      <w:tr w:rsidR="00FE3F13" w:rsidRPr="00C01F93" w14:paraId="45C44E15" w14:textId="77777777">
        <w:trPr>
          <w:cantSplit/>
          <w:trHeight w:val="397"/>
        </w:trPr>
        <w:tc>
          <w:tcPr>
            <w:tcW w:w="3686" w:type="dxa"/>
            <w:vAlign w:val="center"/>
          </w:tcPr>
          <w:p w14:paraId="45C44E12" w14:textId="77777777" w:rsidR="00FE3F13" w:rsidRPr="00C01F93" w:rsidRDefault="00EA68EF">
            <w:pPr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6" w:type="dxa"/>
            <w:vAlign w:val="center"/>
          </w:tcPr>
          <w:p w14:paraId="45C44E13" w14:textId="77777777" w:rsidR="00FE3F13" w:rsidRPr="00C01F93" w:rsidRDefault="00EA68E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C01F93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1" w:type="dxa"/>
            <w:vAlign w:val="center"/>
          </w:tcPr>
          <w:p w14:paraId="45C44E14" w14:textId="77777777" w:rsidR="00FE3F13" w:rsidRPr="00C01F93" w:rsidRDefault="00EA68E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C01F93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45C44E16" w14:textId="77777777" w:rsidR="00FE3F13" w:rsidRDefault="00FE3F1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5C44E18" w14:textId="144F0123" w:rsidR="00FE3F13" w:rsidRDefault="00EA68EF" w:rsidP="00795C11">
      <w:pPr>
        <w:spacing w:after="0" w:line="360" w:lineRule="auto"/>
        <w:rPr>
          <w:rFonts w:ascii="Arial" w:hAnsi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EMENTA</w:t>
      </w:r>
    </w:p>
    <w:p w14:paraId="45C44E19" w14:textId="13265F91" w:rsidR="00FE3F13" w:rsidRDefault="00EA68EF">
      <w:pPr>
        <w:pStyle w:val="Corpodetexto"/>
        <w:spacing w:after="0" w:line="360" w:lineRule="auto"/>
        <w:contextualSpacing/>
        <w:jc w:val="both"/>
      </w:pPr>
      <w:commentRangeStart w:id="3"/>
      <w:r>
        <w:rPr>
          <w:rFonts w:ascii="Arial" w:hAnsi="Arial"/>
          <w:sz w:val="28"/>
          <w:szCs w:val="28"/>
        </w:rPr>
        <w:t xml:space="preserve">APELAÇÃO CÍVEL. DIREITO PROCESSUAL CIVIL E DIREITO BANCÁRIO. AÇÃO MONITÓRIA. CÉDULA DE CRÉDITO BANCÁRIO DESTINADA A CUSTEIO AGROPECUÁRIO. CURADORIA ESPECIAL. IMPUGNAÇÃO GENÉRICA DO DÉBITO. DESNECESSIDADE DE PERÍCIA CONTÁBIL. </w:t>
      </w:r>
      <w:r w:rsidR="00593EF6">
        <w:rPr>
          <w:rFonts w:ascii="Arial" w:hAnsi="Arial"/>
          <w:sz w:val="28"/>
          <w:szCs w:val="28"/>
        </w:rPr>
        <w:t xml:space="preserve">GRATUIDADE DE JUSTIÇA. </w:t>
      </w:r>
      <w:r>
        <w:rPr>
          <w:rFonts w:ascii="Arial" w:hAnsi="Arial"/>
          <w:sz w:val="28"/>
          <w:szCs w:val="28"/>
        </w:rPr>
        <w:t>SUPERENDIVIDAMENTO. REPACTUAÇÃO DE DÍVIDAS. NÃO CABIMENTO. RECURSOS NÃO PROVIDOS.</w:t>
      </w:r>
      <w:commentRangeEnd w:id="3"/>
      <w:r>
        <w:commentReference w:id="3"/>
      </w:r>
    </w:p>
    <w:p w14:paraId="45C44E1A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I. Caso em exame</w:t>
      </w:r>
    </w:p>
    <w:p w14:paraId="45C44E1B" w14:textId="24A37697" w:rsidR="00FE3F13" w:rsidRDefault="00EA68EF">
      <w:pPr>
        <w:pStyle w:val="Corpodetexto"/>
        <w:spacing w:after="0" w:line="360" w:lineRule="auto"/>
        <w:contextualSpacing/>
        <w:jc w:val="both"/>
      </w:pPr>
      <w:commentRangeStart w:id="4"/>
      <w:r>
        <w:rPr>
          <w:rStyle w:val="nfaseforte"/>
          <w:rFonts w:ascii="Arial" w:hAnsi="Arial"/>
          <w:b w:val="0"/>
          <w:sz w:val="28"/>
          <w:szCs w:val="28"/>
        </w:rPr>
        <w:t xml:space="preserve">1. </w:t>
      </w:r>
      <w:r>
        <w:rPr>
          <w:rFonts w:ascii="Arial" w:hAnsi="Arial"/>
          <w:sz w:val="28"/>
          <w:szCs w:val="28"/>
        </w:rPr>
        <w:t xml:space="preserve">Ação monitória proposta por Banco do Brasil S.A. contra </w:t>
      </w:r>
      <w:r>
        <w:rPr>
          <w:rFonts w:ascii="Arial" w:hAnsi="Arial"/>
          <w:color w:val="808080"/>
          <w:sz w:val="28"/>
          <w:szCs w:val="28"/>
        </w:rPr>
        <w:t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emitente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e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os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avalistas de</w:t>
      </w:r>
      <w:r>
        <w:rPr>
          <w:rFonts w:ascii="Arial" w:hAnsi="Arial"/>
          <w:sz w:val="28"/>
          <w:szCs w:val="28"/>
        </w:rPr>
        <w:t xml:space="preserve"> cédula de crédito bancário destinada a custeio agropecuário </w:t>
      </w:r>
      <w:r>
        <w:rPr>
          <w:rFonts w:ascii="Arial" w:hAnsi="Arial"/>
          <w:color w:val="808080"/>
          <w:sz w:val="28"/>
          <w:szCs w:val="28"/>
        </w:rPr>
        <w:t>(</w:t>
      </w:r>
      <w:r>
        <w:rPr>
          <w:rFonts w:ascii="Arial" w:hAnsi="Arial"/>
          <w:sz w:val="28"/>
          <w:szCs w:val="28"/>
        </w:rPr>
        <w:t>R$ 593.350,76</w:t>
      </w:r>
      <w:r>
        <w:rPr>
          <w:rFonts w:ascii="Arial" w:hAnsi="Arial"/>
          <w:color w:val="808080"/>
          <w:sz w:val="28"/>
          <w:szCs w:val="28"/>
        </w:rPr>
        <w:t>)</w:t>
      </w:r>
      <w:r>
        <w:rPr>
          <w:rFonts w:ascii="Arial" w:hAnsi="Arial"/>
          <w:sz w:val="28"/>
          <w:szCs w:val="28"/>
        </w:rPr>
        <w:t>.</w:t>
      </w:r>
      <w:commentRangeEnd w:id="4"/>
      <w:r>
        <w:commentReference w:id="4"/>
      </w:r>
    </w:p>
    <w:p w14:paraId="45C44E1C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2. A sentença julgou procedente o pedido, converteu o mandado monitório em título executivo judicial e condenou os réus ao pagamento de R$ 593.350,76, </w:t>
      </w:r>
      <w:r>
        <w:rPr>
          <w:rFonts w:ascii="Arial" w:hAnsi="Arial"/>
          <w:color w:val="808080"/>
          <w:sz w:val="28"/>
          <w:szCs w:val="28"/>
        </w:rPr>
        <w:t>com</w:t>
      </w:r>
      <w:r>
        <w:rPr>
          <w:rFonts w:ascii="Arial" w:hAnsi="Arial"/>
          <w:sz w:val="28"/>
          <w:szCs w:val="28"/>
        </w:rPr>
        <w:t xml:space="preserve"> correção monetária pelo IPCA e juros de mora pela taxa Selic </w:t>
      </w:r>
      <w:r>
        <w:rPr>
          <w:rFonts w:ascii="Arial" w:hAnsi="Arial"/>
          <w:color w:val="808080"/>
          <w:sz w:val="28"/>
          <w:szCs w:val="28"/>
        </w:rPr>
        <w:t>desde</w:t>
      </w:r>
      <w:r>
        <w:rPr>
          <w:rFonts w:ascii="Arial" w:hAnsi="Arial"/>
          <w:sz w:val="28"/>
          <w:szCs w:val="28"/>
        </w:rPr>
        <w:t xml:space="preserve"> 28/06/2024.</w:t>
      </w:r>
    </w:p>
    <w:p w14:paraId="45C44E1D" w14:textId="4316791B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lastRenderedPageBreak/>
        <w:t xml:space="preserve">3. A Curadoria Especial, em </w:t>
      </w:r>
      <w:r>
        <w:rPr>
          <w:rFonts w:ascii="Arial" w:hAnsi="Arial"/>
          <w:color w:val="808080"/>
          <w:sz w:val="28"/>
          <w:szCs w:val="28"/>
        </w:rPr>
        <w:t>favor</w:t>
      </w:r>
      <w:r>
        <w:rPr>
          <w:rFonts w:ascii="Arial" w:hAnsi="Arial"/>
          <w:sz w:val="28"/>
          <w:szCs w:val="28"/>
        </w:rPr>
        <w:t xml:space="preserve"> dos réus </w:t>
      </w:r>
      <w:r>
        <w:rPr>
          <w:rFonts w:ascii="Arial" w:hAnsi="Arial"/>
          <w:color w:val="808080"/>
          <w:sz w:val="28"/>
          <w:szCs w:val="28"/>
        </w:rPr>
        <w:t>citados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por edital</w:t>
      </w:r>
      <w:r>
        <w:rPr>
          <w:rFonts w:ascii="Arial" w:hAnsi="Arial"/>
          <w:sz w:val="28"/>
          <w:szCs w:val="28"/>
        </w:rPr>
        <w:t xml:space="preserve">, apelou </w:t>
      </w:r>
      <w:r>
        <w:rPr>
          <w:rFonts w:ascii="Arial" w:hAnsi="Arial"/>
          <w:color w:val="808080"/>
          <w:sz w:val="28"/>
          <w:szCs w:val="28"/>
        </w:rPr>
        <w:t>alegando</w:t>
      </w:r>
      <w:r>
        <w:rPr>
          <w:rFonts w:ascii="Arial" w:hAnsi="Arial"/>
          <w:sz w:val="28"/>
          <w:szCs w:val="28"/>
        </w:rPr>
        <w:t xml:space="preserve"> impossibilidade de apresentar memória de cálculo, </w:t>
      </w:r>
      <w:r>
        <w:rPr>
          <w:rFonts w:ascii="Arial" w:hAnsi="Arial"/>
          <w:color w:val="808080"/>
          <w:sz w:val="28"/>
          <w:szCs w:val="28"/>
        </w:rPr>
        <w:t>falta</w:t>
      </w:r>
      <w:r>
        <w:rPr>
          <w:rFonts w:ascii="Arial" w:hAnsi="Arial"/>
          <w:sz w:val="28"/>
          <w:szCs w:val="28"/>
        </w:rPr>
        <w:t xml:space="preserve"> de liquidez do débito e necessidade de perícia contábil. A ré </w:t>
      </w:r>
      <w:r>
        <w:rPr>
          <w:rFonts w:ascii="Arial" w:hAnsi="Arial"/>
          <w:color w:val="808080"/>
          <w:sz w:val="28"/>
          <w:szCs w:val="28"/>
        </w:rPr>
        <w:t>emitente</w:t>
      </w:r>
      <w:r>
        <w:rPr>
          <w:rFonts w:ascii="Arial" w:hAnsi="Arial"/>
          <w:sz w:val="28"/>
          <w:szCs w:val="28"/>
        </w:rPr>
        <w:t xml:space="preserve"> apelou alegando contradição entre a gratuidade e o afastamento do superendividamento, </w:t>
      </w:r>
      <w:r>
        <w:rPr>
          <w:rFonts w:ascii="Arial" w:hAnsi="Arial"/>
          <w:color w:val="808080"/>
          <w:sz w:val="28"/>
          <w:szCs w:val="28"/>
        </w:rPr>
        <w:t>e pediu</w:t>
      </w:r>
      <w:r>
        <w:rPr>
          <w:rFonts w:ascii="Arial" w:hAnsi="Arial"/>
          <w:sz w:val="28"/>
          <w:szCs w:val="28"/>
        </w:rPr>
        <w:t xml:space="preserve"> a repactuação de dívidas </w:t>
      </w:r>
      <w:r>
        <w:rPr>
          <w:rFonts w:ascii="Arial" w:hAnsi="Arial"/>
          <w:color w:val="808080"/>
          <w:sz w:val="28"/>
          <w:szCs w:val="28"/>
        </w:rPr>
        <w:t>(</w:t>
      </w:r>
      <w:r>
        <w:rPr>
          <w:rFonts w:ascii="Arial" w:hAnsi="Arial"/>
          <w:sz w:val="28"/>
          <w:szCs w:val="28"/>
        </w:rPr>
        <w:t>Lei 14.181/2021</w:t>
      </w:r>
      <w:r>
        <w:rPr>
          <w:rFonts w:ascii="Arial" w:hAnsi="Arial"/>
          <w:color w:val="808080"/>
          <w:sz w:val="28"/>
          <w:szCs w:val="28"/>
        </w:rPr>
        <w:t>)</w:t>
      </w:r>
      <w:r>
        <w:rPr>
          <w:rFonts w:ascii="Arial" w:hAnsi="Arial"/>
          <w:sz w:val="28"/>
          <w:szCs w:val="28"/>
        </w:rPr>
        <w:t>.</w:t>
      </w:r>
    </w:p>
    <w:p w14:paraId="45C44E1E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II. Questão em discussão</w:t>
      </w:r>
    </w:p>
    <w:p w14:paraId="45C44E1F" w14:textId="6F0AF431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4. Há duas questões em discussão: (i) saber se a atuação da Curadoria Especial afasta a exigência de impugnação minimamente específica </w:t>
      </w:r>
      <w:r>
        <w:rPr>
          <w:rFonts w:ascii="Arial" w:hAnsi="Arial"/>
          <w:color w:val="808080"/>
          <w:sz w:val="28"/>
          <w:szCs w:val="28"/>
        </w:rPr>
        <w:t>do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débito</w:t>
      </w:r>
      <w:r>
        <w:rPr>
          <w:rFonts w:ascii="Arial" w:hAnsi="Arial"/>
          <w:sz w:val="28"/>
          <w:szCs w:val="28"/>
        </w:rPr>
        <w:t xml:space="preserve"> e justifica perícia contábil; e (ii) </w:t>
      </w:r>
      <w:r>
        <w:rPr>
          <w:rFonts w:ascii="Arial" w:hAnsi="Arial"/>
          <w:color w:val="808080"/>
          <w:sz w:val="28"/>
          <w:szCs w:val="28"/>
        </w:rPr>
        <w:t>saber</w:t>
      </w:r>
      <w:r>
        <w:rPr>
          <w:rFonts w:ascii="Arial" w:hAnsi="Arial"/>
          <w:sz w:val="28"/>
          <w:szCs w:val="28"/>
        </w:rPr>
        <w:t xml:space="preserve"> se a gratuidade de justiça autoriza o reconhecimento do superendividamento e a repactuação de dívidas.</w:t>
      </w:r>
    </w:p>
    <w:p w14:paraId="45C44E20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III. Razões de decidir</w:t>
      </w:r>
    </w:p>
    <w:p w14:paraId="1E586757" w14:textId="77777777" w:rsidR="00795C11" w:rsidRDefault="00EA68EF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5. A cédula de crédito bancário acompanhada de demonstrativo da evolução do débito </w:t>
      </w:r>
      <w:r>
        <w:rPr>
          <w:rFonts w:ascii="Arial" w:hAnsi="Arial"/>
          <w:color w:val="808080"/>
          <w:sz w:val="28"/>
          <w:szCs w:val="28"/>
        </w:rPr>
        <w:t>é</w:t>
      </w:r>
      <w:r>
        <w:rPr>
          <w:rFonts w:ascii="Arial" w:hAnsi="Arial"/>
          <w:sz w:val="28"/>
          <w:szCs w:val="28"/>
        </w:rPr>
        <w:t xml:space="preserve"> prova escrita idônea para </w:t>
      </w:r>
      <w:r>
        <w:rPr>
          <w:rFonts w:ascii="Arial" w:hAnsi="Arial"/>
          <w:color w:val="808080"/>
          <w:sz w:val="28"/>
          <w:szCs w:val="28"/>
        </w:rPr>
        <w:t>a</w:t>
      </w:r>
      <w:r>
        <w:rPr>
          <w:rFonts w:ascii="Arial" w:hAnsi="Arial"/>
          <w:sz w:val="28"/>
          <w:szCs w:val="28"/>
        </w:rPr>
        <w:t xml:space="preserve"> ação monitória</w:t>
      </w:r>
      <w:r>
        <w:rPr>
          <w:rFonts w:ascii="Arial" w:hAnsi="Arial"/>
          <w:color w:val="808080"/>
          <w:sz w:val="28"/>
          <w:szCs w:val="28"/>
        </w:rPr>
        <w:t xml:space="preserve"> (CPC 700)</w:t>
      </w:r>
      <w:r>
        <w:rPr>
          <w:rFonts w:ascii="Arial" w:hAnsi="Arial"/>
          <w:sz w:val="28"/>
          <w:szCs w:val="28"/>
        </w:rPr>
        <w:t xml:space="preserve">. </w:t>
      </w:r>
    </w:p>
    <w:p w14:paraId="45C44E21" w14:textId="3C2601B5" w:rsidR="00FE3F13" w:rsidRDefault="00795C11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sz w:val="28"/>
          <w:szCs w:val="28"/>
        </w:rPr>
        <w:t xml:space="preserve">6. </w:t>
      </w:r>
      <w:r w:rsidR="00EA68EF">
        <w:rPr>
          <w:rFonts w:ascii="Arial" w:hAnsi="Arial"/>
          <w:sz w:val="28"/>
          <w:szCs w:val="28"/>
        </w:rPr>
        <w:t xml:space="preserve">A Curadoria Especial </w:t>
      </w:r>
      <w:r w:rsidR="00EA68EF">
        <w:rPr>
          <w:rFonts w:ascii="Arial" w:hAnsi="Arial"/>
          <w:color w:val="808080"/>
          <w:sz w:val="28"/>
          <w:szCs w:val="28"/>
        </w:rPr>
        <w:t>pode defender</w:t>
      </w:r>
      <w:r w:rsidR="00EA68EF">
        <w:rPr>
          <w:rFonts w:ascii="Arial" w:hAnsi="Arial"/>
          <w:sz w:val="28"/>
          <w:szCs w:val="28"/>
        </w:rPr>
        <w:t xml:space="preserve">-se </w:t>
      </w:r>
      <w:r w:rsidR="00EA68EF">
        <w:rPr>
          <w:rFonts w:ascii="Arial" w:hAnsi="Arial"/>
          <w:color w:val="808080"/>
          <w:sz w:val="28"/>
          <w:szCs w:val="28"/>
        </w:rPr>
        <w:t xml:space="preserve">por negativa geral (CPC 341 parágrafo único), mas isso não dispensa elementos mínimos que infirmem </w:t>
      </w:r>
      <w:r w:rsidR="00EA68EF">
        <w:rPr>
          <w:rFonts w:ascii="Arial" w:hAnsi="Arial"/>
          <w:sz w:val="28"/>
          <w:szCs w:val="28"/>
        </w:rPr>
        <w:t xml:space="preserve">a </w:t>
      </w:r>
      <w:r w:rsidR="00EA68EF">
        <w:rPr>
          <w:rFonts w:ascii="Arial" w:hAnsi="Arial"/>
          <w:color w:val="808080"/>
          <w:sz w:val="28"/>
          <w:szCs w:val="28"/>
        </w:rPr>
        <w:t>prova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do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credor</w:t>
      </w:r>
      <w:r w:rsidR="00EA68EF">
        <w:rPr>
          <w:rFonts w:ascii="Arial" w:hAnsi="Arial"/>
          <w:sz w:val="28"/>
          <w:szCs w:val="28"/>
        </w:rPr>
        <w:t xml:space="preserve">, </w:t>
      </w:r>
      <w:r w:rsidR="00EA68EF">
        <w:rPr>
          <w:rFonts w:ascii="Arial" w:hAnsi="Arial"/>
          <w:color w:val="808080"/>
          <w:sz w:val="28"/>
          <w:szCs w:val="28"/>
        </w:rPr>
        <w:t>e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a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impugnação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foi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genérica</w:t>
      </w:r>
      <w:r w:rsidR="00EA68EF">
        <w:rPr>
          <w:rFonts w:ascii="Arial" w:hAnsi="Arial"/>
          <w:sz w:val="28"/>
          <w:szCs w:val="28"/>
        </w:rPr>
        <w:t>.</w:t>
      </w:r>
    </w:p>
    <w:p w14:paraId="45C44E23" w14:textId="0591146C" w:rsidR="00FE3F13" w:rsidRDefault="00795C11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>7</w:t>
      </w:r>
      <w:r w:rsidR="00EA68EF">
        <w:rPr>
          <w:rFonts w:ascii="Arial" w:hAnsi="Arial"/>
          <w:sz w:val="28"/>
          <w:szCs w:val="28"/>
        </w:rPr>
        <w:t xml:space="preserve">. A perícia contábil não </w:t>
      </w:r>
      <w:r w:rsidR="00EA68EF">
        <w:rPr>
          <w:rFonts w:ascii="Arial" w:hAnsi="Arial"/>
          <w:color w:val="808080"/>
          <w:sz w:val="28"/>
          <w:szCs w:val="28"/>
        </w:rPr>
        <w:t>é</w:t>
      </w:r>
      <w:r w:rsidR="00EA68EF">
        <w:rPr>
          <w:rFonts w:ascii="Arial" w:hAnsi="Arial"/>
          <w:sz w:val="28"/>
          <w:szCs w:val="28"/>
        </w:rPr>
        <w:t xml:space="preserve"> providência obrigatória em demandas bancárias. </w:t>
      </w:r>
      <w:r w:rsidR="00EA68EF">
        <w:rPr>
          <w:rFonts w:ascii="Arial" w:hAnsi="Arial"/>
          <w:color w:val="808080"/>
          <w:sz w:val="28"/>
          <w:szCs w:val="28"/>
        </w:rPr>
        <w:t>Sem</w:t>
      </w:r>
      <w:r w:rsidR="00EA68EF">
        <w:rPr>
          <w:rFonts w:ascii="Arial" w:hAnsi="Arial"/>
          <w:sz w:val="28"/>
          <w:szCs w:val="28"/>
        </w:rPr>
        <w:t xml:space="preserve"> controvérsia técnica efetiva </w:t>
      </w:r>
      <w:r w:rsidR="00EA68EF">
        <w:rPr>
          <w:rFonts w:ascii="Arial" w:hAnsi="Arial"/>
          <w:color w:val="808080"/>
          <w:sz w:val="28"/>
          <w:szCs w:val="28"/>
        </w:rPr>
        <w:t>sobre</w:t>
      </w:r>
      <w:r w:rsidR="00EA68EF">
        <w:rPr>
          <w:rFonts w:ascii="Arial" w:hAnsi="Arial"/>
          <w:sz w:val="28"/>
          <w:szCs w:val="28"/>
        </w:rPr>
        <w:t xml:space="preserve"> encargos ou cálculos, </w:t>
      </w:r>
      <w:r w:rsidR="00EA68EF">
        <w:rPr>
          <w:rFonts w:ascii="Arial" w:hAnsi="Arial"/>
          <w:color w:val="808080"/>
          <w:sz w:val="28"/>
          <w:szCs w:val="28"/>
        </w:rPr>
        <w:t>é</w:t>
      </w:r>
      <w:r w:rsidR="00EA68EF">
        <w:rPr>
          <w:rFonts w:ascii="Arial" w:hAnsi="Arial"/>
          <w:sz w:val="28"/>
          <w:szCs w:val="28"/>
        </w:rPr>
        <w:t xml:space="preserve"> legítimo o julgamento antecipado da lide </w:t>
      </w:r>
      <w:r w:rsidR="00EA68EF">
        <w:rPr>
          <w:rFonts w:ascii="Arial" w:hAnsi="Arial"/>
          <w:color w:val="808080"/>
          <w:sz w:val="28"/>
          <w:szCs w:val="28"/>
        </w:rPr>
        <w:t>(CPC</w:t>
      </w:r>
      <w:r w:rsidR="00EA68EF">
        <w:rPr>
          <w:rFonts w:ascii="Arial" w:hAnsi="Arial"/>
          <w:sz w:val="28"/>
          <w:szCs w:val="28"/>
        </w:rPr>
        <w:t xml:space="preserve"> 355 I</w:t>
      </w:r>
      <w:r w:rsidR="00EA68EF">
        <w:rPr>
          <w:rFonts w:ascii="Arial" w:hAnsi="Arial"/>
          <w:color w:val="808080"/>
          <w:sz w:val="28"/>
          <w:szCs w:val="28"/>
        </w:rPr>
        <w:t>)</w:t>
      </w:r>
      <w:r w:rsidR="00EA68EF">
        <w:rPr>
          <w:rFonts w:ascii="Arial" w:hAnsi="Arial"/>
          <w:sz w:val="28"/>
          <w:szCs w:val="28"/>
        </w:rPr>
        <w:t>.</w:t>
      </w:r>
    </w:p>
    <w:p w14:paraId="45C44E24" w14:textId="5A668339" w:rsidR="00FE3F13" w:rsidRDefault="00795C11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>8</w:t>
      </w:r>
      <w:r w:rsidR="00EA68EF">
        <w:rPr>
          <w:rFonts w:ascii="Arial" w:hAnsi="Arial"/>
          <w:sz w:val="28"/>
          <w:szCs w:val="28"/>
        </w:rPr>
        <w:t xml:space="preserve">. A gratuidade de justiça </w:t>
      </w:r>
      <w:r w:rsidR="00EA68EF">
        <w:rPr>
          <w:rFonts w:ascii="Arial" w:hAnsi="Arial"/>
          <w:color w:val="808080"/>
          <w:sz w:val="28"/>
          <w:szCs w:val="28"/>
        </w:rPr>
        <w:t xml:space="preserve">(CPC 98) </w:t>
      </w:r>
      <w:r w:rsidR="00EA68EF">
        <w:rPr>
          <w:rFonts w:ascii="Arial" w:hAnsi="Arial"/>
          <w:sz w:val="28"/>
          <w:szCs w:val="28"/>
        </w:rPr>
        <w:t xml:space="preserve">e o superendividamento </w:t>
      </w:r>
      <w:r w:rsidR="00EA68EF">
        <w:rPr>
          <w:rFonts w:ascii="Arial" w:hAnsi="Arial"/>
          <w:color w:val="808080"/>
          <w:sz w:val="28"/>
          <w:szCs w:val="28"/>
        </w:rPr>
        <w:t>(CDC 54-A § 1º) têm</w:t>
      </w:r>
      <w:r w:rsidR="00EA68EF">
        <w:rPr>
          <w:rFonts w:ascii="Arial" w:hAnsi="Arial"/>
          <w:sz w:val="28"/>
          <w:szCs w:val="28"/>
        </w:rPr>
        <w:t xml:space="preserve"> pressupostos distintos</w:t>
      </w:r>
      <w:r w:rsidR="00EA68EF">
        <w:rPr>
          <w:rFonts w:ascii="Arial" w:hAnsi="Arial"/>
          <w:color w:val="808080"/>
          <w:sz w:val="28"/>
          <w:szCs w:val="28"/>
        </w:rPr>
        <w:t>: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aquela</w:t>
      </w:r>
      <w:r w:rsidR="00EA68EF">
        <w:rPr>
          <w:rFonts w:ascii="Arial" w:hAnsi="Arial"/>
          <w:sz w:val="28"/>
          <w:szCs w:val="28"/>
        </w:rPr>
        <w:t xml:space="preserve"> exige insuficiência de recursos para custear o processo, </w:t>
      </w:r>
      <w:r w:rsidR="00EA68EF">
        <w:rPr>
          <w:rFonts w:ascii="Arial" w:hAnsi="Arial"/>
          <w:color w:val="808080"/>
          <w:sz w:val="28"/>
          <w:szCs w:val="28"/>
        </w:rPr>
        <w:t>e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este,</w:t>
      </w:r>
      <w:r w:rsidR="00EA68EF">
        <w:rPr>
          <w:rFonts w:ascii="Arial" w:hAnsi="Arial"/>
          <w:sz w:val="28"/>
          <w:szCs w:val="28"/>
        </w:rPr>
        <w:t xml:space="preserve"> impossibilidade </w:t>
      </w:r>
      <w:r w:rsidR="00EA68EF">
        <w:rPr>
          <w:rFonts w:ascii="Arial" w:hAnsi="Arial"/>
          <w:color w:val="808080"/>
          <w:sz w:val="28"/>
          <w:szCs w:val="28"/>
        </w:rPr>
        <w:t xml:space="preserve">manifesta </w:t>
      </w:r>
      <w:r w:rsidR="00EA68EF">
        <w:rPr>
          <w:rFonts w:ascii="Arial" w:hAnsi="Arial"/>
          <w:sz w:val="28"/>
          <w:szCs w:val="28"/>
        </w:rPr>
        <w:t xml:space="preserve">de </w:t>
      </w:r>
      <w:r w:rsidR="00EA68EF">
        <w:rPr>
          <w:rFonts w:ascii="Arial" w:hAnsi="Arial"/>
          <w:color w:val="808080"/>
          <w:sz w:val="28"/>
          <w:szCs w:val="28"/>
        </w:rPr>
        <w:t>pagar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as</w:t>
      </w:r>
      <w:r w:rsidR="00EA68EF">
        <w:rPr>
          <w:rFonts w:ascii="Arial" w:hAnsi="Arial"/>
          <w:sz w:val="28"/>
          <w:szCs w:val="28"/>
        </w:rPr>
        <w:t xml:space="preserve"> dívidas </w:t>
      </w:r>
      <w:r w:rsidR="00EA68EF">
        <w:rPr>
          <w:rFonts w:ascii="Arial" w:hAnsi="Arial"/>
          <w:color w:val="808080"/>
          <w:sz w:val="28"/>
          <w:szCs w:val="28"/>
        </w:rPr>
        <w:t xml:space="preserve">de consumo </w:t>
      </w:r>
      <w:r w:rsidR="00EA68EF">
        <w:rPr>
          <w:rFonts w:ascii="Arial" w:hAnsi="Arial"/>
          <w:sz w:val="28"/>
          <w:szCs w:val="28"/>
        </w:rPr>
        <w:t xml:space="preserve">sem </w:t>
      </w:r>
      <w:r w:rsidR="00EA68EF">
        <w:rPr>
          <w:rFonts w:ascii="Arial" w:hAnsi="Arial"/>
          <w:color w:val="808080"/>
          <w:sz w:val="28"/>
          <w:szCs w:val="28"/>
        </w:rPr>
        <w:t>comprometer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o</w:t>
      </w:r>
      <w:r w:rsidR="00EA68EF">
        <w:rPr>
          <w:rFonts w:ascii="Arial" w:hAnsi="Arial"/>
          <w:sz w:val="28"/>
          <w:szCs w:val="28"/>
        </w:rPr>
        <w:t xml:space="preserve"> mínimo existencial.</w:t>
      </w:r>
      <w:r w:rsidR="00EA68EF">
        <w:rPr>
          <w:rFonts w:ascii="Arial" w:hAnsi="Arial"/>
          <w:color w:val="808080"/>
          <w:sz w:val="28"/>
          <w:szCs w:val="28"/>
        </w:rPr>
        <w:t xml:space="preserve"> Declaração de hipossuficiência e extratos de baixa movimentação não o comprovam.</w:t>
      </w:r>
    </w:p>
    <w:p w14:paraId="45C44E26" w14:textId="2554C07D" w:rsidR="00FE3F13" w:rsidRDefault="00795C11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lastRenderedPageBreak/>
        <w:t>9</w:t>
      </w:r>
      <w:r w:rsidR="00EA68EF">
        <w:rPr>
          <w:rFonts w:ascii="Arial" w:hAnsi="Arial"/>
          <w:sz w:val="28"/>
          <w:szCs w:val="28"/>
        </w:rPr>
        <w:t xml:space="preserve">. A </w:t>
      </w:r>
      <w:r w:rsidR="00EA68EF">
        <w:rPr>
          <w:rFonts w:ascii="Arial" w:hAnsi="Arial"/>
          <w:color w:val="808080"/>
          <w:sz w:val="28"/>
          <w:szCs w:val="28"/>
        </w:rPr>
        <w:t>cédula</w:t>
      </w:r>
      <w:r w:rsidR="00EA68EF">
        <w:rPr>
          <w:rFonts w:ascii="Arial" w:hAnsi="Arial"/>
          <w:sz w:val="28"/>
          <w:szCs w:val="28"/>
        </w:rPr>
        <w:t xml:space="preserve"> destinou-se ao custeio </w:t>
      </w:r>
      <w:r w:rsidR="00EA68EF">
        <w:rPr>
          <w:rFonts w:ascii="Arial" w:hAnsi="Arial"/>
          <w:color w:val="808080"/>
          <w:sz w:val="28"/>
          <w:szCs w:val="28"/>
        </w:rPr>
        <w:t>de</w:t>
      </w:r>
      <w:r w:rsidR="00EA68EF">
        <w:rPr>
          <w:rFonts w:ascii="Arial" w:hAnsi="Arial"/>
          <w:sz w:val="28"/>
          <w:szCs w:val="28"/>
        </w:rPr>
        <w:t xml:space="preserve"> atividade agropecuária, e não ao consumo final</w:t>
      </w:r>
      <w:r w:rsidR="00EA68EF">
        <w:rPr>
          <w:rFonts w:ascii="Arial" w:hAnsi="Arial"/>
          <w:color w:val="808080"/>
          <w:sz w:val="28"/>
          <w:szCs w:val="28"/>
        </w:rPr>
        <w:t>,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o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que</w:t>
      </w:r>
      <w:r w:rsidR="00EA68EF">
        <w:rPr>
          <w:rFonts w:ascii="Arial" w:hAnsi="Arial"/>
          <w:sz w:val="28"/>
          <w:szCs w:val="28"/>
        </w:rPr>
        <w:t xml:space="preserve"> afasta a disciplina consumerista invocada </w:t>
      </w:r>
      <w:r w:rsidR="00EA68EF">
        <w:rPr>
          <w:rFonts w:ascii="Arial" w:hAnsi="Arial"/>
          <w:color w:val="808080"/>
          <w:sz w:val="28"/>
          <w:szCs w:val="28"/>
        </w:rPr>
        <w:t>(CDC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2º)</w:t>
      </w:r>
      <w:r w:rsidR="00EA68EF">
        <w:rPr>
          <w:rFonts w:ascii="Arial" w:hAnsi="Arial"/>
          <w:sz w:val="28"/>
          <w:szCs w:val="28"/>
        </w:rPr>
        <w:t>.</w:t>
      </w:r>
    </w:p>
    <w:p w14:paraId="45C44E27" w14:textId="7DA2A169" w:rsidR="00FE3F13" w:rsidRDefault="00795C11">
      <w:pPr>
        <w:pStyle w:val="Corpodetexto"/>
        <w:spacing w:after="0" w:line="360" w:lineRule="auto"/>
        <w:contextualSpacing/>
        <w:jc w:val="both"/>
      </w:pPr>
      <w:r>
        <w:rPr>
          <w:rFonts w:ascii="Arial" w:hAnsi="Arial"/>
          <w:color w:val="808080"/>
          <w:sz w:val="28"/>
          <w:szCs w:val="28"/>
        </w:rPr>
        <w:t>10</w:t>
      </w:r>
      <w:r w:rsidR="00EA68EF">
        <w:rPr>
          <w:rFonts w:ascii="Arial" w:hAnsi="Arial"/>
          <w:sz w:val="28"/>
          <w:szCs w:val="28"/>
        </w:rPr>
        <w:t xml:space="preserve">. A repactuação de dívidas </w:t>
      </w:r>
      <w:r w:rsidR="00EA68EF">
        <w:rPr>
          <w:rFonts w:ascii="Arial" w:hAnsi="Arial"/>
          <w:color w:val="808080"/>
          <w:sz w:val="28"/>
          <w:szCs w:val="28"/>
        </w:rPr>
        <w:t>(CDC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104-A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e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104-B)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segue</w:t>
      </w:r>
      <w:r w:rsidR="00EA68EF">
        <w:rPr>
          <w:rFonts w:ascii="Arial" w:hAnsi="Arial"/>
          <w:sz w:val="28"/>
          <w:szCs w:val="28"/>
        </w:rPr>
        <w:t xml:space="preserve"> procedimento próprio, incompatível com a ação monitória, </w:t>
      </w:r>
      <w:r w:rsidR="00EA68EF">
        <w:rPr>
          <w:rFonts w:ascii="Arial" w:hAnsi="Arial"/>
          <w:color w:val="808080"/>
          <w:sz w:val="28"/>
          <w:szCs w:val="28"/>
        </w:rPr>
        <w:t>e</w:t>
      </w:r>
      <w:r w:rsidR="00EA68EF">
        <w:rPr>
          <w:rFonts w:ascii="Arial" w:hAnsi="Arial"/>
          <w:sz w:val="28"/>
          <w:szCs w:val="28"/>
        </w:rPr>
        <w:t xml:space="preserve"> </w:t>
      </w:r>
      <w:r w:rsidR="00EA68EF">
        <w:rPr>
          <w:rFonts w:ascii="Arial" w:hAnsi="Arial"/>
          <w:color w:val="808080"/>
          <w:sz w:val="28"/>
          <w:szCs w:val="28"/>
        </w:rPr>
        <w:t>exige</w:t>
      </w:r>
      <w:r w:rsidR="00EA68EF">
        <w:rPr>
          <w:rFonts w:ascii="Arial" w:hAnsi="Arial"/>
          <w:sz w:val="28"/>
          <w:szCs w:val="28"/>
        </w:rPr>
        <w:t xml:space="preserve"> plano de pagamento, relação de credores e discriminação de receitas e despesas</w:t>
      </w:r>
      <w:r w:rsidR="00EA68EF">
        <w:rPr>
          <w:rFonts w:ascii="Arial" w:hAnsi="Arial"/>
          <w:color w:val="808080"/>
          <w:sz w:val="28"/>
          <w:szCs w:val="28"/>
        </w:rPr>
        <w:t>, não apresentados</w:t>
      </w:r>
      <w:r w:rsidR="00EA68EF">
        <w:rPr>
          <w:rFonts w:ascii="Arial" w:hAnsi="Arial"/>
          <w:sz w:val="28"/>
          <w:szCs w:val="28"/>
        </w:rPr>
        <w:t>.</w:t>
      </w:r>
    </w:p>
    <w:p w14:paraId="45C44E28" w14:textId="77777777" w:rsidR="00FE3F13" w:rsidRDefault="00EA68EF">
      <w:pPr>
        <w:pStyle w:val="Corpodetexto"/>
        <w:spacing w:after="0" w:line="360" w:lineRule="auto"/>
        <w:contextualSpacing/>
        <w:jc w:val="both"/>
      </w:pPr>
      <w:r>
        <w:rPr>
          <w:rStyle w:val="nfaseforte"/>
          <w:rFonts w:ascii="Arial" w:hAnsi="Arial"/>
          <w:sz w:val="28"/>
          <w:szCs w:val="28"/>
        </w:rPr>
        <w:t>IV. Dispositivo</w:t>
      </w:r>
    </w:p>
    <w:p w14:paraId="45C44E2A" w14:textId="0ACC766E" w:rsidR="00FE3F13" w:rsidRDefault="008166D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color w:val="808080"/>
          <w:sz w:val="28"/>
          <w:szCs w:val="28"/>
        </w:rPr>
        <w:t>1</w:t>
      </w:r>
      <w:r w:rsidR="00795C11">
        <w:rPr>
          <w:rFonts w:ascii="Arial" w:hAnsi="Arial"/>
          <w:color w:val="808080"/>
          <w:sz w:val="28"/>
          <w:szCs w:val="28"/>
        </w:rPr>
        <w:t>1</w:t>
      </w:r>
      <w:r>
        <w:rPr>
          <w:rFonts w:ascii="Arial" w:hAnsi="Arial"/>
          <w:sz w:val="28"/>
          <w:szCs w:val="28"/>
        </w:rPr>
        <w:t>. Negou-se provimento aos apelos de ambos os réus.</w:t>
      </w:r>
    </w:p>
    <w:p w14:paraId="442066EE" w14:textId="3A6D3202" w:rsidR="005F7AE6" w:rsidRPr="005F7AE6" w:rsidRDefault="005F7AE6" w:rsidP="00996251">
      <w:pPr>
        <w:pStyle w:val="Corpodetexto"/>
        <w:spacing w:after="0" w:line="360" w:lineRule="auto"/>
        <w:contextualSpacing/>
        <w:jc w:val="both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_____</w:t>
      </w:r>
    </w:p>
    <w:p w14:paraId="45C44E2B" w14:textId="1F977DDC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 xml:space="preserve">Dispositivos relevantes citados: </w:t>
      </w:r>
      <w:r>
        <w:rPr>
          <w:rFonts w:ascii="Arial" w:hAnsi="Arial"/>
          <w:sz w:val="26"/>
          <w:szCs w:val="26"/>
        </w:rPr>
        <w:t xml:space="preserve">CPC, arts. 85, § 11, 98, </w:t>
      </w:r>
      <w:r>
        <w:rPr>
          <w:rFonts w:ascii="Arial" w:hAnsi="Arial"/>
          <w:color w:val="808080"/>
          <w:sz w:val="26"/>
          <w:szCs w:val="26"/>
        </w:rPr>
        <w:t xml:space="preserve">341, parágrafo único, </w:t>
      </w:r>
      <w:r>
        <w:rPr>
          <w:rFonts w:ascii="Arial" w:hAnsi="Arial"/>
          <w:sz w:val="26"/>
          <w:szCs w:val="26"/>
        </w:rPr>
        <w:t xml:space="preserve">355, I, 487, I, </w:t>
      </w:r>
      <w:r>
        <w:rPr>
          <w:rFonts w:ascii="Arial" w:hAnsi="Arial"/>
          <w:color w:val="808080"/>
          <w:sz w:val="26"/>
          <w:szCs w:val="26"/>
        </w:rPr>
        <w:t xml:space="preserve">489, § 1º, </w:t>
      </w:r>
      <w:r>
        <w:rPr>
          <w:rFonts w:ascii="Arial" w:hAnsi="Arial"/>
          <w:sz w:val="26"/>
          <w:szCs w:val="26"/>
        </w:rPr>
        <w:t>700</w:t>
      </w:r>
      <w:r>
        <w:rPr>
          <w:rFonts w:ascii="Arial" w:hAnsi="Arial"/>
          <w:color w:val="808080"/>
          <w:sz w:val="26"/>
          <w:szCs w:val="26"/>
        </w:rPr>
        <w:t>,</w:t>
      </w:r>
      <w:r>
        <w:rPr>
          <w:rFonts w:ascii="Arial" w:hAnsi="Arial"/>
          <w:sz w:val="26"/>
          <w:szCs w:val="26"/>
        </w:rPr>
        <w:t xml:space="preserve"> 702, §</w:t>
      </w:r>
      <w:r>
        <w:rPr>
          <w:rFonts w:ascii="Arial" w:hAnsi="Arial"/>
          <w:color w:val="808080"/>
          <w:sz w:val="26"/>
          <w:szCs w:val="26"/>
        </w:rPr>
        <w:t>§</w:t>
      </w:r>
      <w:r>
        <w:rPr>
          <w:rFonts w:ascii="Arial" w:hAnsi="Arial"/>
          <w:sz w:val="26"/>
          <w:szCs w:val="26"/>
        </w:rPr>
        <w:t xml:space="preserve"> 2º</w:t>
      </w:r>
      <w:r>
        <w:rPr>
          <w:rFonts w:ascii="Arial" w:hAnsi="Arial"/>
          <w:color w:val="808080"/>
          <w:sz w:val="26"/>
          <w:szCs w:val="26"/>
        </w:rPr>
        <w:t xml:space="preserve"> e 3º, e 1.012, §§ 3º e 4º</w:t>
      </w:r>
      <w:r>
        <w:rPr>
          <w:rFonts w:ascii="Arial" w:hAnsi="Arial"/>
          <w:sz w:val="26"/>
          <w:szCs w:val="26"/>
        </w:rPr>
        <w:t xml:space="preserve">; CC, art. 406, § 1º; CDC, arts. 2º, 54-A, </w:t>
      </w:r>
      <w:r>
        <w:rPr>
          <w:rFonts w:ascii="Arial" w:hAnsi="Arial"/>
          <w:color w:val="808080"/>
          <w:sz w:val="26"/>
          <w:szCs w:val="26"/>
        </w:rPr>
        <w:t xml:space="preserve">§ 1º, </w:t>
      </w:r>
      <w:r>
        <w:rPr>
          <w:rFonts w:ascii="Arial" w:hAnsi="Arial"/>
          <w:sz w:val="26"/>
          <w:szCs w:val="26"/>
        </w:rPr>
        <w:t>104-A e 104-B; Lei nº 14.181/2021.</w:t>
      </w:r>
    </w:p>
    <w:p w14:paraId="45C44E2C" w14:textId="3BB40BC2" w:rsidR="00FE3F13" w:rsidRDefault="00EA68EF">
      <w:pPr>
        <w:pStyle w:val="Corpodetexto"/>
        <w:spacing w:line="360" w:lineRule="auto"/>
        <w:jc w:val="both"/>
        <w:rPr>
          <w:rFonts w:ascii="Arial" w:hAnsi="Arial"/>
          <w:i/>
          <w:iCs/>
          <w:sz w:val="26"/>
          <w:szCs w:val="26"/>
        </w:rPr>
      </w:pPr>
      <w:r>
        <w:rPr>
          <w:rFonts w:ascii="Arial" w:hAnsi="Arial"/>
          <w:i/>
          <w:iCs/>
          <w:sz w:val="26"/>
          <w:szCs w:val="26"/>
        </w:rPr>
        <w:t>Jurisprudência relevante citada:</w:t>
      </w:r>
      <w:r>
        <w:rPr>
          <w:rFonts w:ascii="Arial" w:hAnsi="Arial"/>
          <w:i/>
          <w:iCs/>
          <w:color w:val="808080"/>
          <w:sz w:val="26"/>
          <w:szCs w:val="26"/>
        </w:rPr>
        <w:t xml:space="preserve"> </w:t>
      </w:r>
      <w:r w:rsidRPr="00795C11">
        <w:rPr>
          <w:rFonts w:ascii="Arial" w:hAnsi="Arial"/>
          <w:color w:val="808080"/>
          <w:sz w:val="26"/>
          <w:szCs w:val="26"/>
        </w:rPr>
        <w:t>STJ, Súmula nº 247;</w:t>
      </w:r>
      <w:r w:rsidRPr="00795C11">
        <w:rPr>
          <w:rFonts w:ascii="Arial" w:hAnsi="Arial"/>
          <w:sz w:val="26"/>
          <w:szCs w:val="26"/>
        </w:rPr>
        <w:t xml:space="preserve"> TJDFT</w:t>
      </w:r>
      <w:r>
        <w:rPr>
          <w:rFonts w:ascii="Arial" w:hAnsi="Arial"/>
          <w:sz w:val="26"/>
          <w:szCs w:val="26"/>
        </w:rPr>
        <w:t xml:space="preserve">, </w:t>
      </w:r>
      <w:r>
        <w:rPr>
          <w:rFonts w:ascii="Arial" w:hAnsi="Arial" w:cs="Arial"/>
          <w:color w:val="000000" w:themeColor="text1"/>
          <w:sz w:val="26"/>
          <w:szCs w:val="26"/>
        </w:rPr>
        <w:t>Acórdão 1975790,</w:t>
      </w:r>
      <w:r>
        <w:rPr>
          <w:rFonts w:ascii="Arial" w:hAnsi="Arial"/>
          <w:sz w:val="26"/>
          <w:szCs w:val="26"/>
        </w:rPr>
        <w:t xml:space="preserve"> 0726455-52.2024.8.07.0000, Rel. Des. James Eduardo Oliveira, 4ª Turma Cível, j. 27/02/2025, DJe 13/05/2025.</w:t>
      </w:r>
    </w:p>
    <w:p w14:paraId="45C44E2D" w14:textId="77777777" w:rsidR="00FE3F13" w:rsidRDefault="00FE3F13">
      <w:pPr>
        <w:pStyle w:val="Corpodetexto"/>
        <w:spacing w:after="0" w:line="360" w:lineRule="auto"/>
        <w:contextualSpacing/>
        <w:jc w:val="both"/>
        <w:rPr>
          <w:rFonts w:ascii="Arial" w:hAnsi="Arial"/>
          <w:i/>
          <w:iCs/>
          <w:sz w:val="26"/>
          <w:szCs w:val="26"/>
        </w:rPr>
      </w:pPr>
    </w:p>
    <w:p w14:paraId="45C44E2E" w14:textId="77777777" w:rsidR="00FE3F13" w:rsidRDefault="00FE3F13">
      <w:pPr>
        <w:pStyle w:val="Corpodetexto"/>
        <w:spacing w:line="300" w:lineRule="atLeast"/>
        <w:rPr>
          <w:rFonts w:eastAsia="Arial" w:cstheme="minorHAnsi"/>
          <w:color w:val="FF0000"/>
        </w:rPr>
      </w:pPr>
    </w:p>
    <w:p w14:paraId="45C44E2F" w14:textId="77777777" w:rsidR="00FE3F13" w:rsidRDefault="00EA68EF">
      <w:pPr>
        <w:pStyle w:val="Corpodetexto"/>
        <w:spacing w:line="300" w:lineRule="atLeast"/>
      </w:pPr>
      <w:r>
        <w:rPr>
          <w:rStyle w:val="nfaseforte"/>
          <w:rFonts w:eastAsia="Arial" w:cstheme="minorHAnsi"/>
          <w:color w:val="FF0000"/>
        </w:rPr>
        <w:t>RESUMO DA APELAÇÃO DOS RÉUS</w:t>
      </w:r>
    </w:p>
    <w:p w14:paraId="45C44E30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1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Peculiaridades da atuação da Curadoria Especial</w:t>
      </w:r>
    </w:p>
    <w:p w14:paraId="45C44E32" w14:textId="77777777" w:rsidR="00FE3F13" w:rsidRDefault="00EA68EF">
      <w:pPr>
        <w:pStyle w:val="Corpodetexto"/>
        <w:numPr>
          <w:ilvl w:val="0"/>
          <w:numId w:val="1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Sustentam os apelantes que a sentença aplicou indevidamente os §§ 2º e 3º do art. 702 do CPC ao exigir da Curadoria Especial a indicação do valor devido e a apresentação de demonstrativo discriminado da dívida. Alegam que, por terem sido citados por edital e representados pela Defensoria Pública na qualidade de Curadora Especial, inexistem condições materiais para elaboração de memória de cálculo, ante a ausência de contato com os réus e de acesso a documentos e informações relativos à relação contratual. </w:t>
      </w:r>
    </w:p>
    <w:p w14:paraId="45C44E33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Impossibilidade de apresentação de cálculo alternativo e validade da defesa por negativa geral</w:t>
      </w:r>
      <w:r>
        <w:rPr>
          <w:rFonts w:ascii="Calibri" w:hAnsi="Calibri"/>
          <w:color w:val="FF0000"/>
        </w:rPr>
        <w:t xml:space="preserve"> 2. Argumentam que a exigência de demonstrativo alternativo pressupõe o acesso aos elementos necessários à reconstrução da evolução da obrigação, circunstância inexistente na atuação da Curadoria Especial. Defendem que o ordenamento jurídico autoriza a apresentação de defesa </w:t>
      </w:r>
      <w:r>
        <w:rPr>
          <w:rFonts w:ascii="Calibri" w:hAnsi="Calibri"/>
          <w:color w:val="FF0000"/>
        </w:rPr>
        <w:lastRenderedPageBreak/>
        <w:t>por negativa geral pelo curador especial, nos termos do art. 341, parágrafo único, do CPC, não podendo ser imposta obrigação impossível de cumprir.</w:t>
      </w:r>
    </w:p>
    <w:p w14:paraId="45C44E34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Impugnação da liquidez do débito e necessidade de flexibilização das exigências processuais</w:t>
      </w:r>
      <w:r>
        <w:rPr>
          <w:rFonts w:ascii="Calibri" w:hAnsi="Calibri"/>
          <w:color w:val="FF0000"/>
        </w:rPr>
        <w:t xml:space="preserve"> 3. Alegam que a dívida foi reconhecida com base em planilha unilateral apresentada pelo banco, sem análise específica da composição dos encargos, juros, multa e evolução do saldo devedor. Sustentam que a Curadoria Especial questionou a liquidez e a transparência do débito e que a jurisprudência do STJ admite a flexibilização das exigências processuais relativas à indicação do valor devido quando a defesa é exercida por curador especial de réu citado por edital, sob pena de restrição ao contraditório e à ampla defesa.</w:t>
      </w:r>
    </w:p>
    <w:p w14:paraId="45C44E35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6" w14:textId="77777777" w:rsidR="00FE3F13" w:rsidRDefault="00EA68EF">
      <w:pPr>
        <w:pStyle w:val="Corpodetexto"/>
        <w:numPr>
          <w:ilvl w:val="0"/>
          <w:numId w:val="2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Requerem o conhecimento e provimento da apelação para reformar a sentença e julgar improcedente o pedido monitório em relação aos apelantes. Subsidiariamente, pleiteiam a anulação da sentença, com retorno dos autos à origem para regular instrução processual, inclusive com realização de prova pericial contábil, além da condenação da parte adversa ao pagamento das custas processuais e honorários advocatícios. </w:t>
      </w:r>
    </w:p>
    <w:p w14:paraId="45C44E37" w14:textId="77777777" w:rsidR="00FE3F13" w:rsidRDefault="00FE3F13">
      <w:pPr>
        <w:pStyle w:val="Corpodetexto"/>
        <w:spacing w:line="300" w:lineRule="atLeast"/>
        <w:jc w:val="both"/>
      </w:pPr>
    </w:p>
    <w:p w14:paraId="45C44E38" w14:textId="77777777" w:rsidR="00FE3F13" w:rsidRDefault="00EA68EF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  <w:r>
        <w:rPr>
          <w:rStyle w:val="nfaseforte"/>
          <w:rFonts w:ascii="Calibri" w:hAnsi="Calibri"/>
          <w:b w:val="0"/>
          <w:color w:val="FF0000"/>
        </w:rPr>
        <w:t>RESUMO DA APELAÇÃO DA RÉ</w:t>
      </w:r>
    </w:p>
    <w:p w14:paraId="45C44E39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I. RAZÕES RECURSAIS</w:t>
      </w:r>
    </w:p>
    <w:p w14:paraId="45C44E3A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Contradição interna da sentença quanto à hipossuficiência e ao superendividamento</w:t>
      </w:r>
    </w:p>
    <w:p w14:paraId="45C44E3B" w14:textId="77777777" w:rsidR="00FE3F13" w:rsidRDefault="00EA68EF">
      <w:pPr>
        <w:pStyle w:val="Corpodetexto"/>
        <w:numPr>
          <w:ilvl w:val="0"/>
          <w:numId w:val="3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A apelante sustenta que a sentença é contraditória, pois reconheceu sua hipossuficiência econômica para fins de concessão da gratuidade de justiça, com base em declaração de pobreza e extratos bancários de baixa movimentação, mas considerou os mesmos documentos insuficientes para análise da alegação de superendividamento. Afirma que tal incoerência viola o dever de fundamentação e de coerência decisória previsto no art. 489, §1º, do CPC. </w:t>
      </w:r>
    </w:p>
    <w:p w14:paraId="45C44E3C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Aplicação da Lei do Superendividamento e necessidade de tratamento da situação financeira da devedora</w:t>
      </w:r>
      <w:r>
        <w:rPr>
          <w:rFonts w:ascii="Calibri" w:hAnsi="Calibri"/>
          <w:color w:val="FF0000"/>
        </w:rPr>
        <w:br/>
        <w:t>2. Argumenta que sua situação se enquadra no conceito de superendividamento previsto no art. 54-A, §1º, do CDC, incluído pela Lei nº 14.181/2021, por se tratar de pessoa natural, de boa-fé, impossibilitada de quitar a dívida sem comprometer o mínimo existencial. Sustenta que o juízo deveria ter promovido a adequada análise da matéria e oportunizado o acesso ao procedimento de repactuação de dívidas previsto nos arts. 104-A e 104-B do CDC, em consonância com os princípios da prevenção e do tratamento do superendividamento.</w:t>
      </w:r>
    </w:p>
    <w:p w14:paraId="45C44E3D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Pedido de atribuição de efeito suspensivo à apelação</w:t>
      </w:r>
      <w:r>
        <w:rPr>
          <w:rFonts w:ascii="Calibri" w:hAnsi="Calibri"/>
          <w:color w:val="FF0000"/>
        </w:rPr>
        <w:br/>
        <w:t>3. Defende a concessão de efeito suspensivo ao recurso, nos termos do art. 1.012, §§3º e 4º, do CPC, diante da probabilidade de provimento decorrente da alegada contradição da sentença e do risco de dano grave ou de difícil reparação, consistente na execução imediata de débito elevado em face de pessoa reconhecida como hipossuficiente.</w:t>
      </w:r>
    </w:p>
    <w:p w14:paraId="45C44E3E" w14:textId="77777777" w:rsidR="00FE3F13" w:rsidRDefault="00EA68EF">
      <w:pPr>
        <w:pStyle w:val="Corpodetexto"/>
        <w:spacing w:line="300" w:lineRule="atLeast"/>
        <w:jc w:val="both"/>
      </w:pPr>
      <w:r>
        <w:rPr>
          <w:rStyle w:val="nfaseforte"/>
          <w:rFonts w:ascii="Calibri" w:hAnsi="Calibri"/>
          <w:b w:val="0"/>
          <w:color w:val="FF0000"/>
        </w:rPr>
        <w:t>II. PEDIDO</w:t>
      </w:r>
    </w:p>
    <w:p w14:paraId="45C44E3F" w14:textId="77777777" w:rsidR="00FE3F13" w:rsidRDefault="00EA68EF">
      <w:pPr>
        <w:pStyle w:val="Corpodetexto"/>
        <w:numPr>
          <w:ilvl w:val="0"/>
          <w:numId w:val="4"/>
        </w:numPr>
        <w:tabs>
          <w:tab w:val="clear" w:pos="707"/>
          <w:tab w:val="left" w:pos="0"/>
        </w:tabs>
        <w:spacing w:line="300" w:lineRule="atLeast"/>
        <w:jc w:val="both"/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lastRenderedPageBreak/>
        <w:t xml:space="preserve">Requer o recebimento da apelação com efeito suspensivo; o provimento do recurso para reconhecer sua situação de superendividamento e determinar a instauração do procedimento de repactuação de dívidas previsto nos arts. 104-A e 104-B do CDC; subsidiariamente, o retorno dos autos à origem para orientação e encaminhamento ao procedimento próprio da Lei nº 14.181/2021; e a manutenção do benefício da gratuidade de justiça, com suspensão da exigibilidade das verbas sucumbenciais. </w:t>
      </w:r>
    </w:p>
    <w:p w14:paraId="45C44E40" w14:textId="77777777" w:rsidR="00FE3F13" w:rsidRDefault="00FE3F13">
      <w:pPr>
        <w:pStyle w:val="Corpodetexto"/>
        <w:spacing w:line="300" w:lineRule="atLeast"/>
        <w:jc w:val="both"/>
        <w:rPr>
          <w:rFonts w:ascii="Calibri" w:hAnsi="Calibri"/>
          <w:color w:val="FF0000"/>
        </w:rPr>
      </w:pPr>
    </w:p>
    <w:p w14:paraId="547F279D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E4E81A9" w14:textId="77777777" w:rsidR="005F7AE6" w:rsidRDefault="005F7AE6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5C44E44" w14:textId="77777777" w:rsidR="00FE3F13" w:rsidRDefault="00EA68EF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14:paraId="45C44E4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6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Adoto o relatório da r. sentença:</w:t>
      </w:r>
    </w:p>
    <w:p w14:paraId="45C44E4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4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sz w:val="26"/>
          <w:szCs w:val="26"/>
        </w:rPr>
        <w:t>“</w:t>
      </w:r>
      <w:r>
        <w:rPr>
          <w:rFonts w:ascii="Arial" w:hAnsi="Arial" w:cs="Arial"/>
          <w:i/>
          <w:iCs/>
          <w:sz w:val="26"/>
          <w:szCs w:val="26"/>
        </w:rPr>
        <w:t>(...) Trata-se de ação monitória ajuizada pelo BANCO DO BRASIL S/A contra EDNALVA RODRIGUES VIEIRA, GILSON JOSÉ VIEIRA e LUCIENE DA SILVA VIEIRA.</w:t>
      </w:r>
    </w:p>
    <w:p w14:paraId="45C44E4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4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Ao final, requereu a procedência do pedido inicial e a condenação dos réus ao pagamento da importância mencionada (R$ 593.350,76).</w:t>
      </w:r>
    </w:p>
    <w:p w14:paraId="45C44E4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 petição inicial veio acompanhada dos documentos indispensáveis à propositura da demanda.</w:t>
      </w:r>
    </w:p>
    <w:p w14:paraId="45C44E4C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As custas iniciais foram devidamente recolhidas (IDs 200122418 e 200122416).</w:t>
      </w:r>
    </w:p>
    <w:p w14:paraId="45C44E4D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lastRenderedPageBreak/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4E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Os réus Gilson José Vieira e Luciene da Silva Vieira, citados por edital (ID. 248003710), foram representados pela Defensoria Pública, que apresentou embargos à monitória (ID 262365567), nos quais sustentou a falta de liquidez e de transparência do título e, no mais, impugnou os pedidos por negativa geral.</w:t>
      </w:r>
    </w:p>
    <w:p w14:paraId="45C44E4F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O autor apresentou impugnação aos embargos (ID 212275180 e 265074714).</w:t>
      </w:r>
    </w:p>
    <w:p w14:paraId="45C44E50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Vieram os autos conclusos.</w:t>
      </w:r>
    </w:p>
    <w:p w14:paraId="45C44E51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É a síntese do necessário.</w:t>
      </w:r>
    </w:p>
    <w:p w14:paraId="45C44E52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Decido.”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88844069)</w:t>
      </w:r>
    </w:p>
    <w:p w14:paraId="45C44E5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4" w14:textId="60E8160D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 MM. Juíza sentenciante, Dra. Paloma Fernandes Rodrigues Barbosa, da 3ª Vara Cível de Águas Claras, julgou no seguinte sentido:</w:t>
      </w:r>
    </w:p>
    <w:p w14:paraId="45C44E55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6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sz w:val="26"/>
          <w:szCs w:val="26"/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 xml:space="preserve"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</w:t>
      </w:r>
      <w:r>
        <w:rPr>
          <w:rFonts w:ascii="Arial" w:hAnsi="Arial" w:cs="Arial"/>
          <w:i/>
          <w:iCs/>
          <w:sz w:val="26"/>
          <w:szCs w:val="26"/>
        </w:rPr>
        <w:lastRenderedPageBreak/>
        <w:t>monetária pelo IPCA e de juros de mora pela taxa Selic (observando o abatimento de que trata o §1º, do art. 406, do Código Civil) a partir da data da última atualização constante dos autos (28/06/2024 - planilha de ID. 200122408).</w:t>
      </w:r>
    </w:p>
    <w:p w14:paraId="45C44E57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</w:t>
      </w:r>
    </w:p>
    <w:p w14:paraId="45C44E58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Sentença registrada eletronicamente nesta data. Publique-se. Intimem-se.</w:t>
      </w:r>
    </w:p>
    <w:p w14:paraId="45C44E5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hAnsi="Arial" w:cs="Arial"/>
          <w:i/>
          <w:iCs/>
          <w:sz w:val="26"/>
          <w:szCs w:val="26"/>
        </w:rPr>
        <w:t>Após o trânsito em julgado, ausentes novos requerimentos, arquivem-se os autos, com as cautelas de estilo”.</w:t>
      </w:r>
    </w:p>
    <w:p w14:paraId="45C44E5A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5B" w14:textId="1E10767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>Apelo</w:t>
      </w:r>
      <w:r>
        <w:rPr>
          <w:rFonts w:ascii="Arial" w:hAnsi="Arial"/>
          <w:sz w:val="28"/>
          <w:szCs w:val="28"/>
        </w:rPr>
        <w:t xml:space="preserve"> d</w:t>
      </w:r>
      <w:r>
        <w:rPr>
          <w:rFonts w:ascii="Arial" w:hAnsi="Arial" w:cs="Arial"/>
          <w:sz w:val="28"/>
          <w:szCs w:val="28"/>
        </w:rPr>
        <w:t>os réus, Gilson José Vieira e Luciene da Silva Vieira</w:t>
      </w:r>
      <w:r>
        <w:rPr>
          <w:rFonts w:ascii="Arial" w:hAnsi="Arial" w:cs="Arial"/>
          <w:color w:val="808080"/>
          <w:sz w:val="28"/>
          <w:szCs w:val="28"/>
        </w:rPr>
        <w:t>, pela Curadoria Especial</w:t>
      </w:r>
      <w:r>
        <w:rPr>
          <w:rFonts w:ascii="Arial" w:hAnsi="Arial" w:cs="Arial"/>
          <w:sz w:val="28"/>
          <w:szCs w:val="28"/>
        </w:rPr>
        <w:t xml:space="preserve"> (ID 88844071), </w:t>
      </w:r>
      <w:r>
        <w:rPr>
          <w:rFonts w:ascii="Arial" w:hAnsi="Arial" w:cs="Arial"/>
          <w:color w:val="808080"/>
          <w:sz w:val="28"/>
          <w:szCs w:val="28"/>
        </w:rPr>
        <w:t>em que alegam, em síntese,</w:t>
      </w:r>
      <w:r>
        <w:rPr>
          <w:rFonts w:ascii="Arial" w:hAnsi="Arial" w:cs="Arial"/>
          <w:sz w:val="28"/>
          <w:szCs w:val="28"/>
        </w:rPr>
        <w:t xml:space="preserve"> que: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1)</w:t>
      </w:r>
      <w:r>
        <w:rPr>
          <w:rFonts w:ascii="Arial" w:hAnsi="Arial" w:cs="Arial"/>
          <w:sz w:val="28"/>
          <w:szCs w:val="28"/>
        </w:rPr>
        <w:t xml:space="preserve"> atuando em favor de réus citados por edital, não possui acesso a informações que permitam apresentar memória de cálculo ou indicar o valor efetivamente devido;</w:t>
      </w:r>
      <w:r>
        <w:rPr>
          <w:rFonts w:ascii="Arial" w:hAnsi="Arial" w:cs="Arial"/>
          <w:b/>
          <w:bCs/>
          <w:sz w:val="28"/>
          <w:szCs w:val="28"/>
        </w:rPr>
        <w:t xml:space="preserve"> 2)</w:t>
      </w:r>
      <w:r>
        <w:rPr>
          <w:rFonts w:ascii="Arial" w:hAnsi="Arial" w:cs="Arial"/>
          <w:sz w:val="28"/>
          <w:szCs w:val="28"/>
        </w:rPr>
        <w:t xml:space="preserve"> a</w:t>
      </w:r>
      <w:r>
        <w:rPr>
          <w:rFonts w:ascii="Arial" w:hAnsi="Arial"/>
          <w:sz w:val="28"/>
          <w:szCs w:val="28"/>
        </w:rPr>
        <w:t xml:space="preserve"> rejeição dos embargos com fundamento no </w:t>
      </w:r>
      <w:r>
        <w:rPr>
          <w:rFonts w:ascii="Arial" w:hAnsi="Arial"/>
          <w:color w:val="808080"/>
          <w:sz w:val="28"/>
          <w:szCs w:val="28"/>
        </w:rPr>
        <w:t>CPC</w:t>
      </w:r>
      <w:r>
        <w:rPr>
          <w:rFonts w:ascii="Arial" w:hAnsi="Arial"/>
          <w:sz w:val="28"/>
          <w:szCs w:val="28"/>
        </w:rPr>
        <w:t xml:space="preserve"> 702 § 2º restringiu indevidamente o direito de defesa; e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>3)</w:t>
      </w:r>
      <w:r>
        <w:rPr>
          <w:rFonts w:ascii="Arial" w:hAnsi="Arial"/>
          <w:sz w:val="28"/>
          <w:szCs w:val="28"/>
        </w:rPr>
        <w:t xml:space="preserve"> o débito não possui liquidez suficientemente comprovada, pois está baseado em planilha unilateral do banco.</w:t>
      </w:r>
      <w:commentRangeEnd w:id="5"/>
      <w:r>
        <w:commentReference w:id="5"/>
      </w:r>
    </w:p>
    <w:p w14:paraId="45C44E5C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D" w14:textId="7E245B3C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Requer</w:t>
      </w:r>
      <w:r w:rsidR="00795C11">
        <w:rPr>
          <w:rFonts w:ascii="Arial" w:hAnsi="Arial" w:cs="Arial"/>
          <w:sz w:val="28"/>
          <w:szCs w:val="28"/>
        </w:rPr>
        <w:t>em</w:t>
      </w:r>
      <w:r>
        <w:rPr>
          <w:rFonts w:ascii="Arial" w:hAnsi="Arial" w:cs="Arial"/>
          <w:sz w:val="28"/>
          <w:szCs w:val="28"/>
        </w:rPr>
        <w:t xml:space="preserve"> a reforma da</w:t>
      </w:r>
      <w:r>
        <w:rPr>
          <w:rFonts w:ascii="Arial" w:hAnsi="Arial" w:cs="Arial"/>
          <w:color w:val="808080"/>
          <w:sz w:val="28"/>
          <w:szCs w:val="28"/>
        </w:rPr>
        <w:t xml:space="preserve"> r.</w:t>
      </w:r>
      <w:r>
        <w:rPr>
          <w:rFonts w:ascii="Arial" w:hAnsi="Arial" w:cs="Arial"/>
          <w:sz w:val="28"/>
          <w:szCs w:val="28"/>
        </w:rPr>
        <w:t xml:space="preserve"> sentença para julgar improcedente a ação monitória ou, subsidiariamente, </w:t>
      </w:r>
      <w:r>
        <w:rPr>
          <w:rFonts w:ascii="Arial" w:hAnsi="Arial" w:cs="Arial"/>
          <w:color w:val="808080"/>
          <w:sz w:val="28"/>
          <w:szCs w:val="28"/>
        </w:rPr>
        <w:t xml:space="preserve">a anulação da </w:t>
      </w:r>
      <w:r>
        <w:rPr>
          <w:rFonts w:ascii="Arial" w:hAnsi="Arial" w:cs="Arial"/>
          <w:color w:val="808080"/>
          <w:sz w:val="28"/>
          <w:szCs w:val="28"/>
        </w:rPr>
        <w:lastRenderedPageBreak/>
        <w:t>r. sentença, com</w:t>
      </w:r>
      <w:r>
        <w:rPr>
          <w:rFonts w:ascii="Arial" w:hAnsi="Arial" w:cs="Arial"/>
          <w:sz w:val="28"/>
          <w:szCs w:val="28"/>
        </w:rPr>
        <w:t xml:space="preserve"> retorno dos autos </w:t>
      </w:r>
      <w:r>
        <w:rPr>
          <w:rFonts w:ascii="Arial" w:hAnsi="Arial" w:cs="Arial"/>
          <w:color w:val="808080"/>
          <w:sz w:val="28"/>
          <w:szCs w:val="28"/>
        </w:rPr>
        <w:t xml:space="preserve">à origem </w:t>
      </w:r>
      <w:r>
        <w:rPr>
          <w:rFonts w:ascii="Arial" w:hAnsi="Arial" w:cs="Arial"/>
          <w:sz w:val="28"/>
          <w:szCs w:val="28"/>
        </w:rPr>
        <w:t xml:space="preserve">para instrução, </w:t>
      </w:r>
      <w:r>
        <w:rPr>
          <w:rFonts w:ascii="Arial" w:hAnsi="Arial" w:cs="Arial"/>
          <w:color w:val="808080"/>
          <w:sz w:val="28"/>
          <w:szCs w:val="28"/>
        </w:rPr>
        <w:t xml:space="preserve">inclusive </w:t>
      </w:r>
      <w:r>
        <w:rPr>
          <w:rFonts w:ascii="Arial" w:hAnsi="Arial" w:cs="Arial"/>
          <w:sz w:val="28"/>
          <w:szCs w:val="28"/>
        </w:rPr>
        <w:t>com perícia contábil.</w:t>
      </w:r>
    </w:p>
    <w:p w14:paraId="45C44E5E" w14:textId="77777777" w:rsidR="00FE3F13" w:rsidRDefault="00FE3F13">
      <w:pPr>
        <w:spacing w:after="0" w:line="360" w:lineRule="auto"/>
        <w:ind w:firstLine="2268"/>
        <w:jc w:val="both"/>
        <w:rPr>
          <w:rFonts w:cs="Arial"/>
        </w:rPr>
      </w:pPr>
    </w:p>
    <w:p w14:paraId="45C44E5F" w14:textId="1D2A3E9C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 w:cs="Arial"/>
          <w:sz w:val="28"/>
          <w:szCs w:val="28"/>
        </w:rPr>
        <w:t xml:space="preserve">Apelo da ré, Ednalva Rodrigues Vieira (ID 88844072), </w:t>
      </w:r>
      <w:r>
        <w:rPr>
          <w:rFonts w:ascii="Arial" w:hAnsi="Arial" w:cs="Arial"/>
          <w:color w:val="808080"/>
          <w:sz w:val="28"/>
          <w:szCs w:val="28"/>
        </w:rPr>
        <w:t>em que alega, em síntese,</w:t>
      </w:r>
      <w:r>
        <w:rPr>
          <w:rFonts w:ascii="Arial" w:hAnsi="Arial" w:cs="Arial"/>
          <w:sz w:val="28"/>
          <w:szCs w:val="28"/>
        </w:rPr>
        <w:t xml:space="preserve"> que: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1</w:t>
      </w:r>
      <w:r>
        <w:rPr>
          <w:rStyle w:val="nfaseforte"/>
          <w:rFonts w:ascii="Arial" w:hAnsi="Arial" w:cs="Arial"/>
          <w:sz w:val="28"/>
          <w:szCs w:val="28"/>
        </w:rPr>
        <w:t>)</w:t>
      </w:r>
      <w:r>
        <w:rPr>
          <w:rStyle w:val="nfaseforte"/>
          <w:rFonts w:ascii="Arial" w:hAnsi="Arial" w:cs="Arial"/>
          <w:b w:val="0"/>
          <w:sz w:val="28"/>
          <w:szCs w:val="28"/>
        </w:rPr>
        <w:t xml:space="preserve"> a</w:t>
      </w:r>
      <w:r>
        <w:rPr>
          <w:rStyle w:val="nfaseforte"/>
          <w:rFonts w:ascii="Arial" w:hAnsi="Arial" w:cs="Arial"/>
          <w:b w:val="0"/>
          <w:color w:val="808080"/>
          <w:sz w:val="28"/>
          <w:szCs w:val="28"/>
        </w:rPr>
        <w:t xml:space="preserve"> r.</w:t>
      </w:r>
      <w:r>
        <w:rPr>
          <w:rFonts w:ascii="Arial" w:hAnsi="Arial"/>
          <w:sz w:val="28"/>
          <w:szCs w:val="28"/>
        </w:rPr>
        <w:t xml:space="preserve"> sentença é contraditória ao reconhecer sua hipossuficiência para </w:t>
      </w:r>
      <w:r>
        <w:rPr>
          <w:rFonts w:ascii="Arial" w:hAnsi="Arial"/>
          <w:color w:val="808080"/>
          <w:sz w:val="28"/>
          <w:szCs w:val="28"/>
        </w:rPr>
        <w:t>a</w:t>
      </w:r>
      <w:r>
        <w:rPr>
          <w:rFonts w:ascii="Arial" w:hAnsi="Arial"/>
          <w:sz w:val="28"/>
          <w:szCs w:val="28"/>
        </w:rPr>
        <w:t xml:space="preserve"> gratuidade de justiça, mas afastar a alegação de superendividamento;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>2)</w:t>
      </w:r>
      <w:r>
        <w:rPr>
          <w:rFonts w:ascii="Arial" w:hAnsi="Arial"/>
          <w:sz w:val="28"/>
          <w:szCs w:val="28"/>
        </w:rPr>
        <w:t xml:space="preserve"> encontra-se </w:t>
      </w:r>
      <w:r>
        <w:rPr>
          <w:rFonts w:ascii="Arial" w:hAnsi="Arial"/>
          <w:color w:val="808080"/>
          <w:sz w:val="28"/>
          <w:szCs w:val="28"/>
        </w:rPr>
        <w:t xml:space="preserve">superendividada, </w:t>
      </w:r>
      <w:r>
        <w:rPr>
          <w:rFonts w:ascii="Arial" w:hAnsi="Arial"/>
          <w:sz w:val="28"/>
          <w:szCs w:val="28"/>
        </w:rPr>
        <w:t xml:space="preserve">em </w:t>
      </w:r>
      <w:r>
        <w:rPr>
          <w:rFonts w:ascii="Arial" w:hAnsi="Arial"/>
          <w:color w:val="808080"/>
          <w:sz w:val="28"/>
          <w:szCs w:val="28"/>
        </w:rPr>
        <w:t>razão</w:t>
      </w:r>
      <w:r>
        <w:rPr>
          <w:rFonts w:ascii="Arial" w:hAnsi="Arial"/>
          <w:sz w:val="28"/>
          <w:szCs w:val="28"/>
        </w:rPr>
        <w:t xml:space="preserve"> de dificuldades financeiras na atividade agropecuária, sem condições de quitar a dívida sem comprometer sua subsistência;</w:t>
      </w:r>
      <w:r>
        <w:rPr>
          <w:rFonts w:ascii="Arial" w:hAnsi="Arial"/>
          <w:b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>3)</w:t>
      </w:r>
      <w:r>
        <w:rPr>
          <w:rFonts w:ascii="Arial" w:hAnsi="Arial"/>
          <w:sz w:val="28"/>
          <w:szCs w:val="28"/>
        </w:rPr>
        <w:t xml:space="preserve"> faz jus à aplicação da Lei 14.181/2021, com instauração do procedimento de repactuação de dívidas previsto no CDC</w:t>
      </w:r>
      <w:r>
        <w:rPr>
          <w:rFonts w:ascii="Arial" w:hAnsi="Arial"/>
          <w:color w:val="808080"/>
          <w:sz w:val="28"/>
          <w:szCs w:val="28"/>
        </w:rPr>
        <w:t>; e</w:t>
      </w:r>
      <w:r>
        <w:rPr>
          <w:rFonts w:ascii="Arial" w:hAnsi="Arial"/>
          <w:b/>
          <w:color w:val="808080"/>
          <w:sz w:val="28"/>
          <w:szCs w:val="28"/>
        </w:rPr>
        <w:t xml:space="preserve"> 4)</w:t>
      </w:r>
      <w:r>
        <w:rPr>
          <w:rFonts w:ascii="Arial" w:hAnsi="Arial"/>
          <w:color w:val="808080"/>
          <w:sz w:val="28"/>
          <w:szCs w:val="28"/>
        </w:rPr>
        <w:t xml:space="preserve"> o apelo deve ter efeito suspensivo (CPC 1</w:t>
      </w:r>
      <w:r>
        <w:rPr>
          <w:rFonts w:ascii="Arial" w:hAnsi="Arial"/>
          <w:sz w:val="28"/>
          <w:szCs w:val="28"/>
        </w:rPr>
        <w:t>.</w:t>
      </w:r>
      <w:r>
        <w:rPr>
          <w:rFonts w:ascii="Arial" w:hAnsi="Arial"/>
          <w:color w:val="808080"/>
          <w:sz w:val="28"/>
          <w:szCs w:val="28"/>
        </w:rPr>
        <w:t>012 §§ 3º e 4º).</w:t>
      </w:r>
    </w:p>
    <w:p w14:paraId="45C44E60" w14:textId="77777777" w:rsidR="00FE3F13" w:rsidRDefault="00FE3F13">
      <w:pPr>
        <w:spacing w:after="0" w:line="360" w:lineRule="auto"/>
        <w:ind w:firstLine="2268"/>
        <w:jc w:val="both"/>
        <w:rPr>
          <w:sz w:val="28"/>
          <w:szCs w:val="28"/>
        </w:rPr>
      </w:pPr>
    </w:p>
    <w:p w14:paraId="45C44E61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</w:rPr>
      </w:pPr>
      <w:r>
        <w:rPr>
          <w:rFonts w:ascii="Arial" w:hAnsi="Arial"/>
          <w:sz w:val="28"/>
          <w:szCs w:val="28"/>
        </w:rPr>
        <w:t xml:space="preserve">Requer o provimento do </w:t>
      </w:r>
      <w:r>
        <w:rPr>
          <w:rFonts w:ascii="Arial" w:hAnsi="Arial"/>
          <w:color w:val="808080"/>
          <w:sz w:val="28"/>
          <w:szCs w:val="28"/>
        </w:rPr>
        <w:t>apelo, com efeito suspensivo,</w:t>
      </w:r>
      <w:r>
        <w:rPr>
          <w:rFonts w:ascii="Arial" w:hAnsi="Arial"/>
          <w:sz w:val="28"/>
          <w:szCs w:val="28"/>
        </w:rPr>
        <w:t xml:space="preserve"> para que, </w:t>
      </w:r>
      <w:r>
        <w:rPr>
          <w:rFonts w:ascii="Arial" w:hAnsi="Arial"/>
          <w:color w:val="808080"/>
          <w:sz w:val="28"/>
          <w:szCs w:val="28"/>
        </w:rPr>
        <w:t>reformada</w:t>
      </w:r>
      <w:r>
        <w:rPr>
          <w:rFonts w:ascii="Arial" w:hAnsi="Arial"/>
          <w:sz w:val="28"/>
          <w:szCs w:val="28"/>
        </w:rPr>
        <w:t xml:space="preserve"> a</w:t>
      </w:r>
      <w:r>
        <w:rPr>
          <w:rFonts w:ascii="Arial" w:hAnsi="Arial"/>
          <w:color w:val="808080"/>
          <w:sz w:val="28"/>
          <w:szCs w:val="28"/>
        </w:rPr>
        <w:t xml:space="preserve"> r.</w:t>
      </w:r>
      <w:r>
        <w:rPr>
          <w:rFonts w:ascii="Arial" w:hAnsi="Arial"/>
          <w:sz w:val="28"/>
          <w:szCs w:val="28"/>
        </w:rPr>
        <w:t xml:space="preserve"> sentença, seja determinada a instauração do procedimento de repactuação de dívidas, reconhecendo-se o seu superendividamento ou, subsidiariamente, o retorno dos autos à origem para adoção do procedimento adequado</w:t>
      </w:r>
      <w:r>
        <w:rPr>
          <w:rFonts w:ascii="Arial" w:hAnsi="Arial"/>
          <w:color w:val="808080"/>
          <w:sz w:val="28"/>
          <w:szCs w:val="28"/>
        </w:rPr>
        <w:t>,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mantida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a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color w:val="808080"/>
          <w:sz w:val="28"/>
          <w:szCs w:val="28"/>
        </w:rPr>
        <w:t>gratuidade de justiça</w:t>
      </w:r>
      <w:r>
        <w:rPr>
          <w:rFonts w:ascii="Arial" w:hAnsi="Arial"/>
          <w:sz w:val="28"/>
          <w:szCs w:val="28"/>
        </w:rPr>
        <w:t>.</w:t>
      </w:r>
    </w:p>
    <w:p w14:paraId="45C44E6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3" w14:textId="01C7F854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88844076)</w:t>
      </w:r>
      <w:r>
        <w:rPr>
          <w:rFonts w:ascii="Arial" w:hAnsi="Arial" w:cs="Arial"/>
          <w:sz w:val="28"/>
          <w:szCs w:val="28"/>
        </w:rPr>
        <w:t xml:space="preserve">, em que o </w:t>
      </w:r>
      <w:r>
        <w:rPr>
          <w:rFonts w:ascii="Arial" w:hAnsi="Arial" w:cs="Arial"/>
          <w:color w:val="808080"/>
          <w:sz w:val="28"/>
          <w:szCs w:val="28"/>
        </w:rPr>
        <w:t>apelado</w:t>
      </w:r>
      <w:r>
        <w:rPr>
          <w:rFonts w:ascii="Arial" w:hAnsi="Arial" w:cs="Arial"/>
          <w:sz w:val="28"/>
          <w:szCs w:val="28"/>
        </w:rPr>
        <w:t xml:space="preserve"> alega que: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1)</w:t>
      </w:r>
      <w:r>
        <w:rPr>
          <w:rFonts w:ascii="Arial" w:hAnsi="Arial" w:cs="Arial"/>
          <w:sz w:val="28"/>
          <w:szCs w:val="28"/>
        </w:rPr>
        <w:t xml:space="preserve"> o débito está devidamente comprovado pela cédula de crédito bancário e pelo demonstrativo de evolução da dívida;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2) </w:t>
      </w:r>
      <w:r>
        <w:rPr>
          <w:rFonts w:ascii="Arial" w:hAnsi="Arial" w:cs="Arial"/>
          <w:bCs/>
          <w:sz w:val="28"/>
          <w:szCs w:val="28"/>
        </w:rPr>
        <w:t>não houve impugnação específica dos cálculos nem justificativa para realização de perícia contábil</w:t>
      </w:r>
      <w:r>
        <w:rPr>
          <w:rFonts w:ascii="Arial" w:hAnsi="Arial" w:cs="Arial"/>
          <w:sz w:val="28"/>
          <w:szCs w:val="28"/>
        </w:rPr>
        <w:t>;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3)</w:t>
      </w:r>
      <w:r>
        <w:rPr>
          <w:rFonts w:ascii="Arial" w:hAnsi="Arial" w:cs="Arial"/>
          <w:sz w:val="28"/>
          <w:szCs w:val="28"/>
        </w:rPr>
        <w:t xml:space="preserve"> inexiste contradição entre a concessão da gratuidade de justiça e o não reconhecimento do superendividamento; e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4)</w:t>
      </w:r>
      <w:r>
        <w:rPr>
          <w:rFonts w:ascii="Arial" w:hAnsi="Arial" w:cs="Arial"/>
          <w:sz w:val="28"/>
          <w:szCs w:val="28"/>
        </w:rPr>
        <w:t xml:space="preserve"> a dívida possui natureza rural/produtiva, </w:t>
      </w:r>
      <w:r>
        <w:rPr>
          <w:rFonts w:ascii="Arial" w:hAnsi="Arial" w:cs="Arial"/>
          <w:sz w:val="28"/>
          <w:szCs w:val="28"/>
        </w:rPr>
        <w:lastRenderedPageBreak/>
        <w:t>sendo inaplicável o procedimento de repactuação por superendividamento</w:t>
      </w:r>
      <w:r>
        <w:rPr>
          <w:rStyle w:val="nfaseforte"/>
          <w:rFonts w:ascii="Arial" w:hAnsi="Arial" w:cs="Arial"/>
          <w:b w:val="0"/>
          <w:sz w:val="28"/>
          <w:szCs w:val="28"/>
        </w:rPr>
        <w:t>.</w:t>
      </w:r>
    </w:p>
    <w:p w14:paraId="45C44E64" w14:textId="77777777" w:rsidR="00FE3F13" w:rsidRDefault="00FE3F13">
      <w:pPr>
        <w:spacing w:after="0" w:line="360" w:lineRule="auto"/>
        <w:ind w:firstLine="2268"/>
        <w:jc w:val="both"/>
        <w:rPr>
          <w:rStyle w:val="nfaseforte"/>
          <w:rFonts w:ascii="Arial" w:hAnsi="Arial" w:cs="Arial"/>
          <w:b w:val="0"/>
          <w:sz w:val="28"/>
          <w:szCs w:val="28"/>
        </w:rPr>
      </w:pPr>
    </w:p>
    <w:p w14:paraId="45C44E65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o relatório.</w:t>
      </w:r>
    </w:p>
    <w:p w14:paraId="45C44E6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7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8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71D7C2D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9940A2E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CA44D1" w14:textId="77777777" w:rsidR="00E14C0F" w:rsidRDefault="00E14C0F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A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t>VOTO</w:t>
      </w:r>
    </w:p>
    <w:p w14:paraId="45C44E6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C" w14:textId="77777777" w:rsidR="00FE3F13" w:rsidRDefault="00EA68EF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45C44E6D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6E" w14:textId="67BECAC8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Ação ajuizada em 13/06/2024. Sentença proferida em 19/05/2026. Apelo dos réus interposto em 15/06/2026 e apelo da ré interposto em 16/06/2026. Valor da causa: R$ 593.350,76.</w:t>
      </w:r>
    </w:p>
    <w:p w14:paraId="45C44E6F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0" w14:textId="5261DD20" w:rsidR="00FE3F13" w:rsidRDefault="00EA68EF">
      <w:pPr>
        <w:spacing w:after="0" w:line="360" w:lineRule="auto"/>
        <w:jc w:val="center"/>
      </w:pPr>
      <w:commentRangeStart w:id="6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APELO DOS RÉUS, GILSON JOSÉ VIEIRA E LUCIENE DA SILVA VIEIRA, PELA CURADORIA ESPECIAL</w:t>
      </w:r>
      <w:commentRangeEnd w:id="6"/>
      <w:r>
        <w:commentReference w:id="6"/>
      </w:r>
    </w:p>
    <w:p w14:paraId="45C44E71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72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interposto.</w:t>
      </w:r>
    </w:p>
    <w:p w14:paraId="45C44E73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74" w14:textId="75F517D1" w:rsidR="00FE3F13" w:rsidRPr="00D87531" w:rsidRDefault="004B23BF" w:rsidP="004B23BF">
      <w:pPr>
        <w:pStyle w:val="Ttulo2"/>
        <w:spacing w:before="0" w:after="0" w:line="360" w:lineRule="auto"/>
        <w:rPr>
          <w:rFonts w:ascii="Arial" w:hAnsi="Arial" w:cs="Arial"/>
          <w:b w:val="0"/>
          <w:sz w:val="28"/>
          <w:szCs w:val="28"/>
        </w:rPr>
      </w:pPr>
      <w:commentRangeStart w:id="7"/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MANUTENÇÃO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DA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REJEIÇÃO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DOS EMBARGOS À MONITÓRIA E DA DESNECESSIDADE</w:t>
      </w:r>
      <w:r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 xml:space="preserve"> DE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PERÍCIA</w:t>
      </w:r>
      <w:r>
        <w:rPr>
          <w:rFonts w:ascii="Arial" w:hAnsi="Arial" w:cs="Arial"/>
          <w:b w:val="0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b w:val="0"/>
          <w:color w:val="808080"/>
          <w:sz w:val="28"/>
          <w:szCs w:val="28"/>
          <w:highlight w:val="yellow"/>
        </w:rPr>
        <w:t>CONTÁBIL</w:t>
      </w:r>
      <w:commentRangeEnd w:id="7"/>
      <w:r>
        <w:commentReference w:id="7"/>
      </w:r>
    </w:p>
    <w:p w14:paraId="45C44E75" w14:textId="77777777" w:rsidR="00FE3F13" w:rsidRPr="00D87531" w:rsidRDefault="00FE3F13">
      <w:pPr>
        <w:pStyle w:val="Ttulo2"/>
        <w:spacing w:before="0" w:after="0" w:line="360" w:lineRule="auto"/>
        <w:ind w:firstLine="2268"/>
        <w:jc w:val="both"/>
        <w:rPr>
          <w:rFonts w:ascii="Arial" w:eastAsia="Calibri" w:hAnsi="Arial" w:cs="Arial"/>
          <w:b w:val="0"/>
          <w:color w:val="000000" w:themeColor="text1"/>
          <w:sz w:val="28"/>
          <w:szCs w:val="28"/>
        </w:rPr>
      </w:pPr>
    </w:p>
    <w:p w14:paraId="45C44E76" w14:textId="47F2F7ED" w:rsidR="00FE3F13" w:rsidRDefault="00895929">
      <w:pPr>
        <w:pStyle w:val="Ttulo2"/>
        <w:spacing w:before="0" w:after="0" w:line="360" w:lineRule="auto"/>
        <w:ind w:firstLine="2268"/>
        <w:jc w:val="both"/>
        <w:rPr>
          <w:rFonts w:ascii="Arial" w:hAnsi="Arial"/>
        </w:rPr>
      </w:pPr>
      <w:commentRangeStart w:id="8"/>
      <w:r>
        <w:rPr>
          <w:rFonts w:ascii="Arial" w:eastAsia="Calibri" w:hAnsi="Arial" w:cs="Arial"/>
          <w:b w:val="0"/>
          <w:color w:val="808080"/>
          <w:sz w:val="28"/>
          <w:szCs w:val="28"/>
        </w:rPr>
        <w:lastRenderedPageBreak/>
        <w:t>Os réus/apelantes alegam que: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1)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 citados por edital e sem acesso a informações da relação contratual, a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Curadoria Especial não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pode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apresentar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memória de cálculo,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e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a rejeição dos embargos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com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fundamento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no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CPC 702 § 2º restringiu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 xml:space="preserve"> o direito de defesa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>, admitida a negativa geral (CPC 341 parágrafo único); e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2)</w:t>
      </w:r>
      <w:r>
        <w:rPr>
          <w:rFonts w:ascii="Arial" w:eastAsia="Calibri" w:hAnsi="Arial" w:cs="Arial"/>
          <w:b w:val="0"/>
          <w:color w:val="808080"/>
          <w:sz w:val="28"/>
          <w:szCs w:val="28"/>
        </w:rPr>
        <w:t xml:space="preserve"> o débito, baseado em planilha unilateral do banco, não tem liquidez comprovada, o que exige perícia contábil (ID 88844071)</w:t>
      </w:r>
      <w:r>
        <w:rPr>
          <w:rFonts w:ascii="Arial" w:eastAsia="Calibri" w:hAnsi="Arial" w:cs="Arial"/>
          <w:b w:val="0"/>
          <w:color w:val="000000" w:themeColor="text1"/>
          <w:sz w:val="28"/>
          <w:szCs w:val="28"/>
        </w:rPr>
        <w:t>.</w:t>
      </w:r>
      <w:commentRangeEnd w:id="8"/>
      <w:r>
        <w:commentReference w:id="8"/>
      </w:r>
    </w:p>
    <w:p w14:paraId="45C44E7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8" w14:textId="0D4400F6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Requer o provimento do apelo para </w:t>
      </w:r>
      <w:r>
        <w:rPr>
          <w:rFonts w:ascii="Arial" w:eastAsia="Calibri" w:hAnsi="Arial" w:cs="Arial"/>
          <w:color w:val="808080"/>
          <w:sz w:val="28"/>
          <w:szCs w:val="28"/>
        </w:rPr>
        <w:t>julgar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improcedente o pedido monitório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ou, subsidiariamente, anular a sentença e retornar os autos à origem para instrução, com perícia contábil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</w:p>
    <w:p w14:paraId="45C44E79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A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  <w:highlight w:val="yellow"/>
        </w:rPr>
        <w:t>Sem razão.</w:t>
      </w:r>
    </w:p>
    <w:p w14:paraId="45C44E7B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63CA2336" w14:textId="77777777" w:rsidR="0065461F" w:rsidRDefault="00995DCC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está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instruída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com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 cédula de crédito bancário </w:t>
      </w:r>
      <w:r>
        <w:rPr>
          <w:rFonts w:ascii="Arial" w:eastAsia="Calibri" w:hAnsi="Arial" w:cs="Arial"/>
          <w:color w:val="808080"/>
          <w:sz w:val="28"/>
          <w:szCs w:val="28"/>
        </w:rPr>
        <w:t>n. 40/01822-9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de R$ </w:t>
      </w:r>
      <w:r>
        <w:rPr>
          <w:rFonts w:ascii="Arial" w:eastAsia="Calibri" w:hAnsi="Arial" w:cs="Arial"/>
          <w:color w:val="808080"/>
          <w:sz w:val="28"/>
          <w:szCs w:val="28"/>
        </w:rPr>
        <w:t>452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  <w:r>
        <w:rPr>
          <w:rFonts w:ascii="Arial" w:eastAsia="Calibri" w:hAnsi="Arial" w:cs="Arial"/>
          <w:color w:val="808080"/>
          <w:sz w:val="28"/>
          <w:szCs w:val="28"/>
        </w:rPr>
        <w:t>979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,</w:t>
      </w:r>
      <w:r>
        <w:rPr>
          <w:rFonts w:ascii="Arial" w:eastAsia="Calibri" w:hAnsi="Arial" w:cs="Arial"/>
          <w:color w:val="808080"/>
          <w:sz w:val="28"/>
          <w:szCs w:val="28"/>
        </w:rPr>
        <w:t>47, destinada a custeio agropecuário, com venciment</w:t>
      </w:r>
      <w:r>
        <w:rPr>
          <w:rFonts w:ascii="Arial" w:eastAsia="Calibri" w:hAnsi="Arial" w:cs="Arial"/>
          <w:color w:val="808080"/>
          <w:sz w:val="28"/>
          <w:szCs w:val="28"/>
        </w:rPr>
        <w:t>o em parcela única em 24/02/2024 (ID 88843634)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</w:p>
    <w:p w14:paraId="5CB5BFE8" w14:textId="77777777" w:rsidR="0065461F" w:rsidRDefault="0065461F">
      <w:pPr>
        <w:pStyle w:val="Corpodetexto"/>
        <w:spacing w:after="0" w:line="360" w:lineRule="auto"/>
        <w:ind w:firstLine="2268"/>
        <w:jc w:val="both"/>
      </w:pPr>
    </w:p>
    <w:p w14:paraId="45C44E7C" w14:textId="672750CE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>Prevê juros remuneratórios de 17% ao ano, capitalizados mensalmente, juros de mora de 1% ao mês e multa de 2% (ID 88843634).</w:t>
      </w:r>
    </w:p>
    <w:p w14:paraId="45C44E7D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7E" w14:textId="2F35D8B8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9"/>
      <w:r>
        <w:rPr>
          <w:rFonts w:ascii="Arial" w:eastAsia="Calibri" w:hAnsi="Arial" w:cs="Arial"/>
          <w:color w:val="808080"/>
          <w:sz w:val="28"/>
          <w:szCs w:val="28"/>
        </w:rPr>
        <w:t>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demonstrativo </w:t>
      </w:r>
      <w:r>
        <w:rPr>
          <w:rFonts w:ascii="Arial" w:eastAsia="Calibri" w:hAnsi="Arial" w:cs="Arial"/>
          <w:color w:val="808080"/>
          <w:sz w:val="28"/>
          <w:szCs w:val="28"/>
        </w:rPr>
        <w:t>detalha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a evolução do saldo devedor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de 27/02/2023 a 28/06/2024, até R$ 593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  <w:r>
        <w:rPr>
          <w:rFonts w:ascii="Arial" w:eastAsia="Calibri" w:hAnsi="Arial" w:cs="Arial"/>
          <w:color w:val="808080"/>
          <w:sz w:val="28"/>
          <w:szCs w:val="28"/>
        </w:rPr>
        <w:t>350,76 (CPC 700; Súmula 247/STJ; ID 88843635).</w:t>
      </w:r>
      <w:commentRangeEnd w:id="9"/>
      <w:r>
        <w:commentReference w:id="9"/>
      </w:r>
    </w:p>
    <w:p w14:paraId="45C44E7F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0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lastRenderedPageBreak/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Especial </w:t>
      </w:r>
      <w:r>
        <w:rPr>
          <w:rFonts w:ascii="Arial" w:eastAsia="Calibri" w:hAnsi="Arial" w:cs="Arial"/>
          <w:color w:val="808080"/>
          <w:sz w:val="28"/>
          <w:szCs w:val="28"/>
        </w:rPr>
        <w:t>pode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defender-se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por negativa geral, </w:t>
      </w:r>
      <w:r>
        <w:rPr>
          <w:rFonts w:ascii="Arial" w:eastAsia="Calibri" w:hAnsi="Arial" w:cs="Arial"/>
          <w:color w:val="808080"/>
          <w:sz w:val="28"/>
          <w:szCs w:val="28"/>
        </w:rPr>
        <w:t>mas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isso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afasta a necessidade de elementos mínimos aptos a infirmar a </w:t>
      </w:r>
      <w:r>
        <w:rPr>
          <w:rFonts w:ascii="Arial" w:eastAsia="Calibri" w:hAnsi="Arial" w:cs="Arial"/>
          <w:color w:val="808080"/>
          <w:sz w:val="28"/>
          <w:szCs w:val="28"/>
        </w:rPr>
        <w:t>prova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escrita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credor (CPC 341 parágrafo único)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</w:p>
    <w:p w14:paraId="45C44E81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4" w14:textId="0F6CF848" w:rsidR="00FE3F13" w:rsidRDefault="007145A3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>No caso, 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Curadoria limitou-se a </w:t>
      </w:r>
      <w:r>
        <w:rPr>
          <w:rFonts w:ascii="Arial" w:eastAsia="Calibri" w:hAnsi="Arial" w:cs="Arial"/>
          <w:color w:val="808080"/>
          <w:sz w:val="28"/>
          <w:szCs w:val="28"/>
        </w:rPr>
        <w:t>impugnar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de forma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genérica </w:t>
      </w: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liquidez da dívida, sem apontar irregularidade na contratação</w:t>
      </w:r>
      <w:r>
        <w:rPr>
          <w:rFonts w:ascii="Arial" w:eastAsia="Calibri" w:hAnsi="Arial" w:cs="Arial"/>
          <w:color w:val="808080"/>
          <w:sz w:val="28"/>
          <w:szCs w:val="28"/>
        </w:rPr>
        <w:t>, lançamento indevido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ou </w:t>
      </w:r>
      <w:r>
        <w:rPr>
          <w:rFonts w:ascii="Arial" w:eastAsia="Calibri" w:hAnsi="Arial" w:cs="Arial"/>
          <w:color w:val="808080"/>
          <w:sz w:val="28"/>
          <w:szCs w:val="28"/>
        </w:rPr>
        <w:t>encargo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desacordo com o pactuado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(ID 88844055)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</w:p>
    <w:p w14:paraId="45C44E85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6" w14:textId="77777777" w:rsidR="00FE3F13" w:rsidRDefault="00EA68EF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  <w:r>
        <w:rPr>
          <w:rFonts w:ascii="Arial" w:eastAsia="Calibri" w:hAnsi="Arial" w:cs="Arial"/>
          <w:color w:val="808080"/>
          <w:sz w:val="28"/>
          <w:szCs w:val="28"/>
        </w:rPr>
        <w:t>No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mais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flexibilização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do CPC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702 § 2º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em favor </w:t>
      </w:r>
      <w:r>
        <w:rPr>
          <w:rFonts w:ascii="Arial" w:eastAsia="Calibri" w:hAnsi="Arial" w:cs="Arial"/>
          <w:color w:val="808080"/>
          <w:sz w:val="28"/>
          <w:szCs w:val="28"/>
        </w:rPr>
        <w:t>do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curador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especial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>invocada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no apelo, dispensa o cálculo alternativo, mas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a </w:t>
      </w:r>
      <w:r>
        <w:rPr>
          <w:rFonts w:ascii="Arial" w:eastAsia="Calibri" w:hAnsi="Arial" w:cs="Arial"/>
          <w:color w:val="808080"/>
          <w:sz w:val="28"/>
          <w:szCs w:val="28"/>
        </w:rPr>
        <w:t>indicação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de elemento concreto capaz de gerar dúvida razoável sobre </w:t>
      </w:r>
      <w:r>
        <w:rPr>
          <w:rFonts w:ascii="Arial" w:eastAsia="Calibri" w:hAnsi="Arial" w:cs="Arial"/>
          <w:color w:val="808080"/>
          <w:sz w:val="28"/>
          <w:szCs w:val="28"/>
        </w:rPr>
        <w:t>o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débito.</w:t>
      </w:r>
    </w:p>
    <w:p w14:paraId="2DE85476" w14:textId="77777777" w:rsidR="008160E8" w:rsidRDefault="008160E8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8E" w14:textId="0E7CB019" w:rsidR="00FE3F13" w:rsidRDefault="00795C11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Por outro lado, a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perícia contábil não </w:t>
      </w:r>
      <w:r w:rsidR="00EA68EF">
        <w:rPr>
          <w:rFonts w:ascii="Arial" w:hAnsi="Arial" w:cs="Arial"/>
          <w:color w:val="808080"/>
          <w:sz w:val="28"/>
          <w:szCs w:val="28"/>
        </w:rPr>
        <w:t>é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obrigatória em demandas </w:t>
      </w:r>
      <w:r w:rsidR="00EA68EF">
        <w:rPr>
          <w:rFonts w:ascii="Arial" w:hAnsi="Arial" w:cs="Arial"/>
          <w:color w:val="808080"/>
          <w:sz w:val="28"/>
          <w:szCs w:val="28"/>
        </w:rPr>
        <w:t>bancárias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e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só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se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justifica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diante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de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controvérsia técnica efetiva.</w:t>
      </w:r>
    </w:p>
    <w:p w14:paraId="45C44E8F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0" w14:textId="59795AB3" w:rsidR="00FE3F13" w:rsidRDefault="00795C11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Dito isso, a</w:t>
      </w:r>
      <w:commentRangeStart w:id="10"/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usente indicação de inconsistência específica nos cálculos, o pedido </w:t>
      </w:r>
      <w:r w:rsidR="00EA68EF">
        <w:rPr>
          <w:rFonts w:ascii="Arial" w:hAnsi="Arial" w:cs="Arial"/>
          <w:color w:val="808080"/>
          <w:sz w:val="28"/>
          <w:szCs w:val="28"/>
        </w:rPr>
        <w:t>é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meramente exploratório, </w:t>
      </w:r>
      <w:r w:rsidR="00EA68EF">
        <w:rPr>
          <w:rFonts w:ascii="Arial" w:hAnsi="Arial" w:cs="Arial"/>
          <w:color w:val="808080"/>
          <w:sz w:val="28"/>
          <w:szCs w:val="28"/>
        </w:rPr>
        <w:t>e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o julgamento antecipado da lide </w:t>
      </w:r>
      <w:r w:rsidR="00EA68EF">
        <w:rPr>
          <w:rFonts w:ascii="Arial" w:hAnsi="Arial" w:cs="Arial"/>
          <w:color w:val="808080"/>
          <w:sz w:val="28"/>
          <w:szCs w:val="28"/>
        </w:rPr>
        <w:t>é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legítimo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A68EF">
        <w:rPr>
          <w:rFonts w:ascii="Arial" w:hAnsi="Arial" w:cs="Arial"/>
          <w:color w:val="808080"/>
          <w:sz w:val="28"/>
          <w:szCs w:val="28"/>
        </w:rPr>
        <w:t>(CPC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 xml:space="preserve"> 355 I</w:t>
      </w:r>
      <w:r w:rsidR="00EA68EF">
        <w:rPr>
          <w:rFonts w:ascii="Arial" w:hAnsi="Arial" w:cs="Arial"/>
          <w:color w:val="808080"/>
          <w:sz w:val="28"/>
          <w:szCs w:val="28"/>
        </w:rPr>
        <w:t>)</w:t>
      </w:r>
      <w:r w:rsidR="00EA68EF">
        <w:rPr>
          <w:rFonts w:ascii="Arial" w:hAnsi="Arial" w:cs="Arial"/>
          <w:color w:val="000000" w:themeColor="text1"/>
          <w:sz w:val="28"/>
          <w:szCs w:val="28"/>
        </w:rPr>
        <w:t>.</w:t>
      </w:r>
      <w:commentRangeEnd w:id="10"/>
      <w:r w:rsidR="00EA68EF">
        <w:commentReference w:id="10"/>
      </w:r>
    </w:p>
    <w:p w14:paraId="45C44E91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2" w14:textId="73AE89ED" w:rsidR="00FE3F13" w:rsidRDefault="00EA68EF">
      <w:pPr>
        <w:spacing w:after="0" w:line="360" w:lineRule="auto"/>
        <w:ind w:firstLine="2268"/>
        <w:jc w:val="both"/>
        <w:rPr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>Assim, nego provimento ao apelo</w:t>
      </w:r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 nesse ponto.</w:t>
      </w:r>
    </w:p>
    <w:p w14:paraId="45C44E93" w14:textId="77777777" w:rsidR="00FE3F13" w:rsidRDefault="00FE3F13">
      <w:pPr>
        <w:spacing w:after="0" w:line="360" w:lineRule="auto"/>
        <w:ind w:firstLine="2268"/>
        <w:jc w:val="both"/>
        <w:rPr>
          <w:rFonts w:cs="Arial"/>
          <w:color w:val="000000" w:themeColor="text1"/>
        </w:rPr>
      </w:pPr>
    </w:p>
    <w:p w14:paraId="45C44E94" w14:textId="09EE385F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APELO DA RÉ</w:t>
      </w:r>
      <w:r w:rsidR="00B7115E">
        <w:rPr>
          <w:rFonts w:ascii="Arial" w:hAnsi="Arial" w:cs="Arial"/>
          <w:b/>
          <w:bCs/>
          <w:color w:val="000000" w:themeColor="text1"/>
          <w:sz w:val="28"/>
          <w:szCs w:val="28"/>
        </w:rPr>
        <w:t>,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EDNALVA RODRIGUES VIEIRA</w:t>
      </w:r>
    </w:p>
    <w:p w14:paraId="43313BB7" w14:textId="77777777" w:rsidR="0065461F" w:rsidRDefault="0065461F">
      <w:pPr>
        <w:spacing w:after="0" w:line="360" w:lineRule="auto"/>
        <w:jc w:val="center"/>
      </w:pPr>
    </w:p>
    <w:p w14:paraId="52CCA309" w14:textId="77777777" w:rsidR="0065461F" w:rsidRDefault="00995DCC">
      <w:pPr>
        <w:spacing w:after="0" w:line="360" w:lineRule="auto"/>
        <w:ind w:firstLine="2268"/>
        <w:jc w:val="both"/>
      </w:pPr>
      <w:r>
        <w:rPr>
          <w:rFonts w:ascii="Arial" w:hAnsi="Arial" w:cs="Arial"/>
          <w:bCs/>
          <w:color w:val="808080"/>
          <w:sz w:val="28"/>
          <w:szCs w:val="28"/>
        </w:rPr>
        <w:t>Presentes os pressupostos de admissibilidade, conheço do apelo interposto.</w:t>
      </w:r>
    </w:p>
    <w:p w14:paraId="45C44E95" w14:textId="77777777" w:rsidR="00FE3F13" w:rsidRDefault="00FE3F13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5C44E96" w14:textId="6A2CB66D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DA NÃO COMPROVAÇÃO DO SUPERENDIVIDAMENTO E DA </w:t>
      </w:r>
      <w:r w:rsidR="001D2A46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IMPOSSIBILIDADE DE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>REPACTUAÇÃO DE DÍVIDAS</w:t>
      </w:r>
    </w:p>
    <w:p w14:paraId="45C44E97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98" w14:textId="75C5755A" w:rsidR="00FE3F13" w:rsidRDefault="00EA68EF">
      <w:pPr>
        <w:spacing w:after="0" w:line="360" w:lineRule="auto"/>
        <w:ind w:firstLine="2268"/>
        <w:jc w:val="both"/>
      </w:pPr>
      <w:commentRangeStart w:id="11"/>
      <w:r>
        <w:rPr>
          <w:rFonts w:ascii="Arial" w:hAnsi="Arial" w:cs="Arial"/>
          <w:color w:val="000000" w:themeColor="text1"/>
          <w:sz w:val="28"/>
          <w:szCs w:val="28"/>
        </w:rPr>
        <w:t>A ré/apelante alega que</w:t>
      </w:r>
      <w:r>
        <w:rPr>
          <w:rFonts w:ascii="Arial" w:hAnsi="Arial" w:cs="Arial"/>
          <w:color w:val="808080"/>
          <w:sz w:val="28"/>
          <w:szCs w:val="28"/>
        </w:rPr>
        <w:t>: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é contraditório reconhecer sua hipossuficiência para </w:t>
      </w:r>
      <w:r>
        <w:rPr>
          <w:rFonts w:ascii="Arial" w:hAnsi="Arial" w:cs="Arial"/>
          <w:color w:val="808080"/>
          <w:sz w:val="28"/>
          <w:szCs w:val="28"/>
        </w:rPr>
        <w:t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gratuidade de justiça </w:t>
      </w:r>
      <w:r>
        <w:rPr>
          <w:rFonts w:ascii="Arial" w:hAnsi="Arial" w:cs="Arial"/>
          <w:color w:val="808080"/>
          <w:sz w:val="28"/>
          <w:szCs w:val="28"/>
        </w:rPr>
        <w:t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afastar </w:t>
      </w:r>
      <w:r>
        <w:rPr>
          <w:rFonts w:ascii="Arial" w:hAnsi="Arial" w:cs="Arial"/>
          <w:color w:val="808080"/>
          <w:sz w:val="28"/>
          <w:szCs w:val="28"/>
        </w:rPr>
        <w:t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superendividamento </w:t>
      </w:r>
      <w:r>
        <w:rPr>
          <w:rFonts w:ascii="Arial" w:hAnsi="Arial" w:cs="Arial"/>
          <w:color w:val="808080"/>
          <w:sz w:val="28"/>
          <w:szCs w:val="28"/>
        </w:rPr>
        <w:t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489 § 1º);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2)</w:t>
      </w:r>
      <w:r>
        <w:rPr>
          <w:rFonts w:ascii="Arial" w:hAnsi="Arial" w:cs="Arial"/>
          <w:color w:val="808080"/>
          <w:sz w:val="28"/>
          <w:szCs w:val="28"/>
        </w:rPr>
        <w:t xml:space="preserve"> está superendividada (CDC 54-A § 1º);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3)</w:t>
      </w:r>
      <w:r>
        <w:rPr>
          <w:rFonts w:ascii="Arial" w:hAnsi="Arial" w:cs="Arial"/>
          <w:color w:val="808080"/>
          <w:sz w:val="28"/>
          <w:szCs w:val="28"/>
        </w:rPr>
        <w:t xml:space="preserve"> tem direito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à repactuação de dívidas </w:t>
      </w:r>
      <w:r>
        <w:rPr>
          <w:rFonts w:ascii="Arial" w:hAnsi="Arial" w:cs="Arial"/>
          <w:color w:val="808080"/>
          <w:sz w:val="28"/>
          <w:szCs w:val="28"/>
        </w:rPr>
        <w:t>(CDC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104-A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e 104-B; Lei 14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>
        <w:rPr>
          <w:rFonts w:ascii="Arial" w:hAnsi="Arial" w:cs="Arial"/>
          <w:color w:val="808080"/>
          <w:sz w:val="28"/>
          <w:szCs w:val="28"/>
        </w:rPr>
        <w:t>181/2021); e</w:t>
      </w:r>
      <w:r>
        <w:rPr>
          <w:rFonts w:ascii="Arial" w:hAnsi="Arial" w:cs="Arial"/>
          <w:b/>
          <w:color w:val="808080"/>
          <w:sz w:val="28"/>
          <w:szCs w:val="28"/>
        </w:rPr>
        <w:t xml:space="preserve"> 4)</w:t>
      </w:r>
      <w:r>
        <w:rPr>
          <w:rFonts w:ascii="Arial" w:hAnsi="Arial" w:cs="Arial"/>
          <w:color w:val="808080"/>
          <w:sz w:val="28"/>
          <w:szCs w:val="28"/>
        </w:rPr>
        <w:t xml:space="preserve"> o apelo deve ter efeito suspensivo (CPC 1.012 §§ 3º e 4º; ID 88844072).</w:t>
      </w:r>
      <w:commentRangeEnd w:id="11"/>
      <w:r>
        <w:commentReference w:id="11"/>
      </w:r>
    </w:p>
    <w:p w14:paraId="45C44E99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A" w14:textId="77777777" w:rsidR="00FE3F13" w:rsidRDefault="00EA68E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Requer a instauração do procedimento de repactuação de dívidas, reconhecendo-se o seu superendividamento ou, subsidiariamente, o retorno dos autos à origem para adoção do referido procedimento.</w:t>
      </w:r>
    </w:p>
    <w:p w14:paraId="417D86EF" w14:textId="77777777" w:rsidR="0065461F" w:rsidRDefault="0065461F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</w:p>
    <w:p w14:paraId="07AE64BB" w14:textId="77777777" w:rsidR="0065461F" w:rsidRDefault="00995DCC">
      <w:pPr>
        <w:spacing w:after="0" w:line="360" w:lineRule="auto"/>
        <w:ind w:firstLine="2268"/>
        <w:jc w:val="both"/>
        <w:rPr>
          <w:rFonts w:ascii="Arial" w:hAnsi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Sem razão.</w:t>
      </w:r>
    </w:p>
    <w:p w14:paraId="45C44E9B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</w:rPr>
      </w:pPr>
    </w:p>
    <w:p w14:paraId="45C44E9C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>Por espelhar meu entendimento a respeito da matéria, peço vênias para adotar como razões de decidir os fundamentos da r. sentença</w:t>
      </w:r>
      <w:r>
        <w:rPr>
          <w:rFonts w:ascii="Arial" w:hAnsi="Arial" w:cs="Arial"/>
          <w:color w:val="808080"/>
          <w:sz w:val="28"/>
          <w:szCs w:val="28"/>
        </w:rPr>
        <w:t xml:space="preserve"> (ID 88844069)</w:t>
      </w:r>
      <w:r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45C44E9D" w14:textId="77777777" w:rsidR="00FE3F13" w:rsidRDefault="00FE3F13">
      <w:pPr>
        <w:pStyle w:val="Textoprformatado"/>
        <w:spacing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A5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>“(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.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>..)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Consigno que a cédula de crédito bancário em questão foi emitida com a finalidade específica de custeio agropecuário, conforme expressamente consignado no instrumento do ID 200122407 e no demonstrativo do ID 200122408. A operação destinou-se, portanto, ao fomento da atividade produtiva da emitente, qualificada na própria petição inicial como pecuarista.</w:t>
      </w:r>
    </w:p>
    <w:p w14:paraId="45C44EA6" w14:textId="77777777" w:rsidR="00FE3F13" w:rsidRDefault="00EA68EF">
      <w:pPr>
        <w:spacing w:after="0" w:line="360" w:lineRule="auto"/>
        <w:ind w:left="2268" w:firstLine="1134"/>
        <w:jc w:val="both"/>
      </w:pPr>
      <w:commentRangeStart w:id="12"/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lastRenderedPageBreak/>
        <w:t xml:space="preserve">Nesse contexto, 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</w:rPr>
        <w:t>não se configura relação de consumo na acepção do art. 2º do Código de Defesa do Consumidor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, uma vez que o crédito não foi utilizado como destinatário final, mas como insumo para a atividade econômica da mutuária.</w:t>
      </w:r>
      <w:commentRangeEnd w:id="12"/>
      <w:r>
        <w:commentReference w:id="12"/>
      </w:r>
    </w:p>
    <w:p w14:paraId="45C44EA9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“(...) 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Quanto à alegação de superendividamento, a parte ré não se desincumbiu do ônus de demonstrar que o pagamento de suas dívidas comprometeria seu mínimo existencial.</w:t>
      </w:r>
    </w:p>
    <w:p w14:paraId="45C44EAA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  <w:u w:val="single"/>
        </w:rPr>
        <w:t>A mera apresentação de extratos bancários com movimentações de baixo valor não é suficiente para caracterizar o superendividamento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nos termos do art. 54-A do Código de Defesa do Consumidor.</w:t>
      </w:r>
    </w:p>
    <w:p w14:paraId="45C44EAB" w14:textId="77777777" w:rsidR="00FE3F13" w:rsidRDefault="00EA68EF">
      <w:pPr>
        <w:spacing w:after="0" w:line="360" w:lineRule="auto"/>
        <w:ind w:left="2268" w:firstLine="1134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Ademais, a pretensão de repactuação de dívidas prevista na Lei 14.181/2021 constitui procedimento próprio, que não se confunde com a defesa nos embargos à monitória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>.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”</w:t>
      </w:r>
      <w:r>
        <w:rPr>
          <w:rFonts w:ascii="Arial" w:eastAsia="Calibri" w:hAnsi="Arial" w:cs="Arial"/>
          <w:i/>
          <w:iCs/>
          <w:color w:val="808080"/>
          <w:sz w:val="26"/>
          <w:szCs w:val="26"/>
        </w:rPr>
        <w:t xml:space="preserve"> – Grifei</w:t>
      </w: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>.</w:t>
      </w:r>
    </w:p>
    <w:p w14:paraId="45C44EAC" w14:textId="77777777" w:rsidR="00FE3F13" w:rsidRDefault="00EA68EF">
      <w:pPr>
        <w:spacing w:after="0" w:line="360" w:lineRule="auto"/>
        <w:ind w:left="2268"/>
        <w:jc w:val="both"/>
      </w:pPr>
      <w:r>
        <w:rPr>
          <w:rFonts w:ascii="Arial" w:eastAsia="Calibri" w:hAnsi="Arial" w:cs="Arial"/>
          <w:i/>
          <w:iCs/>
          <w:color w:val="000000" w:themeColor="text1"/>
          <w:sz w:val="26"/>
          <w:szCs w:val="26"/>
        </w:rPr>
        <w:t xml:space="preserve"> </w:t>
      </w:r>
    </w:p>
    <w:p w14:paraId="45C44EAD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3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 gratuidade de justiça exige a demonstração de insuficiência de recursos para arcar com as despesas processuais sem prejuízo da própria subsistência </w:t>
      </w:r>
      <w:r>
        <w:rPr>
          <w:rFonts w:ascii="Arial" w:eastAsia="Calibri" w:hAnsi="Arial" w:cs="Arial"/>
          <w:color w:val="808080"/>
          <w:sz w:val="28"/>
          <w:szCs w:val="28"/>
        </w:rPr>
        <w:t>(CPC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98</w:t>
      </w:r>
      <w:r>
        <w:rPr>
          <w:rFonts w:ascii="Arial" w:eastAsia="Calibri" w:hAnsi="Arial" w:cs="Arial"/>
          <w:color w:val="808080"/>
          <w:sz w:val="28"/>
          <w:szCs w:val="28"/>
        </w:rPr>
        <w:t>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  <w:commentRangeEnd w:id="13"/>
      <w:r>
        <w:commentReference w:id="13"/>
      </w:r>
    </w:p>
    <w:p w14:paraId="45C44EAE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50F63791" w14:textId="77777777" w:rsidR="0065461F" w:rsidRDefault="00995DCC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808080"/>
          <w:sz w:val="28"/>
          <w:szCs w:val="28"/>
        </w:rPr>
        <w:t>O superendividamento, por sua vez, pressupõe a impossibilidade manifesta de pagar a totalidade das dívidas de consumo sem comprometer o mínimo existencial (CDC 54-A § 1º).</w:t>
      </w:r>
    </w:p>
    <w:p w14:paraId="10BE89E6" w14:textId="77777777" w:rsidR="0065461F" w:rsidRDefault="0065461F">
      <w:pPr>
        <w:pStyle w:val="Corpodetexto"/>
        <w:spacing w:after="0" w:line="360" w:lineRule="auto"/>
        <w:ind w:firstLine="2268"/>
        <w:jc w:val="both"/>
      </w:pPr>
    </w:p>
    <w:p w14:paraId="45C44EAF" w14:textId="77777777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Trata-se de institutos </w:t>
      </w:r>
      <w:r>
        <w:rPr>
          <w:rFonts w:ascii="Arial" w:eastAsia="Calibri" w:hAnsi="Arial" w:cs="Arial"/>
          <w:color w:val="808080"/>
          <w:sz w:val="28"/>
          <w:szCs w:val="28"/>
        </w:rPr>
        <w:t>distintos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eastAsia="Calibri" w:hAnsi="Arial" w:cs="Arial"/>
          <w:color w:val="808080"/>
          <w:sz w:val="28"/>
          <w:szCs w:val="28"/>
        </w:rPr>
        <w:t>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hipossuficiência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reconhecida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para </w:t>
      </w: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gratuidade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não implica, </w:t>
      </w:r>
      <w:r>
        <w:rPr>
          <w:rFonts w:ascii="Arial" w:eastAsia="Calibri" w:hAnsi="Arial" w:cs="Arial"/>
          <w:color w:val="808080"/>
          <w:sz w:val="28"/>
          <w:szCs w:val="28"/>
        </w:rPr>
        <w:t>por si só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, o superendividamento.</w:t>
      </w:r>
    </w:p>
    <w:p w14:paraId="45C44EB0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1" w14:textId="2EF3438B" w:rsidR="00FE3F13" w:rsidRDefault="00EA68EF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lastRenderedPageBreak/>
        <w:t xml:space="preserve">No caso, a apelante apresentou apenas declaração de hipossuficiência e extratos bancários </w:t>
      </w:r>
      <w:r>
        <w:rPr>
          <w:rFonts w:ascii="Arial" w:eastAsia="Calibri" w:hAnsi="Arial" w:cs="Arial"/>
          <w:color w:val="808080"/>
          <w:sz w:val="28"/>
          <w:szCs w:val="28"/>
        </w:rPr>
        <w:t>de baixa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movimentação, insuficientes para demonstrar suas receitas, despesas, patrimônio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passivo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(ID 88844009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e </w:t>
      </w:r>
      <w:r>
        <w:rPr>
          <w:rFonts w:ascii="Arial" w:eastAsia="Calibri" w:hAnsi="Arial" w:cs="Arial"/>
          <w:color w:val="808080"/>
          <w:sz w:val="28"/>
          <w:szCs w:val="28"/>
        </w:rPr>
        <w:t>88844010)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</w:p>
    <w:p w14:paraId="45C44EB2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7" w14:textId="77777777" w:rsidR="00FE3F13" w:rsidRDefault="00EA68EF">
      <w:pPr>
        <w:pStyle w:val="Corpodetexto"/>
        <w:spacing w:after="0" w:line="360" w:lineRule="auto"/>
        <w:ind w:firstLine="2268"/>
        <w:jc w:val="both"/>
      </w:pPr>
      <w:commentRangeStart w:id="14"/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Ainda que assim não fosse, a repactuação de dívidas possui procedimento próprio, 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que 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não se </w:t>
      </w:r>
      <w:r>
        <w:rPr>
          <w:rFonts w:ascii="Arial" w:eastAsia="Calibri" w:hAnsi="Arial" w:cs="Arial"/>
          <w:color w:val="808080"/>
          <w:sz w:val="28"/>
          <w:szCs w:val="28"/>
        </w:rPr>
        <w:t>confunde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com </w:t>
      </w:r>
      <w:r>
        <w:rPr>
          <w:rFonts w:ascii="Arial" w:eastAsia="Calibri" w:hAnsi="Arial" w:cs="Arial"/>
          <w:color w:val="808080"/>
          <w:sz w:val="28"/>
          <w:szCs w:val="28"/>
        </w:rPr>
        <w:t>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eastAsia="Calibri" w:hAnsi="Arial" w:cs="Arial"/>
          <w:color w:val="808080"/>
          <w:sz w:val="28"/>
          <w:szCs w:val="28"/>
        </w:rPr>
        <w:t>defesa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em ação monitória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(CDC 104-A e 104-B)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>.</w:t>
      </w:r>
      <w:commentRangeEnd w:id="14"/>
      <w:r>
        <w:commentReference w:id="14"/>
      </w:r>
    </w:p>
    <w:p w14:paraId="45C44EB8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9" w14:textId="666F026A" w:rsidR="00FE3F13" w:rsidRDefault="00114432">
      <w:pPr>
        <w:pStyle w:val="Corpodetexto"/>
        <w:spacing w:after="0" w:line="360" w:lineRule="auto"/>
        <w:ind w:firstLine="2268"/>
        <w:jc w:val="both"/>
      </w:pPr>
      <w:r>
        <w:rPr>
          <w:rFonts w:ascii="Arial" w:eastAsia="Calibri" w:hAnsi="Arial" w:cs="Arial"/>
          <w:color w:val="000000" w:themeColor="text1"/>
          <w:sz w:val="28"/>
          <w:szCs w:val="28"/>
        </w:rPr>
        <w:t>Além disso, a apelante não apresentou plano de pagamento, relação integral de credores</w:t>
      </w:r>
      <w:r>
        <w:rPr>
          <w:rFonts w:ascii="Arial" w:eastAsia="Calibri" w:hAnsi="Arial" w:cs="Arial"/>
          <w:color w:val="808080"/>
          <w:sz w:val="28"/>
          <w:szCs w:val="28"/>
        </w:rPr>
        <w:t xml:space="preserve"> nem</w:t>
      </w:r>
      <w:r>
        <w:rPr>
          <w:rFonts w:ascii="Arial" w:eastAsia="Calibri" w:hAnsi="Arial" w:cs="Arial"/>
          <w:color w:val="000000" w:themeColor="text1"/>
          <w:sz w:val="28"/>
          <w:szCs w:val="28"/>
        </w:rPr>
        <w:t xml:space="preserve"> discriminação de receitas e despesas.</w:t>
      </w:r>
    </w:p>
    <w:p w14:paraId="45C44EBA" w14:textId="77777777" w:rsidR="00FE3F13" w:rsidRDefault="00FE3F13">
      <w:pPr>
        <w:pStyle w:val="Corpodetexto"/>
        <w:spacing w:after="0" w:line="360" w:lineRule="auto"/>
        <w:ind w:firstLine="2268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BD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>Nesse sentido:</w:t>
      </w:r>
    </w:p>
    <w:p w14:paraId="45C44EBE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5C44EBF" w14:textId="6330C99B" w:rsidR="00FE3F13" w:rsidRDefault="00EA68EF">
      <w:pPr>
        <w:spacing w:after="0" w:line="360" w:lineRule="auto"/>
        <w:ind w:left="2268"/>
        <w:jc w:val="both"/>
      </w:pPr>
      <w:commentRangeStart w:id="15"/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“(...) III. A reunião de processos com fundamento no § 3º do artigo 55 pressupõe compatibilidade procedimental, o que não se verifica no caso concreto, pois</w:t>
      </w:r>
      <w:r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a ação de repactuação de dívidas tem procedimento especial inconciliável com o procedimento especial da ação monitória e, além disso, não é destinada à solução de um litígio, mas à repactuação de débitos mediante conciliação ou plano judicial compulsório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, nos termos dos artigos 104-A e 104-B do Código de Defesa do Consumidor.</w:t>
      </w:r>
      <w:r w:rsidR="00A0066C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 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(Acórdão 1975790, 0726455-52.2024.8.07.0000, Relator(a): JAMES EDUARDO OLIVEIRA, 4ª TURMA CÍVEL, data de julgamento: 27/02/2025, publicado no DJe: 13/05/2025.) – Grifei.</w:t>
      </w:r>
      <w:commentRangeEnd w:id="15"/>
      <w:r>
        <w:commentReference w:id="15"/>
      </w:r>
    </w:p>
    <w:p w14:paraId="45C44EC0" w14:textId="77777777" w:rsidR="00FE3F13" w:rsidRDefault="00FE3F13">
      <w:pPr>
        <w:spacing w:after="0" w:line="360" w:lineRule="auto"/>
        <w:ind w:left="2268" w:firstLine="1134"/>
        <w:jc w:val="both"/>
        <w:rPr>
          <w:rFonts w:ascii="Arial" w:eastAsia="Calibri" w:hAnsi="Arial" w:cs="Arial"/>
          <w:color w:val="000000" w:themeColor="text1"/>
          <w:sz w:val="28"/>
          <w:szCs w:val="28"/>
        </w:rPr>
      </w:pPr>
    </w:p>
    <w:p w14:paraId="45C44EC1" w14:textId="77777777" w:rsidR="00FE3F13" w:rsidRDefault="00EA68EF">
      <w:pPr>
        <w:spacing w:after="0" w:line="360" w:lineRule="auto"/>
        <w:jc w:val="center"/>
      </w:pPr>
      <w:r>
        <w:rPr>
          <w:rFonts w:ascii="Arial" w:hAnsi="Arial" w:cs="Arial"/>
          <w:b/>
          <w:bCs/>
          <w:sz w:val="28"/>
          <w:szCs w:val="28"/>
        </w:rPr>
        <w:lastRenderedPageBreak/>
        <w:t>DISPOSITIVO</w:t>
      </w:r>
    </w:p>
    <w:p w14:paraId="45C44EC2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3" w14:textId="5DD7DD75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sz w:val="28"/>
          <w:szCs w:val="28"/>
        </w:rPr>
        <w:t>nego provimento</w:t>
      </w:r>
      <w:r>
        <w:rPr>
          <w:rFonts w:ascii="Arial" w:hAnsi="Arial" w:cs="Arial"/>
          <w:sz w:val="28"/>
          <w:szCs w:val="28"/>
        </w:rPr>
        <w:t xml:space="preserve"> ao apelo dos réus, Gilson José Vieira e Luciene da Silva Vieira, e ao apelo da ré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Ednalva Rodrigues Vieira</w:t>
      </w:r>
      <w:r w:rsidR="00795C11">
        <w:rPr>
          <w:rFonts w:ascii="Arial" w:hAnsi="Arial" w:cs="Arial"/>
          <w:color w:val="808080"/>
          <w:sz w:val="28"/>
          <w:szCs w:val="28"/>
        </w:rPr>
        <w:t>.</w:t>
      </w:r>
    </w:p>
    <w:p w14:paraId="45C44EC4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5" w14:textId="673E21AC" w:rsidR="00FE3F13" w:rsidRDefault="00EA68EF">
      <w:pPr>
        <w:spacing w:after="0" w:line="360" w:lineRule="auto"/>
        <w:ind w:firstLine="2268"/>
        <w:jc w:val="both"/>
      </w:pPr>
      <w:commentRangeStart w:id="16"/>
      <w:r>
        <w:rPr>
          <w:rFonts w:ascii="Arial" w:hAnsi="Arial" w:cs="Arial"/>
          <w:b/>
          <w:bCs/>
          <w:sz w:val="28"/>
          <w:szCs w:val="28"/>
        </w:rPr>
        <w:t xml:space="preserve">Condeno </w:t>
      </w:r>
      <w:r>
        <w:rPr>
          <w:rFonts w:ascii="Arial" w:hAnsi="Arial" w:cs="Arial"/>
          <w:sz w:val="28"/>
          <w:szCs w:val="28"/>
        </w:rPr>
        <w:t xml:space="preserve">os réus/apelantes ao pagamento de honorários recursais que fixo em 1% do valor da condenação (CPC 85 § 11), acrescido da quantia fixada na r. sentença, </w:t>
      </w:r>
      <w:r>
        <w:rPr>
          <w:rFonts w:ascii="Arial" w:hAnsi="Arial" w:cs="Arial"/>
          <w:color w:val="808080"/>
          <w:sz w:val="28"/>
          <w:szCs w:val="28"/>
        </w:rPr>
        <w:t>com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suspensão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da</w:t>
      </w:r>
      <w:r>
        <w:rPr>
          <w:rFonts w:ascii="Arial" w:hAnsi="Arial" w:cs="Arial"/>
          <w:sz w:val="28"/>
          <w:szCs w:val="28"/>
        </w:rPr>
        <w:t xml:space="preserve"> exigibilidade em relação à ré</w:t>
      </w:r>
      <w:r w:rsidR="00795C11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Ednalva Rodrigues Vieira</w:t>
      </w:r>
      <w:r w:rsidR="00795C11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pela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concessão</w:t>
      </w:r>
      <w:r>
        <w:rPr>
          <w:rFonts w:ascii="Arial" w:hAnsi="Arial" w:cs="Arial"/>
          <w:sz w:val="28"/>
          <w:szCs w:val="28"/>
        </w:rPr>
        <w:t xml:space="preserve"> da gratuidade de justiça (CPC 98 § 3º).</w:t>
      </w:r>
      <w:commentRangeEnd w:id="16"/>
      <w:r>
        <w:commentReference w:id="16"/>
      </w:r>
    </w:p>
    <w:p w14:paraId="45C44EC6" w14:textId="77777777" w:rsidR="00FE3F13" w:rsidRDefault="00FE3F1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C44EC7" w14:textId="77777777" w:rsidR="00FE3F13" w:rsidRDefault="00EA68EF">
      <w:pPr>
        <w:spacing w:after="0" w:line="360" w:lineRule="auto"/>
        <w:ind w:firstLine="2268"/>
        <w:jc w:val="both"/>
      </w:pPr>
      <w:r>
        <w:rPr>
          <w:rFonts w:ascii="Arial" w:hAnsi="Arial" w:cs="Arial"/>
          <w:sz w:val="28"/>
          <w:szCs w:val="28"/>
        </w:rPr>
        <w:t>É como voto.</w:t>
      </w:r>
    </w:p>
    <w:p w14:paraId="45C44EC8" w14:textId="77777777" w:rsidR="00FE3F13" w:rsidRDefault="00FE3F13"/>
    <w:p w14:paraId="45C44EC9" w14:textId="77777777" w:rsidR="00FE3F13" w:rsidRDefault="00FE3F13"/>
    <w:p w14:paraId="45C44ECA" w14:textId="77777777" w:rsidR="00FE3F13" w:rsidRDefault="00FE3F13">
      <w:pPr>
        <w:rPr>
          <w:rFonts w:cstheme="minorHAnsi"/>
          <w:color w:val="00B050"/>
        </w:rPr>
      </w:pPr>
    </w:p>
    <w:p w14:paraId="45C44ECB" w14:textId="77777777" w:rsidR="00FE3F13" w:rsidRDefault="00EA68EF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color w:val="00B050"/>
        </w:rPr>
        <w:t xml:space="preserve">SENTENÇA RECORRIDA </w:t>
      </w:r>
    </w:p>
    <w:p w14:paraId="45C44ECC" w14:textId="77777777" w:rsidR="00FE3F13" w:rsidRDefault="00EA68EF">
      <w:r>
        <w:rPr>
          <w:rFonts w:cstheme="minorHAnsi"/>
          <w:color w:val="00B050"/>
        </w:rPr>
        <w:t>Trata-se de ação monitória ajuizada pelo BANCO DO BRASIL S/A contra EDNALVA RODRIGUES VIEIRA, GILSON JOSÉ VIEIRA e LUCIENE DA SILVA VIEIRA.</w:t>
      </w:r>
    </w:p>
    <w:p w14:paraId="45C44ECD" w14:textId="77777777" w:rsidR="00FE3F13" w:rsidRDefault="00EA68EF">
      <w:r>
        <w:rPr>
          <w:rFonts w:cstheme="minorHAnsi"/>
          <w:color w:val="00B050"/>
        </w:rPr>
        <w:t>A parte autora afirmou que celebrou com a parte ré cédula de crédito bancário nº 40/01822-9, no valor originário de R$ 452.979,47, cujo vencimento ocorreu em parcela única, tendo havido inadimplemento da obrigação, o que culminou em saldo devedor atualizado de R$ 593.350,76.</w:t>
      </w:r>
    </w:p>
    <w:p w14:paraId="45C44ECE" w14:textId="77777777" w:rsidR="00FE3F13" w:rsidRDefault="00EA68EF">
      <w:r>
        <w:rPr>
          <w:rFonts w:cstheme="minorHAnsi"/>
          <w:color w:val="00B050"/>
        </w:rPr>
        <w:t>Ao final, requereu a procedência do pedido inicial e a condenação dos réus ao pagamento da importância mencionada (R$ 593.350,76).</w:t>
      </w:r>
    </w:p>
    <w:p w14:paraId="45C44ECF" w14:textId="77777777" w:rsidR="00FE3F13" w:rsidRDefault="00EA68EF">
      <w:r>
        <w:rPr>
          <w:rFonts w:cstheme="minorHAnsi"/>
          <w:color w:val="00B050"/>
        </w:rPr>
        <w:t>A petição inicial veio acompanhada dos documentos indispensáveis à propositura da demanda.</w:t>
      </w:r>
    </w:p>
    <w:p w14:paraId="45C44ED0" w14:textId="77777777" w:rsidR="00FE3F13" w:rsidRDefault="00EA68EF">
      <w:r>
        <w:rPr>
          <w:rFonts w:cstheme="minorHAnsi"/>
          <w:color w:val="00B050"/>
        </w:rPr>
        <w:t>As custas iniciais foram devidamente recolhidas (IDs 200122418 e 200122416).</w:t>
      </w:r>
    </w:p>
    <w:p w14:paraId="45C44ED1" w14:textId="77777777" w:rsidR="00FE3F13" w:rsidRDefault="00EA68EF">
      <w:r>
        <w:rPr>
          <w:rFonts w:cstheme="minorHAnsi"/>
          <w:color w:val="00B050"/>
        </w:rPr>
        <w:t>A ré Ednalva Rodrigues Vieira apresentou exceção de pré-executividade (ID 208124369), arguindo, em síntese, a inexigibilidade do título, a necessidade de outorga conjugal, a incidência do Código de Defesa do Consumidor e situação de superendividamento, além de requerer os benefícios da gratuidade de justiça.</w:t>
      </w:r>
    </w:p>
    <w:p w14:paraId="45C44ED2" w14:textId="77777777" w:rsidR="00FE3F13" w:rsidRDefault="00EA68EF">
      <w:r>
        <w:rPr>
          <w:rFonts w:cstheme="minorHAnsi"/>
          <w:color w:val="00B050"/>
        </w:rPr>
        <w:t>Os réus Gilson José Vieira e Luciene da Silva Vieira, citados por edital (ID. 248003710), foram representados pela Defensoria Pública, que apresentou embargos à monitória (ID 262365567), nos quais sustentou a falta de liquidez e de transparência do título e, no mais, impugnou os pedidos por negativa geral.</w:t>
      </w:r>
    </w:p>
    <w:p w14:paraId="45C44ED3" w14:textId="77777777" w:rsidR="00FE3F13" w:rsidRDefault="00EA68EF">
      <w:r>
        <w:rPr>
          <w:rFonts w:cstheme="minorHAnsi"/>
          <w:color w:val="00B050"/>
        </w:rPr>
        <w:lastRenderedPageBreak/>
        <w:t>O autor apresentou impugnação aos embargos (ID 212275180 e 265074714).</w:t>
      </w:r>
    </w:p>
    <w:p w14:paraId="45C44ED4" w14:textId="77777777" w:rsidR="00FE3F13" w:rsidRDefault="00EA68EF">
      <w:r>
        <w:rPr>
          <w:rFonts w:cstheme="minorHAnsi"/>
          <w:color w:val="00B050"/>
        </w:rPr>
        <w:t>Vieram os autos conclusos.</w:t>
      </w:r>
    </w:p>
    <w:p w14:paraId="45C44ED5" w14:textId="77777777" w:rsidR="00FE3F13" w:rsidRDefault="00EA68EF">
      <w:r>
        <w:rPr>
          <w:rFonts w:cstheme="minorHAnsi"/>
          <w:color w:val="00B050"/>
        </w:rPr>
        <w:t>É a síntese do necessário.</w:t>
      </w:r>
    </w:p>
    <w:p w14:paraId="45C44ED6" w14:textId="77777777" w:rsidR="00FE3F13" w:rsidRDefault="00EA68EF">
      <w:r>
        <w:rPr>
          <w:rFonts w:cstheme="minorHAnsi"/>
          <w:color w:val="00B050"/>
        </w:rPr>
        <w:t>Decido.</w:t>
      </w:r>
    </w:p>
    <w:p w14:paraId="45C44ED7" w14:textId="77777777" w:rsidR="00FE3F13" w:rsidRDefault="00EA68EF">
      <w:r>
        <w:rPr>
          <w:rFonts w:cstheme="minorHAnsi"/>
          <w:color w:val="00B050"/>
        </w:rPr>
        <w:t>II – FUNDAMENTAÇÃO</w:t>
      </w:r>
    </w:p>
    <w:p w14:paraId="45C44ED8" w14:textId="77777777" w:rsidR="00FE3F13" w:rsidRDefault="00EA68EF">
      <w:r>
        <w:rPr>
          <w:rFonts w:cstheme="minorHAnsi"/>
          <w:color w:val="00B050"/>
        </w:rPr>
        <w:t>Procedo ao julgamento antecipado da lide, nos moldes do inciso I do artigo 355 do Código de Processo Civil. Com efeito, "Cabe ao magistrado, como destinatário final da prova, proferir o julgamento antecipado da lide se a matéria de mérito for unicamente de direito ou, se de direito e de fato, os autos já se encontrarem suficientemente instruídos, sem a necessidade de maior dilação probatória" (Acórdão nº 1168600, Relatora Maria de Lourdes, 3ª Turma Cível, DJ 05/05/2019 p. 542/546).</w:t>
      </w:r>
    </w:p>
    <w:p w14:paraId="45C44ED9" w14:textId="77777777" w:rsidR="00FE3F13" w:rsidRDefault="00EA68EF">
      <w:r>
        <w:rPr>
          <w:rFonts w:cstheme="minorHAnsi"/>
          <w:color w:val="00B050"/>
        </w:rPr>
        <w:t>Pedido de gratuidade de justiça</w:t>
      </w:r>
    </w:p>
    <w:p w14:paraId="45C44EDA" w14:textId="77777777" w:rsidR="00FE3F13" w:rsidRDefault="00EA68EF">
      <w:r>
        <w:rPr>
          <w:rFonts w:cstheme="minorHAnsi"/>
          <w:color w:val="00B050"/>
        </w:rPr>
        <w:t>A ré Ednalva Rodrigues Vieira requereu a concessão dos benefícios da gratuidade de justiça, apresentando declaração de hipossuficiência e extratos bancários que demonstram movimentação financeira de baixo valor (IDs 208124371 e 208124372).</w:t>
      </w:r>
    </w:p>
    <w:p w14:paraId="45C44EDB" w14:textId="77777777" w:rsidR="00FE3F13" w:rsidRDefault="00EA68EF">
      <w:r>
        <w:rPr>
          <w:rFonts w:cstheme="minorHAnsi"/>
          <w:color w:val="00B050"/>
        </w:rPr>
        <w:t>Defiro, portanto, o benefício da gratuidade de justiça à ré Ednalva Rodrigues Vieira.</w:t>
      </w:r>
    </w:p>
    <w:p w14:paraId="45C44EDC" w14:textId="77777777" w:rsidR="00FE3F13" w:rsidRDefault="00EA68EF">
      <w:r>
        <w:rPr>
          <w:rFonts w:cstheme="minorHAnsi"/>
          <w:color w:val="00B050"/>
        </w:rPr>
        <w:t xml:space="preserve">Da peça defensiva apresentada por Ednalva Rodrigues Vieira </w:t>
      </w:r>
    </w:p>
    <w:p w14:paraId="45C44EDD" w14:textId="77777777" w:rsidR="00FE3F13" w:rsidRDefault="00EA68EF">
      <w:r>
        <w:rPr>
          <w:rFonts w:cstheme="minorHAnsi"/>
          <w:color w:val="00B050"/>
        </w:rPr>
        <w:t>A ré Ednalva Rodrigues Vieira apresentou peça intitulada "exceção de pré-executividade". Registro que, em se tratando de ação monitória — procedimento de natureza cognitiva —, a defesa típica se opera por meio de embargos à monitória, nos termos do art. 702 do Código de Processo Civil, sendo a exceção de pré-executividade instrumento próprio do processo de execução.</w:t>
      </w:r>
    </w:p>
    <w:p w14:paraId="45C44EDE" w14:textId="77777777" w:rsidR="00FE3F13" w:rsidRDefault="00EA68EF">
      <w:r>
        <w:rPr>
          <w:rFonts w:cstheme="minorHAnsi"/>
          <w:color w:val="00B050"/>
        </w:rPr>
        <w:t>Não obstante, em atenção ao princípio da instrumentalidade das formas e considerando que a peça foi protocolada dentro do prazo legal para oferecimento de embargos e contém matéria de defesa substancial, recebo-a como embargos à monitória, para que as questões suscitadas sejam devidamente apreciadas.</w:t>
      </w:r>
    </w:p>
    <w:p w14:paraId="45C44EDF" w14:textId="77777777" w:rsidR="00FE3F13" w:rsidRDefault="00EA68EF">
      <w:r>
        <w:rPr>
          <w:rFonts w:cstheme="minorHAnsi"/>
          <w:color w:val="00B050"/>
        </w:rPr>
        <w:t>Inexigibilidade por ausência de outorga conjugal</w:t>
      </w:r>
    </w:p>
    <w:p w14:paraId="45C44EE0" w14:textId="77777777" w:rsidR="00FE3F13" w:rsidRDefault="00EA68EF">
      <w:r>
        <w:rPr>
          <w:rFonts w:cstheme="minorHAnsi"/>
          <w:color w:val="00B050"/>
        </w:rPr>
        <w:t>No tocante à alegação de inexigibilidade do título perante a emitente por ausência de outorga conjugal, não se sustenta a tese da parte ré.</w:t>
      </w:r>
    </w:p>
    <w:p w14:paraId="45C44EE1" w14:textId="77777777" w:rsidR="00FE3F13" w:rsidRDefault="00EA68EF">
      <w:r>
        <w:rPr>
          <w:rFonts w:cstheme="minorHAnsi"/>
          <w:color w:val="00B050"/>
        </w:rPr>
        <w:t>A cédula de crédito bancário é título de crédito típico, regido pela Lei nº 10.931/2004, que possui disciplina própria. A jurisprudência do Superior Tribunal de Justiça é firme no sentido de que a exigência de outorga conjugal prevista no art. 1.647, III, do Código Civil não se aplica aos títulos de crédito típicos ou nominados, que possuem regramento próprio, devendo ser observada a ressalva do art. 903 do Código Civil.</w:t>
      </w:r>
    </w:p>
    <w:p w14:paraId="45C44EE2" w14:textId="77777777" w:rsidR="00FE3F13" w:rsidRDefault="00EA68EF">
      <w:r>
        <w:rPr>
          <w:rFonts w:cstheme="minorHAnsi"/>
          <w:color w:val="00B050"/>
        </w:rPr>
        <w:t>Nesse sentido: "É firme a jurisprudência desta Corte Superior no sentido de que a exigência da outorga conjugal não pode ser estendida, irrestritamente, a todos os títulos de crédito, sobretudo aos típicos ou nominados, que possuem regramento próprio" (STJ, AgInt no AREsp 1.725.638/SP, Terceira Turma, Rel. Min. Ricardo Villas Boas Cueva, j. 05/09/2022).</w:t>
      </w:r>
    </w:p>
    <w:p w14:paraId="45C44EE3" w14:textId="77777777" w:rsidR="00FE3F13" w:rsidRDefault="00EA68EF">
      <w:r>
        <w:rPr>
          <w:rFonts w:cstheme="minorHAnsi"/>
          <w:color w:val="00B050"/>
        </w:rPr>
        <w:lastRenderedPageBreak/>
        <w:t>Ademais, ainda que se entendesse pela necessidade de outorga conjugal, a sua eventual ausência não importaria nulidade do título, mas apenas ineficácia relativa em relação ao cônjuge que não anuiu, nos termos do art. 1.649 do Código Civil, preservando-se a obrigação da emitente.</w:t>
      </w:r>
    </w:p>
    <w:p w14:paraId="45C44EE4" w14:textId="77777777" w:rsidR="00FE3F13" w:rsidRDefault="00EA68EF">
      <w:r>
        <w:rPr>
          <w:rFonts w:cstheme="minorHAnsi"/>
          <w:color w:val="00B050"/>
        </w:rPr>
        <w:t>Não se vislumbra, no caso, vício capaz de invalidar a obrigação.</w:t>
      </w:r>
    </w:p>
    <w:p w14:paraId="45C44EE5" w14:textId="77777777" w:rsidR="00FE3F13" w:rsidRDefault="00EA68EF">
      <w:r>
        <w:rPr>
          <w:rFonts w:cstheme="minorHAnsi"/>
          <w:color w:val="00B050"/>
        </w:rPr>
        <w:t>MÉRITO</w:t>
      </w:r>
    </w:p>
    <w:p w14:paraId="45C44EE6" w14:textId="77777777" w:rsidR="00FE3F13" w:rsidRDefault="00EA68EF">
      <w:r>
        <w:rPr>
          <w:rFonts w:cstheme="minorHAnsi"/>
          <w:color w:val="00B050"/>
        </w:rPr>
        <w:t xml:space="preserve">Presentes os pressupostos processuais e as condições da ação, passo ao exame do mérito da controvérsia submetida ao crivo jurisdicional. </w:t>
      </w:r>
    </w:p>
    <w:p w14:paraId="45C44EE7" w14:textId="77777777" w:rsidR="00FE3F13" w:rsidRDefault="00EA68EF">
      <w:r>
        <w:rPr>
          <w:rFonts w:cstheme="minorHAnsi"/>
          <w:color w:val="00B050"/>
        </w:rPr>
        <w:t>Consoante relatado, pretende a parte autora obter provimento jurisdicional que constitua título executivo judicial e condene os réus ao pagamento de quantia decorrente de cédula de crédito bancário inadimplida, no valor atualizado de R$ 593.350,76.</w:t>
      </w:r>
    </w:p>
    <w:p w14:paraId="45C44EE8" w14:textId="77777777" w:rsidR="00FE3F13" w:rsidRDefault="00EA68EF">
      <w:r>
        <w:rPr>
          <w:rFonts w:cstheme="minorHAnsi"/>
          <w:color w:val="00B050"/>
        </w:rPr>
        <w:t>Os réus, a seu turno, defendem a aplicação do Código de Defesa do Consumidor, a situação de superendividamento e, por meio da Curadoria Especial, a falta de liquidez do débito, formulando contestação por negativa geral.</w:t>
      </w:r>
    </w:p>
    <w:p w14:paraId="45C44EE9" w14:textId="77777777" w:rsidR="00FE3F13" w:rsidRDefault="00EA68EF">
      <w:r>
        <w:rPr>
          <w:rFonts w:cstheme="minorHAnsi"/>
          <w:color w:val="00B050"/>
        </w:rPr>
        <w:t>O art. 700 do Código de Processo Civil estabelece que "a ação monitória pode ser proposta por aquele que afirmar, com base em prova escrita sem eficácia de título executivo, ter direito a exigir do devedor capaz: I - o pagamento de quantia em dinheiro; II - a entrega de coisa fungível ou infungível ou de bem móvel ou imóvel; III - o adimplemento de obrigação de fazer ou não fazer."</w:t>
      </w:r>
    </w:p>
    <w:p w14:paraId="45C44EEA" w14:textId="77777777" w:rsidR="00FE3F13" w:rsidRDefault="00EA68EF">
      <w:r>
        <w:rPr>
          <w:rFonts w:cstheme="minorHAnsi"/>
          <w:color w:val="00B050"/>
        </w:rPr>
        <w:t>No caso dos autos, a cédula de crédito bancário acostada no ID 200122407 comprova a formalização da relação contratual entre as partes, identificando Ednalva Rodrigues Vieira como emitente e Gilson José Vieira e Luciene da Silva Vieira como avalistas.</w:t>
      </w:r>
    </w:p>
    <w:p w14:paraId="45C44EEB" w14:textId="77777777" w:rsidR="00FE3F13" w:rsidRDefault="00EA68EF">
      <w:r>
        <w:rPr>
          <w:rFonts w:cstheme="minorHAnsi"/>
          <w:color w:val="00B050"/>
        </w:rPr>
        <w:t>O instrumento discrimina o valor mutuado (R$ 452.979,47), a finalidade da operação (custeio agropecuário), o vencimento em parcela única (24/02/2024) e os encargos aplicáveis — juros remuneratórios de 17% ao ano, capitalizados mensalmente; juros de mora de 1% ao mês; e multa contratual de 2% sobre o saldo devedor final.</w:t>
      </w:r>
    </w:p>
    <w:p w14:paraId="45C44EEC" w14:textId="77777777" w:rsidR="00FE3F13" w:rsidRDefault="00EA68EF">
      <w:r>
        <w:rPr>
          <w:rFonts w:cstheme="minorHAnsi"/>
          <w:color w:val="00B050"/>
        </w:rPr>
        <w:t>O demonstrativo de débito do ID 200122408 detalha, mês a mês, a evolução da dívida desde a utilização do crédito em 27/02/2023 até 28/06/2024, discriminando os lançamentos de capital, juros remuneratórios, juros de mora e multa, resultando no saldo devedor de R$ 593.350,76.</w:t>
      </w:r>
    </w:p>
    <w:p w14:paraId="45C44EED" w14:textId="77777777" w:rsidR="00FE3F13" w:rsidRDefault="00EA68EF">
      <w:r>
        <w:rPr>
          <w:rFonts w:cstheme="minorHAnsi"/>
          <w:color w:val="00B050"/>
        </w:rPr>
        <w:t>A documentação apresentada é idônea e suficiente para demonstrar a existência da obrigação e o inadimplemento pela parte ré, atendendo aos requisitos do art. 700 do Código de Processo Civil.</w:t>
      </w:r>
    </w:p>
    <w:p w14:paraId="45C44EEE" w14:textId="77777777" w:rsidR="00FE3F13" w:rsidRDefault="00EA68EF">
      <w:r>
        <w:rPr>
          <w:rFonts w:cstheme="minorHAnsi"/>
          <w:color w:val="00B050"/>
        </w:rPr>
        <w:t>Nesse sentido, a Súmula 247 do Superior Tribunal de Justiça pacificou que “o contrato de abertura de crédito em conta corrente, acompanhado do demonstrativo de débito, constitui documento hábil para o ajuizamento da ação monitória".</w:t>
      </w:r>
    </w:p>
    <w:p w14:paraId="45C44EEF" w14:textId="77777777" w:rsidR="00FE3F13" w:rsidRDefault="00EA68EF">
      <w:r>
        <w:rPr>
          <w:rFonts w:cstheme="minorHAnsi"/>
          <w:color w:val="00B050"/>
        </w:rPr>
        <w:t>Da inaplicabilidade do Código de Defesa do Consumidor</w:t>
      </w:r>
    </w:p>
    <w:p w14:paraId="45C44EF0" w14:textId="77777777" w:rsidR="00FE3F13" w:rsidRDefault="00EA68EF">
      <w:r>
        <w:rPr>
          <w:rFonts w:cstheme="minorHAnsi"/>
          <w:color w:val="00B050"/>
        </w:rPr>
        <w:t>A ré sustentou a aplicação das normas consumeristas à relação jurídica.</w:t>
      </w:r>
    </w:p>
    <w:p w14:paraId="45C44EF1" w14:textId="77777777" w:rsidR="00FE3F13" w:rsidRDefault="00EA68EF">
      <w:r>
        <w:rPr>
          <w:rFonts w:cstheme="minorHAnsi"/>
          <w:color w:val="00B050"/>
        </w:rPr>
        <w:t xml:space="preserve">Consigno que a cédula de crédito bancário em questão foi emitida com a finalidade específica de custeio agropecuário, conforme expressamente consignado no instrumento do ID 200122407 e no demonstrativo do ID 200122408. A operação destinou-se, portanto, ao </w:t>
      </w:r>
      <w:r>
        <w:rPr>
          <w:rFonts w:cstheme="minorHAnsi"/>
          <w:color w:val="00B050"/>
        </w:rPr>
        <w:lastRenderedPageBreak/>
        <w:t>fomento da atividade produtiva da emitente, qualificada na própria petição inicial como pecuarista.</w:t>
      </w:r>
    </w:p>
    <w:p w14:paraId="45C44EF2" w14:textId="77777777" w:rsidR="00FE3F13" w:rsidRDefault="00EA68EF">
      <w:r>
        <w:rPr>
          <w:rFonts w:cstheme="minorHAnsi"/>
          <w:color w:val="00B050"/>
        </w:rPr>
        <w:t>Nesse contexto, não se configura relação de consumo na acepção do art. 2º do Código de Defesa do Consumidor, uma vez que o crédito não foi utilizado como destinatário final, mas como insumo para a atividade econômica da mutuária.</w:t>
      </w:r>
    </w:p>
    <w:p w14:paraId="45C44EF3" w14:textId="77777777" w:rsidR="00FE3F13" w:rsidRDefault="00EA68EF">
      <w:r>
        <w:rPr>
          <w:rFonts w:cstheme="minorHAnsi"/>
          <w:color w:val="00B050"/>
        </w:rPr>
        <w:t>De todo modo, ainda que se admitisse a incidência das normas consumeristas, tal circunstância, por si só, não conduziria à nulidade do contrato ou à inexigibilidade do débito. A parte ré não trouxe aos autos elementos concretos capazes de evidenciar abusividade dos encargos ou ilegalidade das cláusulas contratuais, limitando-se a alegações genéricas.</w:t>
      </w:r>
    </w:p>
    <w:p w14:paraId="45C44EF4" w14:textId="77777777" w:rsidR="00FE3F13" w:rsidRDefault="00EA68EF">
      <w:r>
        <w:rPr>
          <w:rFonts w:cstheme="minorHAnsi"/>
          <w:color w:val="00B050"/>
        </w:rPr>
        <w:t>Do superendividamento</w:t>
      </w:r>
    </w:p>
    <w:p w14:paraId="45C44EF5" w14:textId="77777777" w:rsidR="00FE3F13" w:rsidRDefault="00EA68EF">
      <w:r>
        <w:rPr>
          <w:rFonts w:cstheme="minorHAnsi"/>
          <w:color w:val="00B050"/>
        </w:rPr>
        <w:t>Quanto à alegação de superendividamento, a parte ré não se desincumbiu do ônus de demonstrar que o pagamento de suas dívidas comprometeria seu mínimo existencial.</w:t>
      </w:r>
    </w:p>
    <w:p w14:paraId="45C44EF6" w14:textId="77777777" w:rsidR="00FE3F13" w:rsidRDefault="00EA68EF">
      <w:r>
        <w:rPr>
          <w:rFonts w:cstheme="minorHAnsi"/>
          <w:color w:val="00B050"/>
        </w:rPr>
        <w:t>A mera apresentação de extratos bancários com movimentações de baixo valor não é suficiente para caracterizar o superendividamento nos termos do art. 54-A do Código de Defesa do Consumidor.</w:t>
      </w:r>
    </w:p>
    <w:p w14:paraId="45C44EF7" w14:textId="77777777" w:rsidR="00FE3F13" w:rsidRDefault="00EA68EF">
      <w:r>
        <w:rPr>
          <w:rFonts w:cstheme="minorHAnsi"/>
          <w:color w:val="00B050"/>
        </w:rPr>
        <w:t>Ademais, a pretensão de repactuação de dívidas prevista na Lei 14.181/2021 constitui procedimento próprio, que não se confunde com a defesa nos embargos à monitória.</w:t>
      </w:r>
    </w:p>
    <w:p w14:paraId="45C44EF8" w14:textId="77777777" w:rsidR="00FE3F13" w:rsidRDefault="00EA68EF">
      <w:r>
        <w:rPr>
          <w:rFonts w:cstheme="minorHAnsi"/>
          <w:color w:val="00B050"/>
        </w:rPr>
        <w:t>Dos embargos à monitória pela Curadoria Especial</w:t>
      </w:r>
    </w:p>
    <w:p w14:paraId="45C44EF9" w14:textId="77777777" w:rsidR="00FE3F13" w:rsidRDefault="00EA68EF">
      <w:r>
        <w:rPr>
          <w:rFonts w:cstheme="minorHAnsi"/>
          <w:color w:val="00B050"/>
        </w:rPr>
        <w:t>Os embargos à monitória apresentados pela Defensoria Pública, na qualidade de Curadoria Especial, em favor de Gilson José Vieira e Luciene da Silva Vieira, limitaram-se à contestação por negativa geral e à impugnação da liquidez do débito.</w:t>
      </w:r>
    </w:p>
    <w:p w14:paraId="45C44EFA" w14:textId="77777777" w:rsidR="00FE3F13" w:rsidRDefault="00EA68EF">
      <w:r>
        <w:rPr>
          <w:rFonts w:cstheme="minorHAnsi"/>
          <w:color w:val="00B050"/>
        </w:rPr>
        <w:t>De acordo com o art. 702, § 2º, do CPC, "quando o réu alegar que o autor pleiteia quantia superior à devida, cumprir-lhe-á declarar de imediato o valor que entende correto, apresentando demonstrativo discriminado e atualizado da dívida", complementando o § 3º do referido artigo que "não apontado o valor correto ou não apresentado o demonstrativo, os embargos serão liminarmente rejeitados, se esse for o seu único fundamento, e, se houver outro fundamento, os embargos serão processados, mas o juiz deixará de examinar a alegação de excesso".</w:t>
      </w:r>
    </w:p>
    <w:p w14:paraId="45C44EFB" w14:textId="77777777" w:rsidR="00FE3F13" w:rsidRDefault="00EA68EF">
      <w:r>
        <w:rPr>
          <w:rFonts w:cstheme="minorHAnsi"/>
          <w:color w:val="00B050"/>
        </w:rPr>
        <w:t>Na hipótese, a Curadoria Especial apresenta fundamentos genéricos acerca da falta de transparência da planilha, mas não apontou o excesso, muito menos o valor que entende devido.</w:t>
      </w:r>
    </w:p>
    <w:p w14:paraId="45C44EFC" w14:textId="77777777" w:rsidR="00FE3F13" w:rsidRDefault="00EA68EF">
      <w:r>
        <w:rPr>
          <w:rFonts w:cstheme="minorHAnsi"/>
          <w:color w:val="00B050"/>
        </w:rPr>
        <w:t>Assentadas tais premissas, verifico que, apesar do arrazoado da parte embargante, ela não conseguiu comprovar nenhuma ilegalidade ou abusividade no contrato entabulado com a parte autora, nem tampouco logrou êxito em apontar, justificadamente, nenhum excesso nos cálculos apresentados, os quais estão claramente demonstrados no demonstrativo de conta vinculada do ID 200122408.</w:t>
      </w:r>
    </w:p>
    <w:p w14:paraId="45C44EFD" w14:textId="77777777" w:rsidR="00FE3F13" w:rsidRDefault="00EA68EF">
      <w:r>
        <w:rPr>
          <w:rFonts w:cstheme="minorHAnsi"/>
          <w:color w:val="00B050"/>
        </w:rPr>
        <w:t>Portanto, ausente a demonstração de cobranças abusivas, excessivas ou ilegais por parte da instituição financeira (inciso II do art. 373 do CPC) e diante da ausência de prova do pagamento da dívida, a rejeição dos embargos à monitória, portanto, é medida que se impõe.</w:t>
      </w:r>
    </w:p>
    <w:p w14:paraId="45C44EFE" w14:textId="77777777" w:rsidR="00FE3F13" w:rsidRDefault="00EA68EF">
      <w:r>
        <w:rPr>
          <w:rFonts w:cstheme="minorHAnsi"/>
          <w:color w:val="00B050"/>
        </w:rPr>
        <w:t>A procedência do pedido, por consequência, é medida que se impõe.</w:t>
      </w:r>
    </w:p>
    <w:p w14:paraId="45C44EFF" w14:textId="77777777" w:rsidR="00FE3F13" w:rsidRDefault="00EA68EF">
      <w:r>
        <w:rPr>
          <w:rFonts w:cstheme="minorHAnsi"/>
          <w:color w:val="00B050"/>
        </w:rPr>
        <w:lastRenderedPageBreak/>
        <w:t>III - DISPOSITIVO</w:t>
      </w:r>
    </w:p>
    <w:p w14:paraId="45C44F00" w14:textId="77777777" w:rsidR="00FE3F13" w:rsidRDefault="00EA68EF">
      <w:r>
        <w:rPr>
          <w:rFonts w:cstheme="minorHAnsi"/>
          <w:color w:val="00B050"/>
        </w:rPr>
        <w:t>Ante o exposto, julgo PROCEDENTE o pedido, nos termos do inciso I do art. 487 do CPC, e converto, de pleno direito, o mandado monitório inicial em título executivo judicial, para condenar os réus EDNALVA RODRIGUES VIEIRA, GILSON JOSÉ VIEIRA e LUCIENE DA SILVA VIEIRA ao pagamento da quantia de R$ 593.350,76, acrescida de correção monetária pelo IPCA e de juros de mora pela taxa Selic (observando o abatimento de que trata o §1º, do art. 406, do Código Civil) a partir da data da última atualização constante dos autos (28/06/2024 - planilha de ID. 200122408).</w:t>
      </w:r>
    </w:p>
    <w:p w14:paraId="45C44F01" w14:textId="77777777" w:rsidR="00FE3F13" w:rsidRDefault="00EA68EF">
      <w:r>
        <w:rPr>
          <w:rFonts w:cstheme="minorHAnsi"/>
          <w:color w:val="00B050"/>
        </w:rPr>
        <w:t>Condeno a parte ré ao pagamento das custas processuais e dos honorários advocatícios, que fixo em 10% (dez por cento) do valor atualizado da condenação, com fulcro no art. 85, § 2º, do CPC, ressalvada a gratuidade de justiça concedida à ré Ednalva Rodrigues Vieira, nos termos do art. 98, § 3º, do CPC.</w:t>
      </w:r>
    </w:p>
    <w:p w14:paraId="45C44F02" w14:textId="77777777" w:rsidR="00FE3F13" w:rsidRDefault="00EA68EF">
      <w:r>
        <w:rPr>
          <w:rFonts w:cstheme="minorHAnsi"/>
          <w:color w:val="00B050"/>
        </w:rPr>
        <w:t xml:space="preserve">Sentença registrada eletronicamente nesta data. Publique-se. Intimem-se. </w:t>
      </w:r>
    </w:p>
    <w:p w14:paraId="45C44F03" w14:textId="77777777" w:rsidR="00FE3F13" w:rsidRDefault="00EA68EF">
      <w:r>
        <w:rPr>
          <w:rFonts w:cstheme="minorHAnsi"/>
          <w:color w:val="00B050"/>
        </w:rPr>
        <w:t>Após o trânsito em julgado, ausentes novos requerimentos, arquivem-se os autos, com as cautelas de estilo.</w:t>
      </w:r>
    </w:p>
    <w:p w14:paraId="45C44F04" w14:textId="77777777" w:rsidR="00FE3F13" w:rsidRDefault="00FE3F13">
      <w:pPr>
        <w:rPr>
          <w:rFonts w:cstheme="minorHAnsi"/>
          <w:color w:val="00B050"/>
        </w:rPr>
      </w:pPr>
    </w:p>
    <w:sectPr w:rsidR="00FE3F13">
      <w:footerReference w:type="default" r:id="rId15"/>
      <w:pgSz w:w="11906" w:h="16838"/>
      <w:pgMar w:top="1417" w:right="1701" w:bottom="1417" w:left="1701" w:header="0" w:footer="708" w:gutter="0"/>
      <w:cols w:space="720"/>
      <w:formProt w:val="0"/>
      <w:docGrid w:linePitch="36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 desconhecido" w:date="2026-09-10T22:20:00Z" w:initials="">
    <w:p w14:paraId="45C44F07" w14:textId="77777777" w:rsidR="00FE3F13" w:rsidRDefault="008A4B95">
      <w:r>
        <w:rPr>
          <w:rStyle w:val="Refdecomentrio"/>
        </w:rPr>
        <w:annotationRef/>
      </w:r>
      <w:r w:rsidR="00EA68EF">
        <w:rPr>
          <w:sz w:val="24"/>
          <w:szCs w:val="24"/>
          <w:lang w:val="en-US" w:bidi="en-US"/>
        </w:rPr>
        <w:t>Conclusão: 03/09/2026</w:t>
      </w:r>
    </w:p>
    <w:p w14:paraId="45C44F08" w14:textId="77777777" w:rsidR="00FE3F13" w:rsidRDefault="00EA68EF">
      <w:r>
        <w:rPr>
          <w:sz w:val="24"/>
          <w:szCs w:val="24"/>
          <w:lang w:val="en-US" w:bidi="en-US"/>
        </w:rPr>
        <w:t>Entrega: 11/09/2026</w:t>
      </w:r>
    </w:p>
    <w:p w14:paraId="45C44F09" w14:textId="77777777" w:rsidR="00FE3F13" w:rsidRDefault="00EA68EF">
      <w:r>
        <w:rPr>
          <w:sz w:val="24"/>
          <w:szCs w:val="24"/>
          <w:lang w:val="en-US" w:bidi="en-US"/>
        </w:rPr>
        <w:t>Certeza: 9</w:t>
      </w:r>
    </w:p>
  </w:comment>
  <w:comment w:id="1" w:author="Marcia Vilela Alves - GDACA" w:date="2026-09-15T18:00:00Z" w:initials="MV">
    <w:p w14:paraId="7F070A6B" w14:textId="77777777" w:rsidR="000A5502" w:rsidRDefault="000A5502" w:rsidP="000A550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2" w:author="Marcos Dwayne Saraiva Costa - GDSXSR" w:date="2026-10-31T15:30:00Z" w:initials="MDSCG">
    <w:p w14:paraId="680B0D29" w14:textId="77777777" w:rsidR="00795C11" w:rsidRDefault="00795C11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Voto do Gab do Des Camanho</w:t>
      </w:r>
    </w:p>
    <w:p w14:paraId="5150FEB7" w14:textId="77777777" w:rsidR="00795C11" w:rsidRDefault="00795C11">
      <w:pPr>
        <w:pStyle w:val="Textodecomentrio"/>
        <w:rPr>
          <w:lang w:val="pt-BR"/>
        </w:rPr>
      </w:pPr>
    </w:p>
    <w:p w14:paraId="559EBDD7" w14:textId="59E5AFDA" w:rsidR="00795C11" w:rsidRPr="00795C11" w:rsidRDefault="00795C11">
      <w:pPr>
        <w:pStyle w:val="Textodecomentrio"/>
        <w:rPr>
          <w:lang w:val="pt-BR"/>
        </w:rPr>
      </w:pPr>
      <w:r>
        <w:rPr>
          <w:lang w:val="pt-BR"/>
        </w:rPr>
        <w:t>Revisado</w:t>
      </w:r>
    </w:p>
  </w:comment>
  <w:comment w:id="3" w:author="Assessor GDSXSR" w:date="2026-10-31T00:13:00Z" w:initials="RG">
    <w:p w14:paraId="35EB5EA6" w14:textId="77777777" w:rsidR="0065461F" w:rsidRDefault="00995DCC">
      <w:r>
        <w:annotationRef/>
      </w:r>
      <w:r>
        <w:t xml:space="preserve">ASSESSOR GDSXSR — Minuta ACA: enxuguei a ementa em cerca de 25% (de 563 para 413 palavras) e a fundamentação do voto em cerca de 40% (de 1.509 para 901), podando </w:t>
      </w:r>
      <w:r>
        <w:t>redundâncias e mantendo as citações de lei, súmula e acórdão, os documentos dos autos e os trechos da sentença que sustentam o voto; o que saiu da transcrição da sentença está marcado com “(...)” e a sentença integral segue ao final. Ajustes mecânicos: nom</w:t>
      </w:r>
      <w:r>
        <w:t>e do réu sem “NETO” (nos autos, Gilson José Vieira), IDs do PJe de 2º grau, referências compactas, negritos, amarelos e “– Grifei” (C-02, C-20, C-28, C-42, C-43, C-54).</w:t>
      </w:r>
    </w:p>
  </w:comment>
  <w:comment w:id="4" w:author="Assessor GDSXSR" w:date="2026-10-31T00:13:00Z" w:initials="RG">
    <w:p w14:paraId="219AE3D1" w14:textId="77777777" w:rsidR="0065461F" w:rsidRDefault="00995DCC">
      <w:r>
        <w:annotationRef/>
      </w:r>
      <w:r>
        <w:t>ASSESSOR GDSXSR — Item 1 sem “pessoas naturais”: os réus já estão qualificados pelo pa</w:t>
      </w:r>
      <w:r>
        <w:t>pel de emitente e avalistas (C-34 v60), com as partes nomeadas e o valor da causa ao final (C-34A). Alterei também “saldo devedor atualizado” por valor da causa.</w:t>
      </w:r>
    </w:p>
  </w:comment>
  <w:comment w:id="5" w:author="Assessor GDSXSR" w:date="2026-10-31T00:13:00Z" w:initials="RG">
    <w:p w14:paraId="4E2296C7" w14:textId="77777777" w:rsidR="0065461F" w:rsidRDefault="00995DCC">
      <w:r>
        <w:annotationRef/>
      </w:r>
      <w:r>
        <w:t>ASSESSOR GDSXSR — Relatório ajustado à fórmula do perfil APC (“Apelo dos réus, NOME (ID …), e</w:t>
      </w:r>
      <w:r>
        <w:t>m que alegam, em síntese, que: 1) …”; “Contrarrazões (ID …), em que o apelado alega que”), com a referência compacta (CPC 702 § 2º), o pedido subsidiário de anulação (apelo, ID 88844071) e o efeito suspensivo e a gratuidade pedidos pela ré (apelo, ID 88844</w:t>
      </w:r>
      <w:r>
        <w:t>072), que a minuta não registrava; ID da sentença (88844069) ao final das transcrições (C-20, C-30, C-31).</w:t>
      </w:r>
    </w:p>
  </w:comment>
  <w:comment w:id="6" w:author="Assessor GDSXSR" w:date="2026-10-31T00:13:00Z" w:initials="RG">
    <w:p w14:paraId="1FFF1F92" w14:textId="77777777" w:rsidR="0065461F" w:rsidRDefault="00995DCC">
      <w:r>
        <w:annotationRef/>
      </w:r>
      <w:r>
        <w:t>ASSESSOR GDSXSR — Retirei “NETO” do nome do réu: a autuação, a cédula (ID 88843634) e a sentença trazem “Gilson José Vieira” (C-28).</w:t>
      </w:r>
    </w:p>
  </w:comment>
  <w:comment w:id="7" w:author="Assessor GDSXSR" w:date="2026-10-31T00:13:00Z" w:initials="RG">
    <w:p w14:paraId="196ADE43" w14:textId="77777777" w:rsidR="0065461F" w:rsidRDefault="00995DCC">
      <w:r>
        <w:annotationRef/>
      </w:r>
      <w:r>
        <w:t>ASSESSOR GDSXS</w:t>
      </w:r>
      <w:r>
        <w:t>R — Fundi os dois capítulos do apelo da Curadoria Especial em um só, pois as alegações são conexas e o pedido é um só (improcedência ou anulação com perícia): subtítulo duplo, alegações em uma enumeração, um único “Requer” e um só mini-dispositivo (C-3V, C</w:t>
      </w:r>
      <w:r>
        <w:t>-3W).</w:t>
      </w:r>
    </w:p>
  </w:comment>
  <w:comment w:id="8" w:author="Assessor GDSXSR" w:date="2026-10-31T00:13:00Z" w:initials="RG">
    <w:p w14:paraId="33DD68FD" w14:textId="77777777" w:rsidR="0065461F" w:rsidRDefault="00995DCC">
      <w:r>
        <w:annotationRef/>
      </w:r>
      <w:r>
        <w:t xml:space="preserve">ASSESSOR GDSXSR — Texto literal (C-63): CPC, art. 702: “§ 2º Quando o réu alegar que o autor pleiteia quantia superior à devida, cumprir-lhe-á declarar de imediato o valor que entende correto, apresentando demonstrativo discriminado e atualizado da </w:t>
      </w:r>
      <w:r>
        <w:t>dívida. § 3º Não apontado o valor correto ou não apresentado o demonstrativo, os embargos serão liminarmente rejeitados, se esse for o seu único fundamento, e, se houver outro fundamento, os embargos serão processados, mas o juiz deixará de examinar a aleg</w:t>
      </w:r>
      <w:r>
        <w:t>ação de excesso.” CPC, art. 341, parágrafo único: “O ônus da impugnação especificada dos fatos não se aplica ao defensor público, ao advogado dativo e ao curador especial.” (fonte: Planalto). Não levei o art. 702 ao corpo para cumprir o corte pedido: ele c</w:t>
      </w:r>
      <w:r>
        <w:t>onsta do apelo e da sentença anexa (C-66, ponderação).</w:t>
      </w:r>
    </w:p>
  </w:comment>
  <w:comment w:id="9" w:author="Assessor GDSXSR" w:date="2026-10-31T00:13:00Z" w:initials="RG">
    <w:p w14:paraId="501171AC" w14:textId="77777777" w:rsidR="0065461F" w:rsidRDefault="00995DCC">
      <w:r>
        <w:annotationRef/>
      </w:r>
      <w:r>
        <w:t>ASSESSOR GDSXSR — Texto literal (C-63): CPC, art. 700, caput e I: “A ação monitória pode ser proposta por aquele que afirmar, com base em prova escrita sem eficácia de título executivo, ter direito de</w:t>
      </w:r>
      <w:r>
        <w:t xml:space="preserve"> exigir do devedor capaz: I - o pagamento de quantia em dinheiro;”. STJ, Súmula 247, vigente: “O contrato de abertura de crédito em conta-corrente, acompanhado do demonstrativo de débito, constitui documento hábil para o ajuizamento da ação monitória.” (fo</w:t>
      </w:r>
      <w:r>
        <w:t>ntes: Planalto; iajus/STJ). A Súmula trata de conta-corrente; mantive a citação como a sentença a aplica. O trecho da sentença sobre o art. 700 saiu da transcrição por redundância (a sentença integral segue ao final).</w:t>
      </w:r>
    </w:p>
  </w:comment>
  <w:comment w:id="10" w:author="Assessor GDSXSR" w:date="2026-10-31T00:13:00Z" w:initials="RG">
    <w:p w14:paraId="445014AC" w14:textId="77777777" w:rsidR="0065461F" w:rsidRDefault="00995DCC">
      <w:r>
        <w:annotationRef/>
      </w:r>
      <w:r>
        <w:t>ASSESSOR GDSXSR — Texto literal (C-63): CPC, art. 355, I: “O juiz julgará antecipadamente o pedido, proferindo sentença com resol</w:t>
      </w:r>
      <w:r>
        <w:t>ução de mérito, quando: I - não houver necessidade de produção de outras provas;” (fonte: Planalto).</w:t>
      </w:r>
    </w:p>
  </w:comment>
  <w:comment w:id="11" w:author="Assessor GDSXSR" w:date="2026-10-31T00:13:00Z" w:initials="RG">
    <w:p w14:paraId="4F35EFC9" w14:textId="77777777" w:rsidR="0065461F" w:rsidRDefault="00995DCC">
      <w:r>
        <w:annotationRef/>
      </w:r>
      <w:r>
        <w:t>ASSESSOR GDSXSR — Texto literal (C-63): CPC, art. 489, § 1º, caput: “Não se considera fundamentada qualquer decisão judicial, seja ela interlocutória, sen</w:t>
      </w:r>
      <w:r>
        <w:t>tença ou acórdão, que:” (fonte: Planalto). CPC, art. 1.012, §§ 3º e 4º: ver comentário no dispositivo.</w:t>
      </w:r>
    </w:p>
  </w:comment>
  <w:comment w:id="12" w:author="Assessor GDSXSR" w:date="2026-10-31T00:13:00Z" w:initials="RG">
    <w:p w14:paraId="633CE209" w14:textId="77777777" w:rsidR="0065461F" w:rsidRDefault="00995DCC">
      <w:r>
        <w:annotationRef/>
      </w:r>
      <w:r>
        <w:t>ASSESSOR GDSXSR — Texto literal (C-63): CDC, art. 2º, caput: “Consumidor é toda pessoa física ou jurídica que adquire ou utiliza produto ou serviço como</w:t>
      </w:r>
      <w:r>
        <w:t xml:space="preserve"> destinatário final.” (fonte: Planalto). Na transcrição da sentença, retirei por redundância (“(...)”) o trecho sobre o art. 700 do CPC e os documentos, já tratados no capítulo anterior, e o parágrafo “De todo modo…”, sem citação nova; a sentença integral </w:t>
      </w:r>
      <w:r>
        <w:t>segue ao final.</w:t>
      </w:r>
    </w:p>
  </w:comment>
  <w:comment w:id="13" w:author="Assessor GDSXSR" w:date="2026-10-31T00:13:00Z" w:initials="RG">
    <w:p w14:paraId="31B86251" w14:textId="77777777" w:rsidR="0065461F" w:rsidRDefault="00995DCC">
      <w:r>
        <w:annotationRef/>
      </w:r>
      <w:r>
        <w:t>ASSESSOR GDSXSR — Texto literal (C-63): CPC, art. 98, caput: “A pessoa natural ou jurídica, brasileira ou estrangeira, com insuficiência de recursos para pagar as custas, as despesas processuais e os honorários advocatícios tem direito à g</w:t>
      </w:r>
      <w:r>
        <w:t>ratuidade da justiça, na forma da lei.” CDC, art. 54-A, § 1º: “Entende-se por superendividamento a impossibilidade manifesta de o consumidor pessoa natural, de boa-fé, pagar a totalidade de suas dívidas de consumo, exigíveis e vincendas, sem comprometer se</w:t>
      </w:r>
      <w:r>
        <w:t>u mínimo existencial, nos termos da regulamentação.” (fonte: Planalto). Levei ao comentário, e não ao corpo, o art. 54-A § 1º para cumprir o corte pedido (C-66, ponderação).</w:t>
      </w:r>
    </w:p>
  </w:comment>
  <w:comment w:id="14" w:author="Assessor GDSXSR" w:date="2026-10-31T00:13:00Z" w:initials="RG">
    <w:p w14:paraId="09A07840" w14:textId="77777777" w:rsidR="0065461F" w:rsidRDefault="00995DCC">
      <w:r>
        <w:annotationRef/>
      </w:r>
      <w:r>
        <w:t>ASSESSOR GDSXSR — Texto literal (C-63): CDC, art. 104-A, caput: “A requerimento d</w:t>
      </w:r>
      <w:r>
        <w:t>o consumidor superendividado pessoa natural, o juiz poderá instaurar processo de repactuação de dívidas, com vistas à realização de audiência conciliatória, presidida por ele ou por conciliador credenciado no juízo, com a presença de todos os credores de d</w:t>
      </w:r>
      <w:r>
        <w:t>ívidas previstas no art. 54-A deste Código, na qual o consumidor apresentará proposta de plano de pagamento com prazo máximo de 5 (cinco) anos, preservados o mínimo existencial, nos termos da regulamentação, e as garantias e as formas de pagamento original</w:t>
      </w:r>
      <w:r>
        <w:t>mente pactuadas.” CDC, art. 104-B, caput: “Se não houver êxito na conciliação em relação a quaisquer credores, o juiz, a pedido do consumidor, instaurará processo por superendividamento para revisão e integração dos contratos e repactuação das dívidas rema</w:t>
      </w:r>
      <w:r>
        <w:t>nescentes mediante plano judicial compulsório e procederá à citação de todos os credores cujos créditos não tenham integrado o acordo porventura celebrado.” (fonte: Planalto). O art. 104-A, § 1º, exclui do processo de repactuação o “crédito rural”, tese da</w:t>
      </w:r>
      <w:r>
        <w:t>s contrarrazões (ID 88844076); não a adotei, porque a cédula é de crédito bancário e os autos não a enquadram como crédito rural (C-24). Lei 14.181/2021: texto no Planalto.</w:t>
      </w:r>
    </w:p>
  </w:comment>
  <w:comment w:id="15" w:author="Assessor GDSXSR" w:date="2026-10-31T00:13:00Z" w:initials="RG">
    <w:p w14:paraId="6C31D2EA" w14:textId="77777777" w:rsidR="0065461F" w:rsidRDefault="00995DCC">
      <w:r>
        <w:annotationRef/>
      </w:r>
      <w:r>
        <w:t>ASSESSOR GDSXSR — Acórdão 1975790: a ementa foi conferida no iajus (TJDFT, 0726455</w:t>
      </w:r>
      <w:r>
        <w:t>-52.2024.8.07.0000, Rel. Des. James Eduardo Oliveira, 4ª Turma Cível, j. 27/02/2025); o iajus não devolve o número do acórdão nem o DJe, que ficam como constam da minuta. Pendência (C-52, C-67): conferir no JurisDF. O julgado trata da reunião de ações; per</w:t>
      </w:r>
      <w:r>
        <w:t>manece por estar na minuta e não contrariar o voto (C-72, exceção).</w:t>
      </w:r>
    </w:p>
  </w:comment>
  <w:comment w:id="16" w:author="Assessor GDSXSR" w:date="2026-10-31T00:13:00Z" w:initials="RG">
    <w:p w14:paraId="041F9C10" w14:textId="77777777" w:rsidR="0065461F" w:rsidRDefault="00995DCC">
      <w:r>
        <w:annotationRef/>
      </w:r>
      <w:r>
        <w:t>ASSESSOR GDSXSR — Honorários (C-51): base é o valor da condenação, R$ 593.350,76 (r. sentença, ID 88844069); percen</w:t>
      </w:r>
      <w:r>
        <w:t xml:space="preserve">tual de 1% mantido como proposto. Sentença, capítulo de custas e honorários: “Condeno a parte ré ao pagamento das custas processuais e dos honorários advocatícios, que fixo em 10% (dez por cento) do valor atualizado da condenação, com fulcro no art. 85, § </w:t>
      </w:r>
      <w:r>
        <w:t xml:space="preserve">2º, do CPC, ressalvada a gratuidade de justiça concedida à ré Ednalva Rodrigues Vieira, nos termos do art. 98, § 3º, do CPC.” Texto literal (C-63): CPC, art. 85, § 11: “O tribunal, ao julgar recurso, majorará os honorários fixados anteriormente levando em </w:t>
      </w:r>
      <w:r>
        <w:t>conta o trabalho adicional realizado em grau recursal, observando, conforme o caso, o disposto nos §§ 2º a 6º, sendo vedado ao tribunal, no cômputo geral da fixação de honorários devidos ao advogado do vencedor, ultrapassar os respectivos limites estabelec</w:t>
      </w:r>
      <w:r>
        <w:t>idos nos §§ 2º e 3º para a fase de conhecimento.” CPC, art. 98, § 3º: “Vencido o beneficiário, as obrigações decorrentes de sua sucumbência ficarão sob condição suspensiva de exigibilidade e somente poderão ser executadas se, nos 5 (cinco) anos subsequente</w:t>
      </w:r>
      <w:r>
        <w:t>s ao trânsito em julgado da decisão que as certificou, o credor demonstrar que deixou de existir a situação de insuficiência de recursos que justificou a concessão de gratuidade, extinguindo-se, passado esse prazo, tais obrigações do beneficiário.” (fonte:</w:t>
      </w:r>
      <w:r>
        <w:t xml:space="preserve"> Planalto). Ajustei “CPC/2015 85 § 11” para a forma compacta (C-20).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5C44F09" w15:done="0"/>
  <w15:commentEx w15:paraId="7F070A6B" w15:paraIdParent="45C44F09" w15:done="0"/>
  <w15:commentEx w15:paraId="559EBDD7" w15:paraIdParent="45C44F09" w15:done="0"/>
  <w15:commentEx w15:paraId="35EB5EA6" w15:done="0"/>
  <w15:commentEx w15:paraId="219AE3D1" w15:done="0"/>
  <w15:commentEx w15:paraId="4E2296C7" w15:done="0"/>
  <w15:commentEx w15:paraId="1FFF1F92" w15:done="0"/>
  <w15:commentEx w15:paraId="196ADE43" w15:done="0"/>
  <w15:commentEx w15:paraId="33DD68FD" w15:done="0"/>
  <w15:commentEx w15:paraId="501171AC" w15:done="0"/>
  <w15:commentEx w15:paraId="445014AC" w15:done="0"/>
  <w15:commentEx w15:paraId="4F35EFC9" w15:done="0"/>
  <w15:commentEx w15:paraId="633CE209" w15:done="0"/>
  <w15:commentEx w15:paraId="31B86251" w15:done="0"/>
  <w15:commentEx w15:paraId="09A07840" w15:done="0"/>
  <w15:commentEx w15:paraId="6C31D2EA" w15:done="0"/>
  <w15:commentEx w15:paraId="041F9C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959A003" w16cex:dateUtc="2026-09-15T21:00:00Z"/>
  <w16cex:commentExtensible w16cex:durableId="2E90881E" w16cex:dateUtc="2026-10-31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5C44F09" w16cid:durableId="45C44F0B"/>
  <w16cid:commentId w16cid:paraId="7F070A6B" w16cid:durableId="5959A003"/>
  <w16cid:commentId w16cid:paraId="559EBDD7" w16cid:durableId="2E90881E"/>
  <w16cid:commentId w16cid:paraId="35EB5EA6" w16cid:durableId="2E908729"/>
  <w16cid:commentId w16cid:paraId="219AE3D1" w16cid:durableId="2E90872A"/>
  <w16cid:commentId w16cid:paraId="4E2296C7" w16cid:durableId="2E90872B"/>
  <w16cid:commentId w16cid:paraId="1FFF1F92" w16cid:durableId="2E90872C"/>
  <w16cid:commentId w16cid:paraId="196ADE43" w16cid:durableId="2E90872D"/>
  <w16cid:commentId w16cid:paraId="33DD68FD" w16cid:durableId="2E90872E"/>
  <w16cid:commentId w16cid:paraId="501171AC" w16cid:durableId="2E90872F"/>
  <w16cid:commentId w16cid:paraId="445014AC" w16cid:durableId="2E908731"/>
  <w16cid:commentId w16cid:paraId="4F35EFC9" w16cid:durableId="2E908732"/>
  <w16cid:commentId w16cid:paraId="633CE209" w16cid:durableId="2E908733"/>
  <w16cid:commentId w16cid:paraId="31B86251" w16cid:durableId="2E908734"/>
  <w16cid:commentId w16cid:paraId="09A07840" w16cid:durableId="2E908735"/>
  <w16cid:commentId w16cid:paraId="6C31D2EA" w16cid:durableId="2E908736"/>
  <w16cid:commentId w16cid:paraId="041F9C10" w16cid:durableId="2E9087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C3C9C" w14:textId="77777777" w:rsidR="00995DCC" w:rsidRDefault="00995DCC">
      <w:pPr>
        <w:spacing w:after="0" w:line="240" w:lineRule="auto"/>
      </w:pPr>
      <w:r>
        <w:separator/>
      </w:r>
    </w:p>
  </w:endnote>
  <w:endnote w:type="continuationSeparator" w:id="0">
    <w:p w14:paraId="6A9555AD" w14:textId="77777777" w:rsidR="00995DCC" w:rsidRDefault="00995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Mono">
    <w:altName w:val="Courier New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Órgão"/>
      <w:id w:val="991585994"/>
      <w:docPartObj>
        <w:docPartGallery w:val="Page Numbers (Bottom of Page)"/>
        <w:docPartUnique/>
      </w:docPartObj>
    </w:sdtPr>
    <w:sdtEndPr/>
    <w:sdtContent>
      <w:p w14:paraId="45C44F0B" w14:textId="77777777" w:rsidR="00FE3F13" w:rsidRDefault="00EA68EF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45C44F0C" w14:textId="77777777" w:rsidR="00FE3F13" w:rsidRDefault="00FE3F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0837E" w14:textId="77777777" w:rsidR="00995DCC" w:rsidRDefault="00995DCC">
      <w:pPr>
        <w:spacing w:after="0" w:line="240" w:lineRule="auto"/>
      </w:pPr>
      <w:r>
        <w:separator/>
      </w:r>
    </w:p>
  </w:footnote>
  <w:footnote w:type="continuationSeparator" w:id="0">
    <w:p w14:paraId="6C954E28" w14:textId="77777777" w:rsidR="00995DCC" w:rsidRDefault="00995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2545"/>
    <w:multiLevelType w:val="multilevel"/>
    <w:tmpl w:val="F7F63A1C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14065C47"/>
    <w:multiLevelType w:val="multilevel"/>
    <w:tmpl w:val="D3748526"/>
    <w:lvl w:ilvl="0">
      <w:start w:val="4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 w15:restartNumberingAfterBreak="0">
    <w:nsid w:val="16EF0162"/>
    <w:multiLevelType w:val="multilevel"/>
    <w:tmpl w:val="088408B2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 w15:restartNumberingAfterBreak="0">
    <w:nsid w:val="202022B8"/>
    <w:multiLevelType w:val="multilevel"/>
    <w:tmpl w:val="5770D98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D9806AE"/>
    <w:multiLevelType w:val="multilevel"/>
    <w:tmpl w:val="D530497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ia Vilela Alves - GDACA">
    <w15:presenceInfo w15:providerId="AD" w15:userId="S::t308703@tjdft.jus.br::7a63abfe-b68b-4abc-8a9c-163dd7d9a183"/>
  </w15:person>
  <w15:person w15:author="Marcos Dwayne Saraiva Costa - GDSXSR">
    <w15:presenceInfo w15:providerId="None" w15:userId="Marcos Dwayne Saraiva Costa - GDSXS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13"/>
    <w:rsid w:val="00000506"/>
    <w:rsid w:val="000265A3"/>
    <w:rsid w:val="000A5502"/>
    <w:rsid w:val="000B2501"/>
    <w:rsid w:val="000F18C7"/>
    <w:rsid w:val="00114432"/>
    <w:rsid w:val="001B13A9"/>
    <w:rsid w:val="001D2A46"/>
    <w:rsid w:val="00315C23"/>
    <w:rsid w:val="00336863"/>
    <w:rsid w:val="00422C2D"/>
    <w:rsid w:val="00426FFC"/>
    <w:rsid w:val="004A5635"/>
    <w:rsid w:val="004B23BF"/>
    <w:rsid w:val="00503CB1"/>
    <w:rsid w:val="00593EF6"/>
    <w:rsid w:val="005F7AE6"/>
    <w:rsid w:val="0065461F"/>
    <w:rsid w:val="0069548F"/>
    <w:rsid w:val="006B2E18"/>
    <w:rsid w:val="007145A3"/>
    <w:rsid w:val="00747BDC"/>
    <w:rsid w:val="00751957"/>
    <w:rsid w:val="00784EC5"/>
    <w:rsid w:val="00795C11"/>
    <w:rsid w:val="007A1819"/>
    <w:rsid w:val="007D7064"/>
    <w:rsid w:val="007E0ADD"/>
    <w:rsid w:val="008160E8"/>
    <w:rsid w:val="008166D6"/>
    <w:rsid w:val="008674CA"/>
    <w:rsid w:val="00895929"/>
    <w:rsid w:val="008A4B95"/>
    <w:rsid w:val="008C34C7"/>
    <w:rsid w:val="00906183"/>
    <w:rsid w:val="00914118"/>
    <w:rsid w:val="00995DCC"/>
    <w:rsid w:val="00996251"/>
    <w:rsid w:val="00A0066C"/>
    <w:rsid w:val="00A52540"/>
    <w:rsid w:val="00A916F0"/>
    <w:rsid w:val="00AB024E"/>
    <w:rsid w:val="00B7115E"/>
    <w:rsid w:val="00C01F93"/>
    <w:rsid w:val="00C856BF"/>
    <w:rsid w:val="00D777FC"/>
    <w:rsid w:val="00D87531"/>
    <w:rsid w:val="00DD608D"/>
    <w:rsid w:val="00E018E9"/>
    <w:rsid w:val="00E14C0F"/>
    <w:rsid w:val="00EA68EF"/>
    <w:rsid w:val="00EB19E3"/>
    <w:rsid w:val="00ED27C7"/>
    <w:rsid w:val="00F77DE7"/>
    <w:rsid w:val="00F86212"/>
    <w:rsid w:val="00FE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44DF5"/>
  <w15:docId w15:val="{54664586-1455-4681-BB80-FB27203E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BA3"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Normal"/>
    <w:link w:val="Ttulo1Char"/>
    <w:qFormat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2">
    <w:name w:val="heading 2"/>
    <w:basedOn w:val="Ttulo"/>
    <w:next w:val="Corpodetexto"/>
    <w:qFormat/>
    <w:pPr>
      <w:spacing w:before="200" w:after="120"/>
      <w:outlineLvl w:val="1"/>
    </w:pPr>
    <w:rPr>
      <w:rFonts w:ascii="Liberation Serif" w:eastAsia="Segoe UI" w:hAnsi="Liberation Serif" w:cs="Tahoma"/>
      <w:sz w:val="36"/>
      <w:szCs w:val="36"/>
    </w:rPr>
  </w:style>
  <w:style w:type="paragraph" w:styleId="Ttulo3">
    <w:name w:val="heading 3"/>
    <w:basedOn w:val="Ttulo"/>
    <w:next w:val="Corpodetexto"/>
    <w:qFormat/>
    <w:pPr>
      <w:spacing w:before="140" w:after="120"/>
      <w:outlineLvl w:val="2"/>
    </w:pPr>
    <w:rPr>
      <w:rFonts w:ascii="Liberation Serif" w:eastAsia="Segoe UI" w:hAnsi="Liberation Serif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qFormat/>
    <w:rsid w:val="002D3FF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D3FF3"/>
    <w:rPr>
      <w:rFonts w:ascii="Verdana" w:eastAsia="Times New Roman" w:hAnsi="Verdana" w:cs="Times New Roman"/>
      <w:szCs w:val="20"/>
      <w:lang w:val="x-none" w:eastAsia="x-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D04BD8"/>
    <w:rPr>
      <w:rFonts w:ascii="Verdana" w:eastAsia="Times New Roman" w:hAnsi="Verdana" w:cs="Times New Roman"/>
      <w:b/>
      <w:bCs/>
      <w:szCs w:val="20"/>
      <w:lang w:val="x-none" w:eastAsia="x-none"/>
    </w:rPr>
  </w:style>
  <w:style w:type="character" w:customStyle="1" w:styleId="cf01">
    <w:name w:val="cf01"/>
    <w:basedOn w:val="Fontepargpadro"/>
    <w:qFormat/>
    <w:rsid w:val="00354AA2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  <w:qFormat/>
    <w:rsid w:val="00661CF3"/>
  </w:style>
  <w:style w:type="character" w:customStyle="1" w:styleId="eop">
    <w:name w:val="eop"/>
    <w:basedOn w:val="Fontepargpadro"/>
    <w:qFormat/>
    <w:rsid w:val="00661CF3"/>
  </w:style>
  <w:style w:type="character" w:customStyle="1" w:styleId="Ttulo1Char">
    <w:name w:val="Título 1 Char"/>
    <w:basedOn w:val="Fontepargpadro"/>
    <w:link w:val="Ttulo1"/>
    <w:qFormat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1705A6"/>
    <w:rPr>
      <w:color w:val="0563C1" w:themeColor="hyperlink"/>
      <w:u w:val="single"/>
    </w:rPr>
  </w:style>
  <w:style w:type="character" w:customStyle="1" w:styleId="cf11">
    <w:name w:val="cf11"/>
    <w:basedOn w:val="Fontepargpadro"/>
    <w:qFormat/>
    <w:rsid w:val="005B7851"/>
    <w:rPr>
      <w:rFonts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485185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A42DE"/>
    <w:rPr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sid w:val="003A42DE"/>
    <w:rPr>
      <w:sz w:val="22"/>
    </w:rPr>
  </w:style>
  <w:style w:type="character" w:customStyle="1" w:styleId="CitaoChar">
    <w:name w:val="Citação Char"/>
    <w:basedOn w:val="Fontepargpadro"/>
    <w:link w:val="Citao"/>
    <w:uiPriority w:val="29"/>
    <w:qFormat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qFormat/>
    <w:rsid w:val="00770E7F"/>
    <w:rPr>
      <w:color w:val="808080"/>
    </w:rPr>
  </w:style>
  <w:style w:type="character" w:customStyle="1" w:styleId="TtulosChar">
    <w:name w:val="Títulos Char"/>
    <w:basedOn w:val="CitaoChar"/>
    <w:link w:val="Ttulos"/>
    <w:qFormat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Smbolosdenumerao">
    <w:name w:val="Símbolos de numeração"/>
    <w:qFormat/>
  </w:style>
  <w:style w:type="paragraph" w:styleId="Ttulo">
    <w:name w:val="Title"/>
    <w:basedOn w:val="Normal"/>
    <w:next w:val="Corpodetexto"/>
    <w:qFormat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3B339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comentrio">
    <w:name w:val="annotation text"/>
    <w:basedOn w:val="Normal"/>
    <w:link w:val="TextodecomentrioChar"/>
    <w:uiPriority w:val="99"/>
    <w:qFormat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paragraph" w:customStyle="1" w:styleId="paragraph">
    <w:name w:val="paragraph"/>
    <w:basedOn w:val="Normal"/>
    <w:qFormat/>
    <w:rsid w:val="004721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Pr>
      <w:sz w:val="22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/>
      <w:ind w:left="2268" w:firstLine="1134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paragraph" w:styleId="PargrafodaLista">
    <w:name w:val="List Paragraph"/>
    <w:basedOn w:val="Normal"/>
    <w:uiPriority w:val="34"/>
    <w:qFormat/>
    <w:rsid w:val="003624B4"/>
    <w:pPr>
      <w:ind w:left="720"/>
      <w:contextualSpacing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tulo">
    <w:name w:val="Subtitle"/>
    <w:basedOn w:val="Normal"/>
    <w:next w:val="Corpodetexto"/>
    <w:qFormat/>
    <w:pPr>
      <w:spacing w:before="60" w:after="120"/>
      <w:jc w:val="center"/>
    </w:pPr>
    <w:rPr>
      <w:sz w:val="36"/>
      <w:szCs w:val="36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Props1.xml><?xml version="1.0" encoding="utf-8"?>
<ds:datastoreItem xmlns:ds="http://schemas.openxmlformats.org/officeDocument/2006/customXml" ds:itemID="{2F3F477A-B187-4DD2-94B8-3AF1A3A2A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19</Pages>
  <Words>4751</Words>
  <Characters>25660</Characters>
  <Application>Microsoft Office Word</Application>
  <DocSecurity>0</DocSecurity>
  <Lines>213</Lines>
  <Paragraphs>60</Paragraphs>
  <ScaleCrop>false</ScaleCrop>
  <Company/>
  <LinksUpToDate>false</LinksUpToDate>
  <CharactersWithSpaces>30351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dc:description/>
  <cp:lastModifiedBy>Marcos Dwayne Saraiva Costa - GDSXSR</cp:lastModifiedBy>
  <cp:revision>319</cp:revision>
  <dcterms:created xsi:type="dcterms:W3CDTF">2026-07-15T02:03:00Z</dcterms:created>
  <dcterms:modified xsi:type="dcterms:W3CDTF">2026-10-31T18:30:00Z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0x0101007D8446F430C8754BA55C94BD5B7A1A3F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ediaServiceImageTags">
    <vt:lpwstr/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docLang">
    <vt:lpwstr>pt</vt:lpwstr>
  </property>
</Properties>
</file>