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0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22"/>
        <w:gridCol w:w="5682"/>
      </w:tblGrid>
      <w:tr w:rsidR="00264107" w:rsidTr="39286FAB" w14:paraId="4680266B" w14:textId="77777777">
        <w:tc>
          <w:tcPr>
            <w:tcW w:w="2822" w:type="dxa"/>
            <w:tcBorders>
              <w:top w:val="nil"/>
              <w:left w:val="nil"/>
              <w:bottom w:val="nil"/>
              <w:right w:val="nil"/>
            </w:tcBorders>
            <w:shd w:val="clear" w:color="auto" w:fill="auto"/>
            <w:hideMark/>
          </w:tcPr>
          <w:p w:rsidR="00264107" w:rsidP="00FD470E" w:rsidRDefault="00264107" w14:paraId="6DE29C9C" w14:textId="7777777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tcBorders>
              <w:top w:val="nil"/>
              <w:left w:val="nil"/>
              <w:bottom w:val="nil"/>
              <w:right w:val="nil"/>
            </w:tcBorders>
            <w:shd w:val="clear" w:color="auto" w:fill="auto"/>
            <w:hideMark/>
          </w:tcPr>
          <w:p w:rsidR="00264107" w:rsidP="39286FAB" w:rsidRDefault="00264107" w14:paraId="299F0D40" w14:textId="77777777">
            <w:pPr>
              <w:pStyle w:val="paragraph"/>
              <w:spacing w:before="0" w:beforeAutospacing="0" w:after="0" w:afterAutospacing="0"/>
              <w:ind w:left="255"/>
              <w:jc w:val="both"/>
              <w:textAlignment w:val="baseline"/>
              <w:rPr>
                <w:rFonts w:ascii="Segoe UI" w:hAnsi="Segoe UI" w:cs="Segoe UI"/>
                <w:sz w:val="18"/>
                <w:szCs w:val="18"/>
              </w:rPr>
            </w:pPr>
            <w:r w:rsidRPr="39286FAB">
              <w:rPr>
                <w:rStyle w:val="normaltextrun"/>
                <w:rFonts w:ascii="Calibri" w:hAnsi="Calibri" w:cs="Calibri"/>
                <w:b/>
                <w:bCs/>
                <w:color w:val="595959" w:themeColor="text1" w:themeTint="A6"/>
                <w:sz w:val="20"/>
                <w:szCs w:val="20"/>
              </w:rPr>
              <w:t>Poder Judiciário da União</w:t>
            </w:r>
            <w:r w:rsidRPr="39286FAB">
              <w:rPr>
                <w:rStyle w:val="eop"/>
                <w:rFonts w:ascii="Calibri" w:hAnsi="Calibri" w:cs="Calibri"/>
                <w:color w:val="595959" w:themeColor="text1" w:themeTint="A6"/>
                <w:sz w:val="20"/>
                <w:szCs w:val="20"/>
              </w:rPr>
              <w:t> </w:t>
            </w:r>
          </w:p>
          <w:p w:rsidR="00264107" w:rsidP="00FD470E" w:rsidRDefault="00264107" w14:paraId="55CC1E66"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Tribunal de Justiça do Distrito Federal e dos Territórios</w:t>
            </w:r>
            <w:r>
              <w:rPr>
                <w:rStyle w:val="eop"/>
                <w:rFonts w:ascii="Calibri" w:hAnsi="Calibri" w:cs="Calibri"/>
                <w:color w:val="595959"/>
                <w:sz w:val="20"/>
                <w:szCs w:val="20"/>
              </w:rPr>
              <w:t> </w:t>
            </w:r>
          </w:p>
          <w:p w:rsidR="00264107" w:rsidP="00FD470E" w:rsidRDefault="00264107" w14:paraId="12B71A35"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64107" w:rsidP="00FD470E" w:rsidRDefault="00264107" w14:paraId="15750CFE"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rsidR="00DB1301" w:rsidP="00DB1301" w:rsidRDefault="00DB1301" w14:paraId="3D4EAEEA" w14:textId="77777777">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Pr="009F36E1" w:rsidR="00770E7F" w:rsidTr="773BBDE1" w14:paraId="39579C6E" w14:textId="77777777">
        <w:trPr>
          <w:cantSplit/>
          <w:trHeight w:val="397"/>
        </w:trPr>
        <w:tc>
          <w:tcPr>
            <w:tcW w:w="3686" w:type="dxa"/>
            <w:shd w:val="clear" w:color="auto" w:fill="auto"/>
            <w:tcMar/>
            <w:vAlign w:val="center"/>
          </w:tcPr>
          <w:p w:rsidRPr="009F36E1" w:rsidR="00770E7F" w:rsidP="00B34ADF" w:rsidRDefault="79304B6F" w14:paraId="0E990AE5" w14:textId="77777777" w14:noSpellErr="1">
            <w:pPr>
              <w:rPr>
                <w:rFonts w:ascii="Arial" w:hAnsi="Arial" w:cs="Arial"/>
                <w:sz w:val="28"/>
                <w:szCs w:val="28"/>
              </w:rPr>
            </w:pPr>
            <w:commentRangeStart w:id="0"/>
            <w:commentRangeStart w:id="1548154177"/>
            <w:r w:rsidRPr="773BBDE1" w:rsidR="79304B6F">
              <w:rPr>
                <w:rFonts w:ascii="Arial" w:hAnsi="Arial" w:cs="Arial"/>
                <w:sz w:val="28"/>
                <w:szCs w:val="28"/>
              </w:rPr>
              <w:t>Ór</w:t>
            </w:r>
            <w:commentRangeEnd w:id="0"/>
            <w:r>
              <w:rPr>
                <w:rStyle w:val="CommentReference"/>
              </w:rPr>
              <w:commentReference w:id="0"/>
            </w:r>
            <w:commentRangeEnd w:id="1548154177"/>
            <w:r>
              <w:rPr>
                <w:rStyle w:val="CommentReference"/>
              </w:rPr>
              <w:commentReference w:id="1548154177"/>
            </w:r>
            <w:r w:rsidRPr="773BBDE1" w:rsidR="79304B6F">
              <w:rPr>
                <w:rFonts w:ascii="Arial" w:hAnsi="Arial" w:cs="Arial"/>
                <w:sz w:val="28"/>
                <w:szCs w:val="28"/>
              </w:rPr>
              <w:t>gão</w:t>
            </w:r>
          </w:p>
        </w:tc>
        <w:tc>
          <w:tcPr>
            <w:tcW w:w="447" w:type="dxa"/>
            <w:shd w:val="clear" w:color="auto" w:fill="auto"/>
            <w:tcMar/>
            <w:vAlign w:val="center"/>
          </w:tcPr>
          <w:p w:rsidRPr="009F36E1" w:rsidR="00770E7F" w:rsidP="00B34ADF" w:rsidRDefault="00770E7F" w14:paraId="2043BC66"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000000" w14:paraId="619F5A49" w14:textId="7777777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Pr="009F36E1" w:rsidR="00770E7F">
                  <w:rPr>
                    <w:rFonts w:ascii="Arial" w:hAnsi="Arial" w:cs="Arial"/>
                    <w:sz w:val="28"/>
                    <w:szCs w:val="28"/>
                  </w:rPr>
                  <w:t>4ª Turma Cível</w:t>
                </w:r>
              </w:sdtContent>
            </w:sdt>
          </w:p>
        </w:tc>
      </w:tr>
      <w:tr w:rsidRPr="009F36E1" w:rsidR="00770E7F" w:rsidTr="773BBDE1" w14:paraId="1234CB9C" w14:textId="77777777">
        <w:trPr>
          <w:cantSplit/>
          <w:trHeight w:val="397"/>
        </w:trPr>
        <w:tc>
          <w:tcPr>
            <w:tcW w:w="3686" w:type="dxa"/>
            <w:shd w:val="clear" w:color="auto" w:fill="auto"/>
            <w:tcMar/>
            <w:vAlign w:val="center"/>
          </w:tcPr>
          <w:p w:rsidRPr="009F36E1" w:rsidR="00770E7F" w:rsidP="00B34ADF" w:rsidRDefault="00770E7F" w14:paraId="7118EFBD" w14:textId="77777777">
            <w:pPr>
              <w:rPr>
                <w:rFonts w:ascii="Arial" w:hAnsi="Arial" w:cs="Arial"/>
                <w:sz w:val="28"/>
                <w:szCs w:val="28"/>
              </w:rPr>
            </w:pPr>
            <w:r w:rsidRPr="009F36E1">
              <w:rPr>
                <w:rFonts w:ascii="Arial" w:hAnsi="Arial" w:cs="Arial"/>
                <w:sz w:val="28"/>
                <w:szCs w:val="28"/>
              </w:rPr>
              <w:t>Classe</w:t>
            </w:r>
          </w:p>
        </w:tc>
        <w:tc>
          <w:tcPr>
            <w:tcW w:w="447" w:type="dxa"/>
            <w:shd w:val="clear" w:color="auto" w:fill="auto"/>
            <w:tcMar/>
            <w:vAlign w:val="center"/>
          </w:tcPr>
          <w:p w:rsidRPr="009F36E1" w:rsidR="00770E7F" w:rsidP="00B34ADF" w:rsidRDefault="00770E7F" w14:paraId="64B2264F"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sdt>
            <w:sdt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rPr>
                <w:rFonts w:cs="Arial"/>
                <w:i w:val="0"/>
                <w:iCs w:val="0"/>
                <w:sz w:val="28"/>
                <w:szCs w:val="28"/>
              </w:rPr>
            </w:sdtPr>
            <w:sdtContent>
              <w:p w:rsidRPr="009F36E1" w:rsidR="00770E7F" w:rsidP="00B34ADF" w:rsidRDefault="00F63CDB" w14:paraId="2174A042" w14:textId="4BD4FA6E">
                <w:pPr>
                  <w:pStyle w:val="Citao"/>
                  <w:ind w:left="0" w:firstLine="0"/>
                  <w:jc w:val="both"/>
                  <w:rPr>
                    <w:rFonts w:cs="Arial"/>
                    <w:i w:val="0"/>
                    <w:iCs w:val="0"/>
                    <w:sz w:val="28"/>
                    <w:szCs w:val="28"/>
                  </w:rPr>
                </w:pPr>
                <w:r>
                  <w:rPr>
                    <w:rFonts w:cs="Arial"/>
                    <w:i w:val="0"/>
                    <w:iCs w:val="0"/>
                    <w:sz w:val="28"/>
                    <w:szCs w:val="28"/>
                  </w:rPr>
                  <w:t>Embargos de Declaração</w:t>
                </w:r>
              </w:p>
            </w:sdtContent>
            <w:sdtEndPr>
              <w:rPr>
                <w:rFonts w:cs="Arial"/>
                <w:i w:val="0"/>
                <w:iCs w:val="0"/>
                <w:sz w:val="28"/>
                <w:szCs w:val="28"/>
              </w:rPr>
            </w:sdtEndPr>
          </w:sdt>
        </w:tc>
      </w:tr>
      <w:tr w:rsidRPr="009F36E1" w:rsidR="00770E7F" w:rsidTr="773BBDE1" w14:paraId="32B00EA9" w14:textId="77777777">
        <w:trPr>
          <w:cantSplit/>
          <w:trHeight w:val="397"/>
        </w:trPr>
        <w:tc>
          <w:tcPr>
            <w:tcW w:w="3686" w:type="dxa"/>
            <w:shd w:val="clear" w:color="auto" w:fill="auto"/>
            <w:tcMar/>
            <w:vAlign w:val="center"/>
          </w:tcPr>
          <w:p w:rsidRPr="009F36E1" w:rsidR="00770E7F" w:rsidP="00B34ADF" w:rsidRDefault="00770E7F" w14:paraId="0E73EC07" w14:textId="77777777">
            <w:pPr>
              <w:rPr>
                <w:rFonts w:ascii="Arial" w:hAnsi="Arial" w:cs="Arial"/>
                <w:sz w:val="28"/>
                <w:szCs w:val="28"/>
              </w:rPr>
            </w:pPr>
            <w:r w:rsidRPr="009F36E1">
              <w:rPr>
                <w:rFonts w:ascii="Arial" w:hAnsi="Arial" w:cs="Arial"/>
                <w:sz w:val="28"/>
                <w:szCs w:val="28"/>
              </w:rPr>
              <w:t>Processo nº</w:t>
            </w:r>
          </w:p>
        </w:tc>
        <w:tc>
          <w:tcPr>
            <w:tcW w:w="447" w:type="dxa"/>
            <w:shd w:val="clear" w:color="auto" w:fill="auto"/>
            <w:tcMar/>
            <w:vAlign w:val="center"/>
          </w:tcPr>
          <w:p w:rsidRPr="009F36E1" w:rsidR="00770E7F" w:rsidP="00B34ADF" w:rsidRDefault="00770E7F" w14:paraId="10327F8B"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1C16FB" w14:paraId="7C53B768" w14:textId="5A7ECA41">
            <w:pPr>
              <w:ind w:right="-675"/>
              <w:rPr>
                <w:rFonts w:ascii="Arial" w:hAnsi="Arial" w:cs="Arial"/>
                <w:sz w:val="28"/>
                <w:szCs w:val="28"/>
              </w:rPr>
            </w:pPr>
            <w:r w:rsidRPr="001C16FB">
              <w:rPr>
                <w:rFonts w:ascii="Arial" w:hAnsi="Arial" w:cs="Arial"/>
                <w:sz w:val="28"/>
                <w:szCs w:val="28"/>
              </w:rPr>
              <w:t>0707282-71.2026.8.07.0000</w:t>
            </w:r>
          </w:p>
        </w:tc>
      </w:tr>
      <w:tr w:rsidRPr="009F36E1" w:rsidR="00770E7F" w:rsidTr="773BBDE1" w14:paraId="48ED7BFE" w14:textId="77777777">
        <w:trPr>
          <w:cantSplit/>
          <w:trHeight w:val="397"/>
        </w:trPr>
        <w:tc>
          <w:tcPr>
            <w:tcW w:w="3686" w:type="dxa"/>
            <w:shd w:val="clear" w:color="auto" w:fill="auto"/>
            <w:tcMar/>
            <w:vAlign w:val="center"/>
          </w:tcPr>
          <w:p w:rsidRPr="00F63CDB" w:rsidR="00770E7F" w:rsidP="00B34ADF" w:rsidRDefault="00000000" w14:paraId="272F493B" w14:textId="1AD7452F">
            <w:pPr>
              <w:spacing w:line="240" w:lineRule="auto"/>
              <w:ind w:right="34"/>
              <w:rPr>
                <w:rFonts w:ascii="Arial" w:hAnsi="Arial" w:cs="Arial"/>
                <w:sz w:val="28"/>
                <w:szCs w:val="28"/>
              </w:rPr>
            </w:pPr>
            <w:sdt>
              <w:sdtPr>
                <w:rPr>
                  <w:rFonts w:ascii="Arial" w:hAnsi="Arial" w:eastAsia="Times New Roman"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sidR="00F63CDB">
                  <w:rPr>
                    <w:rFonts w:ascii="Arial" w:hAnsi="Arial" w:eastAsia="Times New Roman" w:cs="Arial"/>
                    <w:sz w:val="28"/>
                    <w:szCs w:val="28"/>
                    <w:lang w:eastAsia="zh-CN"/>
                  </w:rPr>
                  <w:t>Embargante (s)</w:t>
                </w:r>
              </w:sdtContent>
            </w:sdt>
            <w:r w:rsidRPr="00F63CDB" w:rsidR="00770E7F">
              <w:rPr>
                <w:rFonts w:ascii="Arial" w:hAnsi="Arial" w:cs="Arial"/>
                <w:sz w:val="28"/>
                <w:szCs w:val="28"/>
              </w:rPr>
              <w:t xml:space="preserve"/>
            </w:r>
          </w:p>
        </w:tc>
        <w:tc>
          <w:tcPr>
            <w:tcW w:w="447" w:type="dxa"/>
            <w:shd w:val="clear" w:color="auto" w:fill="auto"/>
            <w:tcMar/>
            <w:vAlign w:val="center"/>
          </w:tcPr>
          <w:p w:rsidRPr="009F36E1" w:rsidR="00770E7F" w:rsidP="00B34ADF" w:rsidRDefault="00770E7F" w14:paraId="5C191C1F"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B66EC2" w:rsidR="00770E7F" w:rsidP="00B34ADF" w:rsidRDefault="001C16FB" w14:paraId="4A58BA3C" w14:textId="4331C501">
            <w:pPr>
              <w:rPr>
                <w:rFonts w:ascii="Arial" w:hAnsi="Arial" w:cs="Arial"/>
                <w:sz w:val="28"/>
                <w:szCs w:val="28"/>
              </w:rPr>
            </w:pPr>
            <w:r w:rsidRPr="06571051">
              <w:rPr>
                <w:rFonts w:ascii="Arial" w:hAnsi="Arial" w:cs="Arial"/>
                <w:sz w:val="28"/>
                <w:szCs w:val="28"/>
              </w:rPr>
              <w:t>DISTRITO FEDERAL</w:t>
            </w:r>
            <w:commentRangeStart w:id="1"/>
            <w:commentRangeStart w:id="2"/>
            <w:commentRangeStart w:id="3"/>
            <w:r w:rsidRPr="06571051">
              <w:rPr>
                <w:rFonts w:ascii="Arial" w:hAnsi="Arial" w:cs="Arial"/>
                <w:sz w:val="28"/>
                <w:szCs w:val="28"/>
              </w:rPr>
              <w:t xml:space="preserve"/>
            </w:r>
            <w:commentRangeEnd w:id="1"/>
            <w:r>
              <w:commentReference w:id="1"/>
            </w:r>
            <w:commentRangeEnd w:id="2"/>
            <w:r>
              <w:commentReference w:id="2"/>
            </w:r>
            <w:commentRangeEnd w:id="3"/>
            <w:r w:rsidR="00555B54">
              <w:rPr>
                <w:rStyle w:val="Refdecomentrio"/>
                <w:rFonts w:ascii="Verdana" w:hAnsi="Verdana" w:eastAsia="Times New Roman" w:cs="Times New Roman"/>
                <w:lang w:val="x-none" w:eastAsia="x-none"/>
              </w:rPr>
              <w:commentReference w:id="3"/>
            </w:r>
            <w:r w:rsidRPr="06571051">
              <w:rPr>
                <w:rFonts w:ascii="Arial" w:hAnsi="Arial" w:cs="Arial"/>
                <w:sz w:val="28"/>
                <w:szCs w:val="28"/>
              </w:rPr>
              <w:t/>
            </w:r>
          </w:p>
        </w:tc>
      </w:tr>
      <w:tr w:rsidRPr="009F36E1" w:rsidR="00770E7F" w:rsidTr="773BBDE1" w14:paraId="55763F2D" w14:textId="77777777">
        <w:trPr>
          <w:cantSplit/>
          <w:trHeight w:val="397"/>
        </w:trPr>
        <w:tc>
          <w:tcPr>
            <w:tcW w:w="3686" w:type="dxa"/>
            <w:shd w:val="clear" w:color="auto" w:fill="auto"/>
            <w:tcMar/>
            <w:vAlign w:val="center"/>
          </w:tcPr>
          <w:p w:rsidRPr="009F36E1" w:rsidR="00770E7F" w:rsidP="009F36E1" w:rsidRDefault="00000000" w14:paraId="59BAA433" w14:textId="5D3E5176">
            <w:pPr>
              <w:jc w:val="both"/>
              <w:rPr>
                <w:rFonts w:ascii="Arial" w:hAnsi="Arial" w:cs="Arial"/>
                <w:sz w:val="28"/>
                <w:szCs w:val="28"/>
              </w:rPr>
            </w:pPr>
            <w:sdt>
              <w:sdtPr>
                <w:rPr>
                  <w:rFonts w:ascii="Arial" w:hAnsi="Arial" w:eastAsia="Times New Roman"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hAnsi="Arial" w:eastAsia="Times New Roman" w:cs="Arial"/>
                    <w:sz w:val="28"/>
                    <w:szCs w:val="28"/>
                    <w:lang w:eastAsia="zh-CN"/>
                  </w:rPr>
                  <w:t>Embargado (a)(s)</w:t>
                </w:r>
              </w:sdtContent>
            </w:sdt>
            <w:r w:rsidRPr="009F36E1" w:rsidR="00770E7F">
              <w:rPr>
                <w:rFonts w:ascii="Arial" w:hAnsi="Arial" w:cs="Arial"/>
                <w:sz w:val="28"/>
                <w:szCs w:val="28"/>
              </w:rPr>
              <w:t xml:space="preserve"/>
            </w:r>
            <w:r w:rsidR="009F36E1">
              <w:rPr>
                <w:rFonts w:ascii="Arial" w:hAnsi="Arial" w:cs="Arial"/>
                <w:sz w:val="28"/>
                <w:szCs w:val="28"/>
              </w:rPr>
              <w:t/>
            </w:r>
            <w:r w:rsidRPr="009F36E1" w:rsidR="00770E7F">
              <w:rPr>
                <w:rFonts w:ascii="Arial" w:hAnsi="Arial" w:cs="Arial"/>
                <w:sz w:val="28"/>
                <w:szCs w:val="28"/>
              </w:rPr>
              <w:t/>
            </w:r>
          </w:p>
        </w:tc>
        <w:tc>
          <w:tcPr>
            <w:tcW w:w="447" w:type="dxa"/>
            <w:shd w:val="clear" w:color="auto" w:fill="auto"/>
            <w:tcMar/>
            <w:vAlign w:val="center"/>
          </w:tcPr>
          <w:p w:rsidRPr="009F36E1" w:rsidR="00770E7F" w:rsidP="00B34ADF" w:rsidRDefault="00770E7F" w14:paraId="683A2C11"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1C16FB" w14:paraId="1AB96577" w14:textId="6F3149F0">
            <w:pPr>
              <w:ind w:right="-74"/>
              <w:rPr>
                <w:rFonts w:ascii="Arial" w:hAnsi="Arial" w:cs="Arial"/>
                <w:sz w:val="28"/>
                <w:szCs w:val="28"/>
              </w:rPr>
            </w:pPr>
            <w:r w:rsidRPr="001C16FB">
              <w:rPr>
                <w:rFonts w:ascii="Arial" w:hAnsi="Arial" w:cs="Arial"/>
                <w:sz w:val="28"/>
                <w:szCs w:val="28"/>
              </w:rPr>
              <w:t>CONTERC CONSTRUÇÃO TERRAPLENAGEM E CONSULTORIA LTDA</w:t>
            </w:r>
            <w:r>
              <w:rPr>
                <w:rFonts w:ascii="Arial" w:hAnsi="Arial" w:cs="Arial"/>
                <w:sz w:val="28"/>
                <w:szCs w:val="28"/>
              </w:rPr>
              <w:t xml:space="preserve"/>
            </w:r>
          </w:p>
        </w:tc>
      </w:tr>
      <w:tr w:rsidRPr="009F36E1" w:rsidR="00770E7F" w:rsidTr="773BBDE1" w14:paraId="640EA867" w14:textId="77777777">
        <w:trPr>
          <w:cantSplit/>
          <w:trHeight w:val="397"/>
        </w:trPr>
        <w:tc>
          <w:tcPr>
            <w:tcW w:w="3686" w:type="dxa"/>
            <w:shd w:val="clear" w:color="auto" w:fill="auto"/>
            <w:tcMar/>
            <w:vAlign w:val="center"/>
          </w:tcPr>
          <w:p w:rsidRPr="009F36E1" w:rsidR="00770E7F" w:rsidP="00B34ADF" w:rsidRDefault="00770E7F" w14:paraId="34627CFC" w14:textId="77777777">
            <w:pPr>
              <w:rPr>
                <w:rFonts w:ascii="Arial" w:hAnsi="Arial" w:cs="Arial"/>
                <w:sz w:val="28"/>
                <w:szCs w:val="28"/>
              </w:rPr>
            </w:pPr>
            <w:r w:rsidRPr="009F36E1">
              <w:rPr>
                <w:rFonts w:ascii="Arial" w:hAnsi="Arial" w:cs="Arial"/>
                <w:sz w:val="28"/>
                <w:szCs w:val="28"/>
              </w:rPr>
              <w:t>Relator(a)</w:t>
            </w:r>
          </w:p>
        </w:tc>
        <w:tc>
          <w:tcPr>
            <w:tcW w:w="447" w:type="dxa"/>
            <w:shd w:val="clear" w:color="auto" w:fill="auto"/>
            <w:tcMar/>
            <w:vAlign w:val="center"/>
          </w:tcPr>
          <w:p w:rsidRPr="009F36E1" w:rsidR="00770E7F" w:rsidP="00B34ADF" w:rsidRDefault="00770E7F" w14:paraId="4161AF01" w14:textId="77777777">
            <w:pPr>
              <w:ind w:right="-11"/>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770E7F" w14:paraId="5B83A2F0" w14:textId="77777777">
            <w:pPr>
              <w:rPr>
                <w:rFonts w:ascii="Arial" w:hAnsi="Arial" w:cs="Arial"/>
                <w:b/>
                <w:sz w:val="28"/>
                <w:szCs w:val="28"/>
              </w:rPr>
            </w:pPr>
            <w:r w:rsidRPr="009F36E1">
              <w:rPr>
                <w:rFonts w:ascii="Arial" w:hAnsi="Arial" w:cs="Arial"/>
                <w:b/>
                <w:bCs/>
                <w:sz w:val="28"/>
                <w:szCs w:val="28"/>
              </w:rPr>
              <w:t>Des. Sérgio Rocha</w:t>
            </w:r>
          </w:p>
        </w:tc>
      </w:tr>
    </w:tbl>
    <w:p w:rsidR="00DB1301" w:rsidP="00DB1301" w:rsidRDefault="00DB1301" w14:paraId="215F61BE" w14:textId="77777777">
      <w:pPr>
        <w:spacing w:after="0" w:line="360" w:lineRule="auto"/>
        <w:rPr>
          <w:rFonts w:ascii="Arial" w:hAnsi="Arial" w:cs="Arial"/>
          <w:sz w:val="28"/>
          <w:szCs w:val="28"/>
        </w:rPr>
      </w:pPr>
    </w:p>
    <w:p>
      <w:pPr>
        <w:spacing w:line="360" w:lineRule="auto" w:after="0" w:before="0"/>
        <w:jc w:val="left"/>
      </w:pPr>
      <w:commentRangeStart w:id="0"/>
      <w:r>
        <w:rPr>
          <w:rFonts w:ascii="Arial" w:hAnsi="Arial" w:cs="Arial"/>
          <w:b/>
          <w:i w:val="0"/>
          <w:sz w:val="28"/>
        </w:rPr>
        <w:t xml:space="preserve">EMENTA</w:t>
      </w:r>
      <w:commentRangeEnd w:id="0"/>
      <w:r>
        <w:rPr>
          <w:rStyle w:val="CommentReference"/>
        </w:rPr>
        <w:commentReference w:id="0"/>
      </w:r>
    </w:p>
    <w:p>
      <w:pPr>
        <w:spacing w:line="360" w:lineRule="auto" w:after="0" w:before="0"/>
        <w:jc w:val="both"/>
      </w:pPr>
      <w:r>
        <w:rPr>
          <w:rFonts w:ascii="Arial" w:hAnsi="Arial" w:cs="Arial"/>
          <w:b w:val="0"/>
          <w:i w:val="0"/>
          <w:sz w:val="28"/>
        </w:rPr>
        <w:t xml:space="preserve">EMBARGOS DE DECLARAÇÃO. DIREITO PROCESSUAL CIVIL. ALEGADA OMISSÃO E CONTRADIÇÃO. INEXISTÊNCIA. HONORÁRIOS ADVOCATÍCIOS. REDISCUSSÃO DO MÉRITO. PREQUESTIONAMENTO. EMBARGOS NÃO PROVIDOS.</w:t>
      </w:r>
    </w:p>
    <w:p>
      <w:pPr>
        <w:spacing w:line="360" w:lineRule="auto" w:after="0" w:before="0"/>
        <w:jc w:val="both"/>
      </w:pPr>
      <w:r>
        <w:rPr>
          <w:rFonts w:ascii="Arial" w:hAnsi="Arial" w:cs="Arial"/>
          <w:b/>
          <w:i w:val="0"/>
          <w:sz w:val="28"/>
        </w:rPr>
        <w:t xml:space="preserve">I. Caso em exame</w:t>
      </w:r>
    </w:p>
    <w:p>
      <w:pPr>
        <w:spacing w:line="360" w:lineRule="auto" w:after="0" w:before="0"/>
        <w:jc w:val="both"/>
      </w:pPr>
      <w:r>
        <w:rPr>
          <w:rFonts w:ascii="Arial" w:hAnsi="Arial" w:cs="Arial"/>
          <w:b w:val="0"/>
          <w:i w:val="0"/>
          <w:sz w:val="28"/>
        </w:rPr>
        <w:t xml:space="preserve">1. Embargos de declaração opostos pelo Distrito Federal contra acórdão que deu provimento ao agravo de instrumento de Conterc Construção Terraplenagem e Consultoria Ltda., pessoa jurídica, para reconhecer a prescrição da pretensão executiva em execução fiscal de IPTU (R$ 643.168,84), extinguir a execução e condenar o embargante em honorários advocatícios.</w:t>
      </w:r>
    </w:p>
    <w:p>
      <w:pPr>
        <w:spacing w:line="360" w:lineRule="auto" w:after="0" w:before="0"/>
        <w:jc w:val="both"/>
      </w:pPr>
      <w:r>
        <w:rPr>
          <w:rFonts w:ascii="Arial" w:hAnsi="Arial" w:cs="Arial"/>
          <w:b w:val="0"/>
          <w:i w:val="0"/>
          <w:sz w:val="28"/>
        </w:rPr>
        <w:t xml:space="preserve">2. O acórdão embargado fixou os honorários no mínimo legal para a Fazenda Pública, sobre o valor atualizado da execução (CPC 85 § 3º I e II), por entender que a ação cautelar antecedente não impediu o ajuizamento da execução fiscal, proposta após a consumação da prescrição.</w:t>
      </w:r>
    </w:p>
    <w:p>
      <w:pPr>
        <w:spacing w:line="360" w:lineRule="auto" w:after="0" w:before="0"/>
        <w:jc w:val="both"/>
      </w:pPr>
      <w:r>
        <w:rPr>
          <w:rFonts w:ascii="Arial" w:hAnsi="Arial" w:cs="Arial"/>
          <w:b w:val="0"/>
          <w:i w:val="0"/>
          <w:sz w:val="28"/>
        </w:rPr>
        <w:t xml:space="preserve">3. O embargante sustenta omissão quanto ao princípio da causalidade e contradição com o entendimento do Superior Tribunal de Justiça, pede, subsidiariamente, a fixação dos honorários por apreciação equitativa e requer manifestação expressa para fins de prequestionamento.</w:t>
      </w:r>
    </w:p>
    <w:p>
      <w:pPr>
        <w:spacing w:line="360" w:lineRule="auto" w:after="0" w:before="0"/>
        <w:jc w:val="both"/>
      </w:pPr>
      <w:r>
        <w:rPr>
          <w:rFonts w:ascii="Arial" w:hAnsi="Arial" w:cs="Arial"/>
          <w:b/>
          <w:i w:val="0"/>
          <w:sz w:val="28"/>
        </w:rPr>
        <w:t xml:space="preserve">II. Questão em discussão</w:t>
      </w:r>
    </w:p>
    <w:p>
      <w:pPr>
        <w:spacing w:line="360" w:lineRule="auto" w:after="0" w:before="0"/>
        <w:jc w:val="both"/>
      </w:pPr>
      <w:r>
        <w:rPr>
          <w:rFonts w:ascii="Arial" w:hAnsi="Arial" w:cs="Arial"/>
          <w:b w:val="0"/>
          <w:i w:val="0"/>
          <w:sz w:val="28"/>
        </w:rPr>
        <w:t xml:space="preserve">4. Há três questões em discussão: (i) saber se o acórdão incorreu em omissão ou contradição quanto à condenação do embargante em honorários, à luz do princípio da causalidade e do entendimento do Superior Tribunal de Justiça; (ii) saber se o acórdão foi omisso quanto à fixação dos honorários por apreciação equitativa; e (iii) saber se é necessária manifestação expressa sobre dispositivos, para fins de prequestionamento.</w:t>
      </w:r>
    </w:p>
    <w:p>
      <w:pPr>
        <w:spacing w:line="360" w:lineRule="auto" w:after="0" w:before="0"/>
        <w:jc w:val="both"/>
      </w:pPr>
      <w:r>
        <w:rPr>
          <w:rFonts w:ascii="Arial" w:hAnsi="Arial" w:cs="Arial"/>
          <w:b/>
          <w:i w:val="0"/>
          <w:sz w:val="28"/>
        </w:rPr>
        <w:t xml:space="preserve">III. Razões de decidir</w:t>
      </w:r>
    </w:p>
    <w:p>
      <w:pPr>
        <w:spacing w:line="360" w:lineRule="auto" w:after="0" w:before="0"/>
        <w:jc w:val="both"/>
      </w:pPr>
      <w:r>
        <w:rPr>
          <w:rFonts w:ascii="Arial" w:hAnsi="Arial" w:cs="Arial"/>
          <w:b w:val="0"/>
          <w:i w:val="0"/>
          <w:sz w:val="28"/>
        </w:rPr>
        <w:t xml:space="preserve">5. Inexiste omissão quando o acórdão enfrenta, de modo suficiente e fundamentado, as questões relevantes para o julgamento.</w:t>
      </w:r>
    </w:p>
    <w:p>
      <w:pPr>
        <w:spacing w:line="360" w:lineRule="auto" w:after="0" w:before="0"/>
        <w:jc w:val="both"/>
      </w:pPr>
      <w:r>
        <w:rPr>
          <w:rFonts w:ascii="Arial" w:hAnsi="Arial" w:cs="Arial"/>
          <w:b w:val="0"/>
          <w:i w:val="0"/>
          <w:sz w:val="28"/>
        </w:rPr>
        <w:t xml:space="preserve">6. A contradição que autoriza os embargos de declaração é a interna, entre as premissas e a conclusão do julgado, e não a existente entre o acórdão e a jurisprudência ou a tese da parte.</w:t>
      </w:r>
    </w:p>
    <w:p>
      <w:pPr>
        <w:spacing w:line="360" w:lineRule="auto" w:after="0" w:before="0"/>
        <w:jc w:val="both"/>
      </w:pPr>
      <w:r>
        <w:rPr>
          <w:rFonts w:ascii="Arial" w:hAnsi="Arial" w:cs="Arial"/>
          <w:b w:val="0"/>
          <w:i w:val="0"/>
          <w:sz w:val="28"/>
        </w:rPr>
        <w:t xml:space="preserve">7. O acórdão embargado afastou a tese de que a ação cautelar impediu o ajuizamento da execução fiscal e reconheceu que ela foi proposta após a consumação da prescrição, de modo que o embargante apenas busca a rediscussão do mérito.</w:t>
      </w:r>
    </w:p>
    <w:p>
      <w:pPr>
        <w:spacing w:line="360" w:lineRule="auto" w:after="0" w:before="0"/>
        <w:jc w:val="both"/>
      </w:pPr>
      <w:r>
        <w:rPr>
          <w:rFonts w:ascii="Arial" w:hAnsi="Arial" w:cs="Arial"/>
          <w:b w:val="0"/>
          <w:i w:val="0"/>
          <w:sz w:val="28"/>
        </w:rPr>
        <w:t xml:space="preserve">8. O Tema 1.229 do STJ trata da exceção de pré-executividade acolhida em razão da prescrição intercorrente (Lei nº 6.830/1980, art. 40), hipótese distinta da dos autos, em que a execução foi ajuizada após a consumação da prescrição (CTN 174).</w:t>
      </w:r>
    </w:p>
    <w:p>
      <w:pPr>
        <w:spacing w:line="360" w:lineRule="auto" w:after="0" w:before="0"/>
        <w:jc w:val="both"/>
      </w:pPr>
      <w:r>
        <w:rPr>
          <w:rFonts w:ascii="Arial" w:hAnsi="Arial" w:cs="Arial"/>
          <w:b w:val="0"/>
          <w:i w:val="0"/>
          <w:sz w:val="28"/>
        </w:rPr>
        <w:t xml:space="preserve">9. A fixação dos honorários por apreciação equitativa só é admitida quando o proveito econômico for inestimável ou irrisório ou o valor da causa for muito baixo (Tema 1.076/STJ; CPC 85 § 8º).</w:t>
      </w:r>
    </w:p>
    <w:p>
      <w:pPr>
        <w:spacing w:line="360" w:lineRule="auto" w:after="0" w:before="0"/>
        <w:jc w:val="both"/>
      </w:pPr>
      <w:r>
        <w:rPr>
          <w:rFonts w:ascii="Arial" w:hAnsi="Arial" w:cs="Arial"/>
          <w:b w:val="0"/>
          <w:i w:val="0"/>
          <w:sz w:val="28"/>
        </w:rPr>
        <w:t xml:space="preserve">10. O acórdão embargado aplicou os percentuais do CPC 85 § 3º I e II sobre o valor atualizado da execução, de R$ 643.168,84, que não é inestimável nem irrisório, de modo que o embargante apenas diverge da conclusão adotada.</w:t>
      </w:r>
    </w:p>
    <w:p>
      <w:pPr>
        <w:spacing w:line="360" w:lineRule="auto" w:after="0" w:before="0"/>
        <w:jc w:val="both"/>
      </w:pPr>
      <w:r>
        <w:rPr>
          <w:rFonts w:ascii="Arial" w:hAnsi="Arial" w:cs="Arial"/>
          <w:b w:val="0"/>
          <w:i w:val="0"/>
          <w:sz w:val="28"/>
        </w:rPr>
        <w:t xml:space="preserve">11. Suscitada a matéria nos embargos de declaração, consideram-se incluídos no acórdão os elementos para fins de prequestionamento, ainda que os embargos sejam rejeitados, caso o tribunal superior considere existentes erro, omissão, contradição ou obscuridade (CPC 1025).</w:t>
      </w:r>
    </w:p>
    <w:p>
      <w:pPr>
        <w:spacing w:line="360" w:lineRule="auto" w:after="0" w:before="0"/>
        <w:jc w:val="both"/>
      </w:pPr>
      <w:r>
        <w:rPr>
          <w:rFonts w:ascii="Arial" w:hAnsi="Arial" w:cs="Arial"/>
          <w:b/>
          <w:i w:val="0"/>
          <w:sz w:val="28"/>
        </w:rPr>
        <w:t xml:space="preserve">IV. Dispositivo</w:t>
      </w:r>
    </w:p>
    <w:p>
      <w:pPr>
        <w:spacing w:line="360" w:lineRule="auto" w:after="0" w:before="0"/>
        <w:jc w:val="both"/>
      </w:pPr>
      <w:r>
        <w:rPr>
          <w:rFonts w:ascii="Arial" w:hAnsi="Arial" w:cs="Arial"/>
          <w:b w:val="0"/>
          <w:i w:val="0"/>
          <w:sz w:val="28"/>
        </w:rPr>
        <w:t xml:space="preserve">12. Negou-se provimento aos embargos de declaração do agravado.</w:t>
      </w:r>
    </w:p>
    <w:p>
      <w:pPr>
        <w:spacing w:line="360" w:lineRule="auto" w:after="0" w:before="0"/>
        <w:jc w:val="both"/>
      </w:pPr>
      <w:r>
        <w:rPr>
          <w:rFonts w:ascii="Arial" w:hAnsi="Arial" w:cs="Arial"/>
          <w:b w:val="0"/>
          <w:i w:val="0"/>
          <w:sz w:val="26"/>
          <w:u w:val="single"/>
        </w:rPr>
        <w:t xml:space="preserve">_____</w:t>
      </w:r>
    </w:p>
    <w:p>
      <w:pPr>
        <w:spacing w:line="360" w:lineRule="auto" w:after="0" w:before="0"/>
        <w:jc w:val="both"/>
      </w:pPr>
      <w:commentRangeStart w:id="1"/>
      <w:r>
        <w:rPr>
          <w:rFonts w:ascii="Arial" w:hAnsi="Arial" w:cs="Arial"/>
          <w:b w:val="0"/>
          <w:i/>
          <w:sz w:val="26"/>
        </w:rPr>
        <w:t xml:space="preserve">Dispositivos relevantes citados:</w:t>
      </w:r>
      <w:r>
        <w:rPr>
          <w:rFonts w:ascii="Arial" w:hAnsi="Arial" w:cs="Arial"/>
          <w:b w:val="0"/>
          <w:i w:val="0"/>
          <w:sz w:val="26"/>
        </w:rPr>
        <w:t xml:space="preserve"> CPC, arts. 85, §§ 3º, 8º e 10, 1.022, 1.025 e 1.026, § 2º; CTN, art. 174; Lei nº 6.830/1980, art. 40.</w:t>
      </w:r>
      <w:commentRangeEnd w:id="1"/>
      <w:r>
        <w:rPr>
          <w:rStyle w:val="CommentReference"/>
        </w:rPr>
        <w:commentReference w:id="1"/>
      </w:r>
    </w:p>
    <w:p>
      <w:pPr>
        <w:spacing w:line="360" w:lineRule="auto" w:after="0" w:before="0"/>
        <w:jc w:val="both"/>
      </w:pPr>
      <w:r>
        <w:rPr>
          <w:rFonts w:ascii="Arial" w:hAnsi="Arial" w:cs="Arial"/>
          <w:b w:val="0"/>
          <w:i/>
          <w:sz w:val="26"/>
        </w:rPr>
        <w:t xml:space="preserve">Jurisprudência relevante citada:</w:t>
      </w:r>
      <w:r>
        <w:rPr>
          <w:rFonts w:ascii="Arial" w:hAnsi="Arial" w:cs="Arial"/>
          <w:b w:val="0"/>
          <w:i w:val="0"/>
          <w:sz w:val="26"/>
        </w:rPr>
        <w:t xml:space="preserve"> STJ, Tema Repetitivo 1.076, REsps nº 1.850.512/SP, 1.877.883/SC, 1.906.618/SP e 1.906.623/SP, Rel. Min. Og Fernandes, Corte Especial, j. 16/03/2022, DJe 31/05/2022; STJ, Tema Repetitivo 1.229, REsp nº 2.046.269/PR, Rel. Min. Gurgel de Faria, Primeira Seção, j. 09/10/2024.</w:t>
      </w:r>
    </w:p>
    <w:p>
      <w:pPr>
        <w:spacing w:line="360" w:lineRule="auto" w:after="0" w:before="0"/>
        <w:jc w:val="both"/>
      </w:pPr>
    </w:p>
    <w:p>
      <w:pPr>
        <w:spacing w:line="360" w:lineRule="auto" w:after="0" w:before="0"/>
        <w:jc w:val="both"/>
      </w:pPr>
      <w:r>
        <w:rPr>
          <w:rFonts w:ascii="Arial" w:hAnsi="Arial" w:cs="Arial"/>
          <w:b/>
          <w:i w:val="0"/>
          <w:color w:val="EE0000"/>
          <w:sz w:val="28"/>
          <w:highlight w:val="yellow"/>
        </w:rPr>
        <w:t xml:space="preserve">RESUMO DOS EMBARGOS EM SENTIDO CONTRÁRIO AO VOTO</w:t>
      </w:r>
    </w:p>
    <w:p>
      <w:pPr>
        <w:spacing w:line="360" w:lineRule="auto" w:after="0" w:before="0"/>
        <w:jc w:val="both"/>
      </w:pPr>
      <w:r>
        <w:rPr>
          <w:rFonts w:ascii="Arial" w:hAnsi="Arial" w:cs="Arial"/>
          <w:b/>
          <w:i w:val="0"/>
          <w:color w:val="EE0000"/>
          <w:sz w:val="28"/>
        </w:rPr>
        <w:t xml:space="preserve">I. RAZÕES RECURSAIS</w:t>
      </w:r>
    </w:p>
    <w:p>
      <w:pPr>
        <w:spacing w:line="360" w:lineRule="auto" w:after="0" w:before="0"/>
        <w:jc w:val="both"/>
      </w:pPr>
      <w:r>
        <w:rPr>
          <w:rFonts w:ascii="Arial" w:hAnsi="Arial" w:cs="Arial"/>
          <w:b/>
          <w:i w:val="0"/>
          <w:color w:val="EE0000"/>
          <w:sz w:val="28"/>
        </w:rPr>
        <w:t xml:space="preserve">Omissão quanto ao princípio da causalidade e contradição com o entendimento do STJ</w:t>
      </w:r>
    </w:p>
    <w:p>
      <w:pPr>
        <w:spacing w:line="360" w:lineRule="auto" w:after="0" w:before="0"/>
        <w:ind w:hanging="357" w:left="720"/>
        <w:jc w:val="both"/>
      </w:pPr>
      <w:r>
        <w:rPr>
          <w:rFonts w:ascii="Arial" w:hAnsi="Arial" w:cs="Arial"/>
          <w:b w:val="0"/>
          <w:i w:val="0"/>
          <w:color w:val="EE0000"/>
          <w:sz w:val="28"/>
        </w:rPr>
        <w:t xml:space="preserve">1. O embargante sustenta que o acórdão deixou de apreciar o princípio da causalidade (CPC 85 § 10), pois a executada deu causa à execução ao não pagar o IPTU e obteve, na ação cautelar, a ordem de suspensão da exigibilidade, e que a condenação em honorários contraria o REsp 1.769.201/SP e o Tema 1.229/STJ.</w:t>
      </w:r>
    </w:p>
    <w:p>
      <w:pPr>
        <w:spacing w:line="360" w:lineRule="auto" w:after="0" w:before="0"/>
        <w:jc w:val="both"/>
      </w:pPr>
      <w:r>
        <w:rPr>
          <w:rFonts w:ascii="Arial" w:hAnsi="Arial" w:cs="Arial"/>
          <w:b/>
          <w:i w:val="0"/>
          <w:color w:val="EE0000"/>
          <w:sz w:val="28"/>
        </w:rPr>
        <w:t xml:space="preserve">Honorários por apreciação equitativa</w:t>
      </w:r>
    </w:p>
    <w:p>
      <w:pPr>
        <w:spacing w:line="360" w:lineRule="auto" w:after="0" w:before="0"/>
        <w:ind w:hanging="357" w:left="720"/>
        <w:jc w:val="both"/>
      </w:pPr>
      <w:r>
        <w:rPr>
          <w:rFonts w:ascii="Arial" w:hAnsi="Arial" w:cs="Arial"/>
          <w:b w:val="0"/>
          <w:i w:val="0"/>
          <w:color w:val="EE0000"/>
          <w:sz w:val="28"/>
        </w:rPr>
        <w:t xml:space="preserve">2. O embargante sustenta que, se mantida a condenação, os honorários devem ser fixados por apreciação equitativa (CPC 85 § 8º), pois o percentual mínimo geraria cerca de R$ 70.000,00 para causa sem complexidade e serviço prestado em Brasília, e invoca o Tema 1.255/STF.</w:t>
      </w:r>
    </w:p>
    <w:p>
      <w:pPr>
        <w:spacing w:line="360" w:lineRule="auto" w:after="0" w:before="0"/>
        <w:jc w:val="both"/>
      </w:pPr>
      <w:r>
        <w:rPr>
          <w:rFonts w:ascii="Arial" w:hAnsi="Arial" w:cs="Arial"/>
          <w:b/>
          <w:i w:val="0"/>
          <w:color w:val="EE0000"/>
          <w:sz w:val="28"/>
        </w:rPr>
        <w:t xml:space="preserve">Prequestionamento</w:t>
      </w:r>
    </w:p>
    <w:p>
      <w:pPr>
        <w:spacing w:line="360" w:lineRule="auto" w:after="0" w:before="0"/>
        <w:ind w:hanging="357" w:left="720"/>
        <w:jc w:val="both"/>
      </w:pPr>
      <w:r>
        <w:rPr>
          <w:rFonts w:ascii="Arial" w:hAnsi="Arial" w:cs="Arial"/>
          <w:b w:val="0"/>
          <w:i w:val="0"/>
          <w:color w:val="EE0000"/>
          <w:sz w:val="28"/>
        </w:rPr>
        <w:t xml:space="preserve">3. O embargante requer manifestação expressa sobre os dispositivos legais e constitucionais que indica (CPC 85, 489 e 1.022; CF 5º LIV e LV e 93 IX), para fins de prequestionamento.</w:t>
      </w:r>
    </w:p>
    <w:p>
      <w:pPr>
        <w:spacing w:line="360" w:lineRule="auto" w:after="0" w:before="0"/>
        <w:jc w:val="both"/>
      </w:pPr>
      <w:r>
        <w:rPr>
          <w:rFonts w:ascii="Arial" w:hAnsi="Arial" w:cs="Arial"/>
          <w:b/>
          <w:i w:val="0"/>
          <w:color w:val="EE0000"/>
          <w:sz w:val="28"/>
        </w:rPr>
        <w:t xml:space="preserve">II. PEDIDO</w:t>
      </w:r>
    </w:p>
    <w:p>
      <w:pPr>
        <w:spacing w:line="360" w:lineRule="auto" w:after="0" w:before="0"/>
        <w:ind w:hanging="357" w:left="720"/>
        <w:jc w:val="both"/>
      </w:pPr>
      <w:r>
        <w:rPr>
          <w:rFonts w:ascii="Arial" w:hAnsi="Arial" w:cs="Arial"/>
          <w:b w:val="0"/>
          <w:i w:val="0"/>
          <w:color w:val="EE0000"/>
          <w:sz w:val="28"/>
        </w:rPr>
        <w:t xml:space="preserve">4. O embargante requer o acolhimento dos embargos para excluir a condenação em honorários ou, sucessivamente, para fixá-los por apreciação equitativa, com manifestação expressa para fins de prequestionamento.</w:t>
      </w:r>
    </w:p>
    <w:p>
      <w:pPr>
        <w:spacing w:line="360" w:lineRule="auto" w:after="0" w:before="0"/>
        <w:jc w:val="both"/>
      </w:pPr>
    </w:p>
    <w:p>
      <w:pPr>
        <w:pageBreakBefore/>
        <w:spacing w:line="360" w:lineRule="auto" w:after="0" w:before="0"/>
        <w:jc w:val="center"/>
      </w:pPr>
      <w:r>
        <w:rPr>
          <w:rFonts w:ascii="Arial" w:hAnsi="Arial" w:cs="Arial"/>
          <w:b/>
          <w:i w:val="0"/>
          <w:sz w:val="28"/>
        </w:rPr>
        <w:t xml:space="preserve">RELATÓRIO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agravado, DISTRITO FEDERAL, opõe embargos de declaração contra o v. acórdão que deu provimento ao agravo de instrumento e ostenta a seguinte ementa:</w:t>
      </w:r>
    </w:p>
    <w:p>
      <w:pPr>
        <w:spacing w:line="360" w:lineRule="auto" w:after="0"/>
        <w:ind w:firstLine="2268"/>
      </w:pPr>
      <w:r>
        <w:rPr>
          <w:sz w:val="28"/>
        </w:rPr>
      </w:r>
    </w:p>
    <w:p>
      <w:pPr>
        <w:spacing w:line="360" w:lineRule="auto" w:after="0" w:before="0"/>
        <w:ind w:left="2268"/>
        <w:jc w:val="both"/>
      </w:pPr>
      <w:r>
        <w:rPr>
          <w:rFonts w:ascii="Arial" w:hAnsi="Arial" w:cs="Arial"/>
          <w:b w:val="0"/>
          <w:i/>
          <w:sz w:val="26"/>
        </w:rPr>
        <w:t xml:space="preserve">“AGRAVO DE INSTRUMENTO. DIREITO TRIBUTÁRIO. EXECUÇÃO FISCAL. IPTU. EXCEÇÃO DE PRÉ-EXECUTIVIDADE. PRESCRIÇÃO DA PRETENSÃO EXECUTIVA. CAUÇÃO PRÉVIA À EXECUÇÃO FISCAL. CERTIDÃO POSITIVA COM EFEITOS DE NEGATIVA (CPEN). TEMA 237/STJ. SUSPENSÃO DA EXIGIBILIDADE. CESSAÇÃO DO MOTIVO SUSPENSIVO. PRESCRIÇÃO RECONHECIDA. PROVIMENTO.</w:t>
      </w:r>
    </w:p>
    <w:p>
      <w:pPr>
        <w:spacing w:line="360" w:lineRule="auto" w:after="0" w:before="0"/>
        <w:ind w:left="2268"/>
        <w:jc w:val="both"/>
      </w:pPr>
      <w:r>
        <w:rPr>
          <w:rFonts w:ascii="Arial" w:hAnsi="Arial" w:cs="Arial"/>
          <w:b w:val="0"/>
          <w:i/>
          <w:sz w:val="26"/>
        </w:rPr>
        <w:t xml:space="preserve">I. Caso em exame</w:t>
      </w:r>
    </w:p>
    <w:p>
      <w:pPr>
        <w:spacing w:line="360" w:lineRule="auto" w:after="0" w:before="0"/>
        <w:ind w:left="2268"/>
        <w:jc w:val="both"/>
      </w:pPr>
      <w:r>
        <w:rPr>
          <w:rFonts w:ascii="Arial" w:hAnsi="Arial" w:cs="Arial"/>
          <w:b w:val="0"/>
          <w:i/>
          <w:sz w:val="26"/>
        </w:rPr>
        <w:t xml:space="preserve">1. Execução fiscal proposta pelo Distrito Federal contra CONTERC Construção Terraplenagem e Consultoria Ltda. para cobrança de créditos de IPTU (R$ 643.168,84) referentes aos exercícios de 2013, 2014 e 2015, consubstanciados nas CDAs nº 50244032637, 50244032653 e 50244032661.</w:t>
      </w:r>
    </w:p>
    <w:p>
      <w:pPr>
        <w:spacing w:line="360" w:lineRule="auto" w:after="0" w:before="0"/>
        <w:ind w:left="2268"/>
        <w:jc w:val="both"/>
      </w:pPr>
      <w:r>
        <w:rPr>
          <w:rFonts w:ascii="Arial" w:hAnsi="Arial" w:cs="Arial"/>
          <w:b w:val="0"/>
          <w:i/>
          <w:sz w:val="26"/>
        </w:rPr>
        <w:t xml:space="preserve">2. A decisão agravada rejeitou exceção de pré-executividade que arguia a prescrição da pretensão executiva, ao fundamento de que ação cautelar antecedente ajuizada pela executada suspendeu a exigibilidade dos créditos tributários, obstando o curso do prazo prescricional.</w:t>
      </w:r>
    </w:p>
    <w:p>
      <w:pPr>
        <w:spacing w:line="360" w:lineRule="auto" w:after="0" w:before="0"/>
        <w:ind w:left="2268"/>
        <w:jc w:val="both"/>
      </w:pPr>
      <w:r>
        <w:rPr>
          <w:rFonts w:ascii="Arial" w:hAnsi="Arial" w:cs="Arial"/>
          <w:b w:val="0"/>
          <w:i/>
          <w:sz w:val="26"/>
        </w:rPr>
        <w:t xml:space="preserve">3. A executada agrava requerendo a reforma da decisão para reconhecer a prescrição da pretensão executiva e extinguir a execução fiscal.</w:t>
      </w:r>
    </w:p>
    <w:p>
      <w:pPr>
        <w:spacing w:line="360" w:lineRule="auto" w:after="0" w:before="0"/>
        <w:ind w:left="2268"/>
        <w:jc w:val="both"/>
      </w:pPr>
      <w:r>
        <w:rPr>
          <w:rFonts w:ascii="Arial" w:hAnsi="Arial" w:cs="Arial"/>
          <w:b w:val="0"/>
          <w:i/>
          <w:sz w:val="26"/>
        </w:rPr>
        <w:t xml:space="preserve">II. Questão em discussão</w:t>
      </w:r>
    </w:p>
    <w:p>
      <w:pPr>
        <w:spacing w:line="360" w:lineRule="auto" w:after="0" w:before="0"/>
        <w:ind w:left="2268"/>
        <w:jc w:val="both"/>
      </w:pPr>
      <w:r>
        <w:rPr>
          <w:rFonts w:ascii="Arial" w:hAnsi="Arial" w:cs="Arial"/>
          <w:b w:val="0"/>
          <w:i/>
          <w:sz w:val="26"/>
        </w:rPr>
        <w:t xml:space="preserve">4. Há duas questões em discussão: (i) saber se a ação cautelar antecedente ajuizada para oferecimento de caução e obtenção de certidão positiva com efeitos de negativa suspendeu a exigibilidade dos créditos tributários e, por consequência, o prazo prescricional para ajuizamento da execução fiscal; e (ii) saber se, mesmo admitida a suspensão da exigibilidade, a pretensão executiva restou alcançada pela prescrição diante do lapso temporal transcorrido até o ajuizamento da execução fiscal.</w:t>
      </w:r>
    </w:p>
    <w:p>
      <w:pPr>
        <w:spacing w:line="360" w:lineRule="auto" w:after="0" w:before="0"/>
        <w:ind w:left="2268"/>
        <w:jc w:val="both"/>
      </w:pPr>
      <w:r>
        <w:rPr>
          <w:rFonts w:ascii="Arial" w:hAnsi="Arial" w:cs="Arial"/>
          <w:b w:val="0"/>
          <w:i/>
          <w:sz w:val="26"/>
        </w:rPr>
        <w:t xml:space="preserve">III. Razões de decidir</w:t>
      </w:r>
    </w:p>
    <w:p>
      <w:pPr>
        <w:spacing w:line="360" w:lineRule="auto" w:after="0" w:before="0"/>
        <w:ind w:left="2268"/>
        <w:jc w:val="both"/>
      </w:pPr>
      <w:r>
        <w:rPr>
          <w:rFonts w:ascii="Arial" w:hAnsi="Arial" w:cs="Arial"/>
          <w:b w:val="0"/>
          <w:i/>
          <w:sz w:val="26"/>
        </w:rPr>
        <w:t xml:space="preserve">5. A ação cautelar nº 0719516-18.2018.8.07.0016 teve finalidade estritamente instrumental, consistente no oferecimento de caução prévia à execução fiscal para obtenção de certidão positiva com efeitos de negativa, nos termos do art. 206 do CTN e do Tema 237/STJ.</w:t>
      </w:r>
    </w:p>
    <w:p>
      <w:pPr>
        <w:spacing w:line="360" w:lineRule="auto" w:after="0" w:before="0"/>
        <w:ind w:left="2268"/>
        <w:jc w:val="both"/>
      </w:pPr>
      <w:r>
        <w:rPr>
          <w:rFonts w:ascii="Arial" w:hAnsi="Arial" w:cs="Arial"/>
          <w:b w:val="0"/>
          <w:i/>
          <w:sz w:val="26"/>
        </w:rPr>
        <w:t xml:space="preserve">6. A petição inicial não formulou pedido de anulação do crédito tributário, declaração de inexigibilidade do débito ou suspensão autônoma da pretensão executiva.</w:t>
      </w:r>
    </w:p>
    <w:p>
      <w:pPr>
        <w:spacing w:line="360" w:lineRule="auto" w:after="0" w:before="0"/>
        <w:ind w:left="2268"/>
        <w:jc w:val="both"/>
      </w:pPr>
      <w:r>
        <w:rPr>
          <w:rFonts w:ascii="Arial" w:hAnsi="Arial" w:cs="Arial"/>
          <w:b w:val="0"/>
          <w:i/>
          <w:sz w:val="26"/>
        </w:rPr>
        <w:t xml:space="preserve">7. A caução imobiliária ofertada pela contribuinte não se equipara ao depósito integral previsto no art. 151, II, do CTN. Embora o art. 151, V, do CTN admita suspensão da exigibilidade por medida liminar ou tutela antecipada, tal providência exige pronunciamento jurisdicional compatível com a finalidade da demanda.</w:t>
      </w:r>
    </w:p>
    <w:p>
      <w:pPr>
        <w:spacing w:line="360" w:lineRule="auto" w:after="0" w:before="0"/>
        <w:ind w:left="2268"/>
        <w:jc w:val="both"/>
      </w:pPr>
      <w:r>
        <w:rPr>
          <w:rFonts w:ascii="Arial" w:hAnsi="Arial" w:cs="Arial"/>
          <w:b w:val="0"/>
          <w:i/>
          <w:sz w:val="26"/>
        </w:rPr>
        <w:t xml:space="preserve">8. Em ação voltada exclusivamente à obtenção de certidão positiva com efeitos negativos mediante garantia antecipada, a suspensão da exigibilidade não constitui consequência necessária nem pode operar como causa de paralisação indefinida da prescrição.</w:t>
      </w:r>
    </w:p>
    <w:p>
      <w:pPr>
        <w:spacing w:line="360" w:lineRule="auto" w:after="0" w:before="0"/>
        <w:ind w:left="2268"/>
        <w:jc w:val="both"/>
      </w:pPr>
      <w:r>
        <w:rPr>
          <w:rFonts w:ascii="Arial" w:hAnsi="Arial" w:cs="Arial"/>
          <w:b w:val="0"/>
          <w:i/>
          <w:sz w:val="26"/>
        </w:rPr>
        <w:t xml:space="preserve">9. Ainda que se admita, em benefício da Fazenda Pública, a eficácia suspensiva decorrente da decisão proferida na cautelar, o prazo prescricional voltou a fluir, ao menos, com o arquivamento do processo em 31/01/2019.</w:t>
      </w:r>
    </w:p>
    <w:p>
      <w:pPr>
        <w:spacing w:line="360" w:lineRule="auto" w:after="0" w:before="0"/>
        <w:ind w:left="2268"/>
        <w:jc w:val="both"/>
      </w:pPr>
      <w:r>
        <w:rPr>
          <w:rFonts w:ascii="Arial" w:hAnsi="Arial" w:cs="Arial"/>
          <w:b w:val="0"/>
          <w:i/>
          <w:sz w:val="26"/>
        </w:rPr>
        <w:t xml:space="preserve">10. Como os créditos foram definitivamente constituídos em 07/05/2013, 07/05/2014 e 09/06/2015, e a execução fiscal somente foi ajuizada em 10/09/2024, consumou-se a prescrição quinquenal da pretensão executiva muito antes da propositura da demanda executiva.</w:t>
      </w:r>
    </w:p>
    <w:p>
      <w:pPr>
        <w:spacing w:line="360" w:lineRule="auto" w:after="0" w:before="0"/>
        <w:ind w:left="2268"/>
        <w:jc w:val="both"/>
      </w:pPr>
      <w:r>
        <w:rPr>
          <w:rFonts w:ascii="Arial" w:hAnsi="Arial" w:cs="Arial"/>
          <w:b w:val="0"/>
          <w:i/>
          <w:sz w:val="26"/>
        </w:rPr>
        <w:t xml:space="preserve">11. A medida antecedente, destinada à obtenção de CPEN, não impede indefinidamente o ajuizamento da execução fiscal nem suspende perpetuamente o curso da prescrição.</w:t>
      </w:r>
    </w:p>
    <w:p>
      <w:pPr>
        <w:spacing w:line="360" w:lineRule="auto" w:after="0" w:before="0"/>
        <w:ind w:left="2268"/>
        <w:jc w:val="both"/>
      </w:pPr>
      <w:r>
        <w:rPr>
          <w:rFonts w:ascii="Arial" w:hAnsi="Arial" w:cs="Arial"/>
          <w:b w:val="0"/>
          <w:i/>
          <w:sz w:val="26"/>
        </w:rPr>
        <w:t xml:space="preserve">IV. Dispositivo</w:t>
      </w:r>
    </w:p>
    <w:p>
      <w:pPr>
        <w:spacing w:line="360" w:lineRule="auto" w:after="0" w:before="0"/>
        <w:ind w:left="2268"/>
        <w:jc w:val="both"/>
      </w:pPr>
      <w:r>
        <w:rPr>
          <w:rFonts w:ascii="Arial" w:hAnsi="Arial" w:cs="Arial"/>
          <w:b w:val="0"/>
          <w:i/>
          <w:sz w:val="26"/>
        </w:rPr>
        <w:t xml:space="preserve">12. Deu-se provimento ao agravo de instrumento da executada para reformar a decisão agravada, acolher a exceção de pré-executividade, reconhecer a prescrição da pretensão executiva relativa às CDAs nº 50244032637, 50244032653 e 50244032661, referentes aos créditos de IPTU dos exercícios de 2013, 2014 e 2015, e extinguir a execução fiscal nº 0780092-64.2024.8.07.0016 com resolução de mérito.” (ID 89137307)</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embargante alega a existência de omissão e de contradição no acórdão.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Em impugnação, o embargado alega que: </w:t>
      </w:r>
      <w:r>
        <w:rPr>
          <w:rFonts w:ascii="Arial" w:hAnsi="Arial" w:cs="Arial"/>
          <w:b/>
          <w:i w:val="0"/>
          <w:sz w:val="28"/>
        </w:rPr>
        <w:t xml:space="preserve">1)</w:t>
      </w:r>
      <w:r>
        <w:rPr>
          <w:rFonts w:ascii="Arial" w:hAnsi="Arial" w:cs="Arial"/>
          <w:b w:val="0"/>
          <w:i w:val="0"/>
          <w:sz w:val="28"/>
        </w:rPr>
        <w:t xml:space="preserve"> a premissa do embargante é equivocada, pois a hipótese é de prescrição da pretensão executiva (CTN 174), e não de prescrição intercorrente (Lei nº 6.830/1980, art. 40); </w:t>
      </w:r>
      <w:r>
        <w:rPr>
          <w:rFonts w:ascii="Arial" w:hAnsi="Arial" w:cs="Arial"/>
          <w:b/>
          <w:i w:val="0"/>
          <w:sz w:val="28"/>
        </w:rPr>
        <w:t xml:space="preserve">2)</w:t>
      </w:r>
      <w:r>
        <w:rPr>
          <w:rFonts w:ascii="Arial" w:hAnsi="Arial" w:cs="Arial"/>
          <w:b w:val="0"/>
          <w:i w:val="0"/>
          <w:sz w:val="28"/>
        </w:rPr>
        <w:t xml:space="preserve"> o embargante assumiu o risco de ajuizar a execução, como mostra a discussão interna de sua Procuradoria; </w:t>
      </w:r>
      <w:r>
        <w:rPr>
          <w:rFonts w:ascii="Arial" w:hAnsi="Arial" w:cs="Arial"/>
          <w:b/>
          <w:i w:val="0"/>
          <w:sz w:val="28"/>
        </w:rPr>
        <w:t xml:space="preserve">3)</w:t>
      </w:r>
      <w:r>
        <w:rPr>
          <w:rFonts w:ascii="Arial" w:hAnsi="Arial" w:cs="Arial"/>
          <w:b w:val="0"/>
          <w:i w:val="0"/>
          <w:sz w:val="28"/>
        </w:rPr>
        <w:t xml:space="preserve"> a fixação dos honorários por apreciação equitativa viola o CPC 85 e o Tema 1.076/STJ; </w:t>
      </w:r>
      <w:r>
        <w:rPr>
          <w:rFonts w:ascii="Arial" w:hAnsi="Arial" w:cs="Arial"/>
          <w:b/>
          <w:i w:val="0"/>
          <w:sz w:val="28"/>
        </w:rPr>
        <w:t xml:space="preserve">4)</w:t>
      </w:r>
      <w:r>
        <w:rPr>
          <w:rFonts w:ascii="Arial" w:hAnsi="Arial" w:cs="Arial"/>
          <w:b w:val="0"/>
          <w:i w:val="0"/>
          <w:sz w:val="28"/>
        </w:rPr>
        <w:t xml:space="preserve"> os embargos são protelatórios, de modo que se impõe a multa do CPC 1.026 § 2º (ID 89949821).</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É o relatório.</w:t>
      </w:r>
    </w:p>
    <w:p>
      <w:pPr>
        <w:spacing w:line="360" w:lineRule="auto" w:after="0"/>
        <w:ind w:firstLine="2268"/>
      </w:pPr>
      <w:r>
        <w:rPr>
          <w:sz w:val="28"/>
        </w:rPr>
      </w:r>
    </w:p>
    <w:p>
      <w:pPr>
        <w:pageBreakBefore/>
        <w:spacing w:line="360" w:lineRule="auto" w:after="0" w:before="0"/>
        <w:jc w:val="center"/>
      </w:pPr>
      <w:r>
        <w:rPr>
          <w:rFonts w:ascii="Arial" w:hAnsi="Arial" w:cs="Arial"/>
          <w:b/>
          <w:i w:val="0"/>
          <w:sz w:val="28"/>
        </w:rPr>
        <w:t xml:space="preserve">VOTO</w:t>
      </w:r>
    </w:p>
    <w:p>
      <w:pPr>
        <w:spacing w:line="360" w:lineRule="auto" w:after="0"/>
        <w:ind w:firstLine="2268"/>
      </w:pPr>
      <w:r>
        <w:rPr>
          <w:sz w:val="28"/>
        </w:rPr>
      </w:r>
    </w:p>
    <w:p>
      <w:pPr>
        <w:spacing w:line="360" w:lineRule="auto" w:after="0" w:before="0"/>
        <w:jc w:val="both"/>
      </w:pPr>
      <w:r>
        <w:rPr>
          <w:rFonts w:ascii="Arial" w:hAnsi="Arial" w:cs="Arial"/>
          <w:b/>
          <w:i w:val="0"/>
          <w:sz w:val="28"/>
        </w:rPr>
        <w:t xml:space="preserve">O Senhor Desembargador SÉRGIO ROCHA – Relator</w:t>
      </w:r>
    </w:p>
    <w:p>
      <w:pPr>
        <w:spacing w:line="360" w:lineRule="auto" w:after="0"/>
        <w:ind w:firstLine="2268"/>
      </w:pPr>
      <w:r>
        <w:rPr>
          <w:sz w:val="28"/>
        </w:rPr>
      </w:r>
    </w:p>
    <w:p>
      <w:pPr>
        <w:spacing w:line="360" w:lineRule="auto" w:after="0" w:before="0"/>
        <w:jc w:val="center"/>
      </w:pPr>
      <w:r>
        <w:rPr>
          <w:rFonts w:ascii="Arial" w:hAnsi="Arial" w:cs="Arial"/>
          <w:b/>
          <w:i w:val="0"/>
          <w:sz w:val="28"/>
        </w:rPr>
        <w:t xml:space="preserve">EMBARGOS DE DECLARAÇÃO OPOSTOS PELO AGRAVADO, DISTRITO FEDERAL</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Presentes os pressupostos de admissibilidade, conheço dos embargos de declaração.</w:t>
      </w:r>
    </w:p>
    <w:p>
      <w:pPr>
        <w:spacing w:line="360" w:lineRule="auto" w:after="0"/>
        <w:ind w:firstLine="2268"/>
      </w:pPr>
      <w:r>
        <w:rPr>
          <w:sz w:val="28"/>
        </w:rPr>
      </w:r>
    </w:p>
    <w:p>
      <w:pPr>
        <w:spacing w:line="360" w:lineRule="auto" w:after="0" w:before="0"/>
        <w:jc w:val="center"/>
      </w:pPr>
      <w:r>
        <w:rPr>
          <w:rFonts w:ascii="Arial" w:hAnsi="Arial" w:cs="Arial"/>
          <w:b w:val="0"/>
          <w:i w:val="0"/>
          <w:sz w:val="28"/>
          <w:highlight w:val="yellow"/>
        </w:rPr>
        <w:t xml:space="preserve">DA INEXISTÊNCIA DE OMISSÃO E DE CONTRADIÇÃO QUANTO À CONDENAÇÃO DO DISTRITO FEDERAL EM HONORÁRIOS ADVOCATÍCIOS</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embargante alega que: </w:t>
      </w:r>
      <w:r>
        <w:rPr>
          <w:rFonts w:ascii="Arial" w:hAnsi="Arial" w:cs="Arial"/>
          <w:b/>
          <w:i w:val="0"/>
          <w:sz w:val="28"/>
        </w:rPr>
        <w:t xml:space="preserve">1)</w:t>
      </w:r>
      <w:r>
        <w:rPr>
          <w:rFonts w:ascii="Arial" w:hAnsi="Arial" w:cs="Arial"/>
          <w:b w:val="0"/>
          <w:i w:val="0"/>
          <w:sz w:val="28"/>
        </w:rPr>
        <w:t xml:space="preserve"> o acórdão foi omisso quanto ao princípio da causalidade (CPC 85 § 10), pois a executada deu causa à execução ao deixar de pagar o IPTU e obteve, na ação cautelar, a ordem de suspensão da exigibilidade; </w:t>
      </w:r>
      <w:r>
        <w:rPr>
          <w:rFonts w:ascii="Arial" w:hAnsi="Arial" w:cs="Arial"/>
          <w:b/>
          <w:i w:val="0"/>
          <w:sz w:val="28"/>
        </w:rPr>
        <w:t xml:space="preserve">2)</w:t>
      </w:r>
      <w:r>
        <w:rPr>
          <w:rFonts w:ascii="Arial" w:hAnsi="Arial" w:cs="Arial"/>
          <w:b w:val="0"/>
          <w:i w:val="0"/>
          <w:sz w:val="28"/>
        </w:rPr>
        <w:t xml:space="preserve"> a condenação em honorários contraria o REsp 1.769.201/SP e o Tema 1.229/STJ; </w:t>
      </w:r>
      <w:r>
        <w:rPr>
          <w:rFonts w:ascii="Arial" w:hAnsi="Arial" w:cs="Arial"/>
          <w:b/>
          <w:i w:val="0"/>
          <w:sz w:val="28"/>
        </w:rPr>
        <w:t xml:space="preserve">3)</w:t>
      </w:r>
      <w:r>
        <w:rPr>
          <w:rFonts w:ascii="Arial" w:hAnsi="Arial" w:cs="Arial"/>
          <w:b w:val="0"/>
          <w:i w:val="0"/>
          <w:sz w:val="28"/>
        </w:rPr>
        <w:t xml:space="preserve"> os precedentes que invoca afastam os honorários contra a Fazenda Pública quando o contribuinte dá causa à execução (ID 89719854).</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Requer o provimento dos embargos de declaração para que seja sanada a omissão apontada, com a exclusão da condenação em honorários.</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 xml:space="preserve">Sem razão o embargante.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 alegação de omissão não merece prosperar, pois a matéria foi devidamente analisada no r. acórdão, que assim se manifestou:</w:t>
      </w:r>
    </w:p>
    <w:p>
      <w:pPr>
        <w:spacing w:line="360" w:lineRule="auto" w:after="0"/>
        <w:ind w:firstLine="2268"/>
      </w:pPr>
      <w:r>
        <w:rPr>
          <w:sz w:val="28"/>
        </w:rPr>
      </w:r>
    </w:p>
    <w:p>
      <w:pPr>
        <w:spacing w:line="360" w:lineRule="auto" w:after="0" w:before="0"/>
        <w:ind w:left="2268" w:firstLine="1134"/>
        <w:jc w:val="both"/>
      </w:pPr>
      <w:r>
        <w:rPr>
          <w:rFonts w:ascii="Arial" w:hAnsi="Arial" w:cs="Arial"/>
          <w:b w:val="0"/>
          <w:i/>
          <w:sz w:val="26"/>
        </w:rPr>
        <w:t xml:space="preserve">“Assim, mesmo no cenário mais favorável ao Distrito Federal, considerando-se suspenso o prazo entre o ajuizamento da cautelar, em 03/05/2018, e o arquivamento do feito, em 31/01/2019, a execução fiscal ajuizada apenas em 10/09/2024 mostra-se intempestiva.</w:t>
      </w:r>
    </w:p>
    <w:p>
      <w:pPr>
        <w:spacing w:line="360" w:lineRule="auto" w:after="0" w:before="0"/>
        <w:ind w:left="2268"/>
        <w:jc w:val="both"/>
      </w:pPr>
      <w:r>
        <w:rPr>
          <w:rFonts w:ascii="Arial" w:hAnsi="Arial" w:cs="Arial"/>
          <w:b w:val="0"/>
          <w:i/>
          <w:sz w:val="26"/>
        </w:rPr>
        <w:t xml:space="preserve">Com efeito, os créditos foram constituídos em 07/05/2013, 07/05/2014 e 09/06/2015, de modo que, acrescido o período de suspensão, a prescrição teria se consumado, respectivamente, em fevereiro de 2019, fevereiro de 2020 e março de 2021, muito antes da propositura da execução fiscal.</w:t>
      </w:r>
    </w:p>
    <w:p>
      <w:pPr>
        <w:spacing w:line="360" w:lineRule="auto" w:after="0" w:before="0"/>
        <w:ind w:left="2268"/>
        <w:jc w:val="both"/>
      </w:pPr>
      <w:r>
        <w:rPr>
          <w:rFonts w:ascii="Arial" w:hAnsi="Arial" w:cs="Arial"/>
          <w:b w:val="0"/>
          <w:i/>
          <w:sz w:val="26"/>
        </w:rPr>
        <w:t xml:space="preserve">Não procede, portanto, a tese de que a decisão cautelar teria impedido o ajuizamento da execução fiscal até 2024. A medida antecedente tinha caráter instrumental e provisório, voltado à garantia do crédito e à emissão de CPEN, não podendo converter-se em causa de paralisação ilimitada da prescrição tributária.” (ID 89137307)</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No caso, o acórdão afastou a tese de que a ação cautelar impediu o ajuizamento da execução fiscal, proposta em 10/09/2024, após a consumação da prescrição da pretensão executiva, e condenou o embargante, vencido, em honorários advocatícios (ID 89137307).</w:t>
      </w:r>
    </w:p>
    <w:p>
      <w:pPr>
        <w:spacing w:line="360" w:lineRule="auto" w:after="0"/>
        <w:ind w:firstLine="2268"/>
      </w:pPr>
      <w:r>
        <w:rPr>
          <w:sz w:val="28"/>
        </w:rPr>
      </w:r>
    </w:p>
    <w:p>
      <w:pPr>
        <w:spacing w:line="360" w:lineRule="auto" w:after="0" w:before="0"/>
        <w:ind w:firstLine="2268"/>
        <w:jc w:val="both"/>
      </w:pPr>
      <w:commentRangeStart w:id="5"/>
      <w:r>
        <w:rPr>
          <w:rFonts w:ascii="Arial" w:hAnsi="Arial" w:cs="Arial"/>
          <w:b w:val="0"/>
          <w:i w:val="0"/>
          <w:sz w:val="28"/>
        </w:rPr>
        <w:t xml:space="preserve">No mais, os precedentes invocados não socorrem o embargante, pois tratam de ação de exibição de documentos, de extinção por incompetência, de cancelamento do débito por equívoco do contribuinte no preenchimento da declaração e de prescrição intercorrente (Lei nº 6.830/1980, art. 40), hipóteses distintas da dos autos.</w:t>
      </w:r>
      <w:commentRangeEnd w:id="5"/>
      <w:r>
        <w:rPr>
          <w:rStyle w:val="CommentReference"/>
        </w:rPr>
        <w:commentReference w:id="5"/>
      </w:r>
    </w:p>
    <w:p>
      <w:pPr>
        <w:spacing w:line="360" w:lineRule="auto" w:after="0"/>
        <w:ind w:firstLine="2268"/>
      </w:pPr>
      <w:r>
        <w:rPr>
          <w:sz w:val="28"/>
        </w:rPr>
      </w:r>
    </w:p>
    <w:p>
      <w:pPr>
        <w:spacing w:line="360" w:lineRule="auto" w:after="0" w:before="0"/>
        <w:ind w:firstLine="2268"/>
        <w:jc w:val="both"/>
      </w:pPr>
      <w:commentRangeStart w:id="2"/>
      <w:r>
        <w:rPr>
          <w:rFonts w:ascii="Arial" w:hAnsi="Arial" w:cs="Arial"/>
          <w:b w:val="0"/>
          <w:i w:val="0"/>
          <w:sz w:val="28"/>
        </w:rPr>
        <w:t xml:space="preserve">Em relação ao Tema 1.229 do STJ, a tese firmada é a seguinte:</w:t>
      </w:r>
      <w:commentRangeEnd w:id="2"/>
      <w:r>
        <w:rPr>
          <w:rStyle w:val="CommentReference"/>
        </w:rPr>
        <w:commentReference w:id="2"/>
      </w:r>
    </w:p>
    <w:p>
      <w:pPr>
        <w:spacing w:line="360" w:lineRule="auto" w:after="0"/>
        <w:ind w:firstLine="2268"/>
      </w:pPr>
      <w:r>
        <w:rPr>
          <w:sz w:val="28"/>
        </w:rPr>
      </w:r>
    </w:p>
    <w:p>
      <w:pPr>
        <w:spacing w:line="360" w:lineRule="auto" w:after="0" w:before="0"/>
        <w:ind w:left="2268"/>
        <w:jc w:val="both"/>
      </w:pPr>
      <w:r>
        <w:rPr>
          <w:rFonts w:ascii="Arial" w:hAnsi="Arial" w:cs="Arial"/>
          <w:b w:val="0"/>
          <w:i/>
          <w:sz w:val="26"/>
        </w:rPr>
        <w:t xml:space="preserve">“À luz do princípio da causalidade, não cabe fixação de honorários advocatícios quando a exceção de pré-executividade é acolhida para extinguir a execução fiscal em razão do reconhecimento da prescrição intercorrente, prevista no art. 40 da Lei n. 6.830/1980.” (REsp n. 2.046.269/PR, relator Ministro Gurgel de Faria, Primeira Seção, julgado em 9/10/2024.)</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No caso, a execução não foi extinta por prescrição intercorrente, mas por ter sido ajuizada após a consumação da prescrição da pretensão executiva (ID 89137307).</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Dessa forma, conforme mencionado no v. acórdão embargado, a matéria relativa à ausência de impedimento ao ajuizamento da execução fiscal e à condenação do embargante em honorários foi suficientemente abordada, não havendo omissão a ser sanada, mas apenas mero inconformismo meritório do embargante com a conclusão adotada pelo Colegiado.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Registro que a contradição passível de ser alegada em embargos de declaração é a interna, ou seja, entre as premissas utilizadas e a conclusão do julgamento, o que não se verifica na hipótese, uma vez que a fundamentação e o dispositivo ostentam coerência lógica entre si.</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v. acórdão embargado, portanto, cumpriu sua finalidade, na medida em que analisou as teses jurídicas sustentadas e decidiu-as fundamentadamente, emitindo juízo de valor sobre as questões relevantes para o julgamento da matéria devolvida.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Na verdade, ao alegar omissão e contradição, o embargante pretende o reexame do agravo, o que é vedado em sede de embargos de declaração.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u w:val="single"/>
        </w:rPr>
        <w:t xml:space="preserve">Nego provimento aos embargos de declaração, nesse ponto.</w:t>
      </w:r>
    </w:p>
    <w:p>
      <w:pPr>
        <w:spacing w:line="360" w:lineRule="auto" w:after="0"/>
        <w:ind w:firstLine="2268"/>
      </w:pPr>
      <w:r>
        <w:rPr>
          <w:sz w:val="28"/>
        </w:rPr>
      </w:r>
    </w:p>
    <w:p>
      <w:pPr>
        <w:spacing w:line="360" w:lineRule="auto" w:after="0" w:before="0"/>
        <w:jc w:val="center"/>
      </w:pPr>
      <w:r>
        <w:rPr>
          <w:rFonts w:ascii="Arial" w:hAnsi="Arial" w:cs="Arial"/>
          <w:b w:val="0"/>
          <w:i w:val="0"/>
          <w:sz w:val="28"/>
          <w:highlight w:val="yellow"/>
        </w:rPr>
        <w:t xml:space="preserve">DA INEXISTÊNCIA DE OMISSÃO QUANTO À FIXAÇÃO DOS HONORÁRIOS POR APRECIAÇÃO EQUITATIVA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embargante alega que: </w:t>
      </w:r>
      <w:r>
        <w:rPr>
          <w:rFonts w:ascii="Arial" w:hAnsi="Arial" w:cs="Arial"/>
          <w:b/>
          <w:i w:val="0"/>
          <w:sz w:val="28"/>
        </w:rPr>
        <w:t xml:space="preserve">1)</w:t>
      </w:r>
      <w:r>
        <w:rPr>
          <w:rFonts w:ascii="Arial" w:hAnsi="Arial" w:cs="Arial"/>
          <w:b w:val="0"/>
          <w:i w:val="0"/>
          <w:sz w:val="28"/>
        </w:rPr>
        <w:t xml:space="preserve"> os honorários fixados no percentual mínimo alcançariam cerca de R$ 70.000,00, valor excessivo para causa sem complexidade e serviço prestado em Brasília; </w:t>
      </w:r>
      <w:r>
        <w:rPr>
          <w:rFonts w:ascii="Arial" w:hAnsi="Arial" w:cs="Arial"/>
          <w:b/>
          <w:i w:val="0"/>
          <w:sz w:val="28"/>
        </w:rPr>
        <w:t xml:space="preserve">2)</w:t>
      </w:r>
      <w:r>
        <w:rPr>
          <w:rFonts w:ascii="Arial" w:hAnsi="Arial" w:cs="Arial"/>
          <w:b w:val="0"/>
          <w:i w:val="0"/>
          <w:sz w:val="28"/>
        </w:rPr>
        <w:t xml:space="preserve"> a fixação por apreciação equitativa é admitida pelo CPC 85 § 8º; </w:t>
      </w:r>
      <w:r>
        <w:rPr>
          <w:rFonts w:ascii="Arial" w:hAnsi="Arial" w:cs="Arial"/>
          <w:b/>
          <w:i w:val="0"/>
          <w:sz w:val="28"/>
        </w:rPr>
        <w:t xml:space="preserve">3)</w:t>
      </w:r>
      <w:r>
        <w:rPr>
          <w:rFonts w:ascii="Arial" w:hAnsi="Arial" w:cs="Arial"/>
          <w:b w:val="0"/>
          <w:i w:val="0"/>
          <w:sz w:val="28"/>
        </w:rPr>
        <w:t xml:space="preserve"> o tema está afetado no STF (Tema 1.255) (ID 89719854).</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Requer o provimento dos embargos de declaração para que os honorários sejam fixados por apreciação equitativa.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 xml:space="preserve">Sem razão o embargante.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 alegação de omissão não merece prosperar, pois a matéria foi devidamente analisada no r. acórdão, que assim se manifestou:</w:t>
      </w:r>
    </w:p>
    <w:p>
      <w:pPr>
        <w:spacing w:line="360" w:lineRule="auto" w:after="0"/>
        <w:ind w:firstLine="2268"/>
      </w:pPr>
      <w:r>
        <w:rPr>
          <w:sz w:val="28"/>
        </w:rPr>
      </w:r>
    </w:p>
    <w:p>
      <w:pPr>
        <w:spacing w:line="360" w:lineRule="auto" w:after="0" w:before="0"/>
        <w:ind w:left="2268" w:firstLine="1134"/>
        <w:jc w:val="both"/>
      </w:pPr>
      <w:r>
        <w:rPr>
          <w:rFonts w:ascii="Arial" w:hAnsi="Arial" w:cs="Arial"/>
          <w:b w:val="0"/>
          <w:i/>
          <w:sz w:val="26"/>
        </w:rPr>
        <w:t xml:space="preserve">“Condeno o Distrito Federal ao pagamento de honorários advocatícios em favor da parte executada, os quais fixo no patamar mínimo previsto no art. 85, § 3º, incisos I e II, c/c § 5º, do CPC, observada a regra de escalonamento, isto é, 10% sobre a parcela do proveito econômico obtido até 200 salários-mínimos e 8% sobre a parcela excedente, tendo como base de cálculo o valor atualizado da execução.” (ID 89137307)</w:t>
      </w:r>
    </w:p>
    <w:p>
      <w:pPr>
        <w:spacing w:line="360" w:lineRule="auto" w:after="0"/>
        <w:ind w:firstLine="2268"/>
      </w:pPr>
      <w:r>
        <w:rPr>
          <w:sz w:val="28"/>
        </w:rPr>
      </w:r>
    </w:p>
    <w:p>
      <w:pPr>
        <w:spacing w:line="360" w:lineRule="auto" w:after="0" w:before="0"/>
        <w:ind w:firstLine="2268"/>
        <w:jc w:val="both"/>
      </w:pPr>
      <w:commentRangeStart w:id="3"/>
      <w:r>
        <w:rPr>
          <w:rFonts w:ascii="Arial" w:hAnsi="Arial" w:cs="Arial"/>
          <w:b w:val="0"/>
          <w:i w:val="0"/>
          <w:sz w:val="28"/>
        </w:rPr>
        <w:t xml:space="preserve">O c. STJ, no julgamento do Tema Repetitivo 1.076, fixou a seguinte tese:</w:t>
      </w:r>
      <w:commentRangeEnd w:id="3"/>
      <w:r>
        <w:rPr>
          <w:rStyle w:val="CommentReference"/>
        </w:rPr>
        <w:commentReference w:id="3"/>
      </w:r>
    </w:p>
    <w:p>
      <w:pPr>
        <w:spacing w:line="360" w:lineRule="auto" w:after="0"/>
        <w:ind w:firstLine="2268"/>
      </w:pPr>
      <w:r>
        <w:rPr>
          <w:sz w:val="28"/>
        </w:rPr>
      </w:r>
    </w:p>
    <w:p>
      <w:pPr>
        <w:spacing w:line="360" w:lineRule="auto" w:after="0" w:before="0"/>
        <w:ind w:left="2268"/>
        <w:jc w:val="both"/>
      </w:pPr>
      <w:r>
        <w:rPr>
          <w:rFonts w:ascii="Arial" w:hAnsi="Arial" w:cs="Arial"/>
          <w:b w:val="0"/>
          <w:i/>
          <w:sz w:val="26"/>
        </w:rPr>
        <w:t xml:space="preserve">“i) A fixação dos honorários por apreciação equitativa não é permitida quando os valores da condenação, da causa ou o proveito econômico da demanda forem elevados. É obrigatória nesses casos a observância dos percentuais previstos nos §§ 2º ou 3º do artigo 85 do CPC - a depender da presença da Fazenda Pública na lide -, os quais serão subsequentemente calculados sobre o valor: (a) da condenação; ou (b) do proveito econômico obtido; ou (c) do valor atualizado da causa.</w:t>
      </w:r>
    </w:p>
    <w:p>
      <w:pPr>
        <w:spacing w:line="360" w:lineRule="auto" w:after="0" w:before="0"/>
        <w:ind w:left="2268"/>
        <w:jc w:val="both"/>
      </w:pPr>
      <w:r>
        <w:rPr>
          <w:rFonts w:ascii="Arial" w:hAnsi="Arial" w:cs="Arial"/>
          <w:b w:val="0"/>
          <w:i/>
          <w:sz w:val="26"/>
        </w:rPr>
        <w:t xml:space="preserve">ii) Apenas se admite arbitramento de honorários por equidade quando, havendo ou não condenação: (a) o proveito econômico obtido pelo vencedor for inestimável ou irrisório; ou (b) o valor da causa for muito baixo.” (REsps n. 1.850.512/SP, 1.877.883/SC, 1.906.618/SP e 1.906.623/SP, relator Ministro Og Fernandes, Corte Especial, julgado em 16/3/2022, DJe de 31/5/2022.)</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No caso, o acórdão aplicou os percentuais do CPC 85 § 3º I e II sobre o valor atualizado da execução, de R$ 643.168,84, que não é inestimável nem irrisório (ID 89137307).</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montante dos honorários resulta da aplicação dos percentuais legais ao valor da execução e não autoriza a apreciação equitativa.</w:t>
      </w:r>
    </w:p>
    <w:p>
      <w:pPr>
        <w:spacing w:line="360" w:lineRule="auto" w:after="0"/>
        <w:ind w:firstLine="2268"/>
      </w:pPr>
      <w:r>
        <w:rPr>
          <w:sz w:val="28"/>
        </w:rPr>
      </w:r>
    </w:p>
    <w:p>
      <w:pPr>
        <w:spacing w:line="360" w:lineRule="auto" w:after="0" w:before="0"/>
        <w:ind w:firstLine="2268"/>
        <w:jc w:val="both"/>
      </w:pPr>
      <w:commentRangeStart w:id="4"/>
      <w:r>
        <w:rPr>
          <w:rFonts w:ascii="Arial" w:hAnsi="Arial" w:cs="Arial"/>
          <w:b w:val="0"/>
          <w:i w:val="0"/>
          <w:sz w:val="28"/>
        </w:rPr>
        <w:t xml:space="preserve">O Tema 1.255/STF, invocado pelo embargante, aguarda julgamento, sem tese firmada, de modo que não ampara a pretensão.</w:t>
      </w:r>
      <w:commentRangeEnd w:id="4"/>
      <w:r>
        <w:rPr>
          <w:rStyle w:val="CommentReference"/>
        </w:rPr>
        <w:commentReference w:id="4"/>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Dessa forma, conforme mencionado no v. acórdão embargado, a matéria relativa à fixação dos honorários foi suficientemente abordada, não havendo omissão a ser sanada, mas apenas mero inconformismo meritório do embargante com a conclusão adotada pelo Colegiado.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v. acórdão embargado, portanto, cumpriu sua finalidade, na medida em que analisou as teses jurídicas sustentadas e decidiu-as fundamentadamente, emitindo juízo de valor sobre as questões relevantes para o julgamento da matéria devolvida.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Na verdade, ao alegar omissão, o embargante pretende o reexame do agravo, o que é vedado em sede de embargos de declaração.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u w:val="single"/>
        </w:rPr>
        <w:t xml:space="preserve">Nego provimento aos embargos de declaração, nesse ponto.</w:t>
      </w:r>
    </w:p>
    <w:p>
      <w:pPr>
        <w:spacing w:line="360" w:lineRule="auto" w:after="0"/>
        <w:ind w:firstLine="2268"/>
      </w:pPr>
      <w:r>
        <w:rPr>
          <w:sz w:val="28"/>
        </w:rPr>
      </w:r>
    </w:p>
    <w:p>
      <w:pPr>
        <w:spacing w:line="360" w:lineRule="auto" w:after="0" w:before="0"/>
        <w:jc w:val="center"/>
      </w:pPr>
      <w:r>
        <w:rPr>
          <w:rFonts w:ascii="Arial" w:hAnsi="Arial" w:cs="Arial"/>
          <w:b w:val="0"/>
          <w:i w:val="0"/>
          <w:sz w:val="28"/>
          <w:highlight w:val="yellow"/>
        </w:rPr>
        <w:t xml:space="preserve">DO PREQUESTIONAMENTO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embargante pede manifestação expressa quanto às matérias e aos dispositivos constitucionais e legais indicados nos embargos, para fins de prequestionamento (ID 89719854).</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 xml:space="preserve">Sem razão o embargante.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Caso o acórdão tenha sido omisso, eivado de erro, contradição ou obscuridade, a arguição da matéria em embargos de declaração é suficiente para caracterizar o prequestionamento ficto.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Sobre o tema, dispõe o art. 1.025 do CPC:</w:t>
      </w:r>
    </w:p>
    <w:p>
      <w:pPr>
        <w:spacing w:line="360" w:lineRule="auto" w:after="0"/>
        <w:ind w:firstLine="2268"/>
      </w:pPr>
      <w:r>
        <w:rPr>
          <w:sz w:val="28"/>
        </w:rPr>
      </w:r>
    </w:p>
    <w:p>
      <w:pPr>
        <w:spacing w:line="360" w:lineRule="auto" w:after="0" w:before="0"/>
        <w:ind w:left="2268"/>
        <w:jc w:val="both"/>
      </w:pPr>
      <w:r>
        <w:rPr>
          <w:rFonts w:ascii="Arial" w:hAnsi="Arial" w:cs="Arial"/>
          <w:b w:val="0"/>
          <w:i/>
          <w:sz w:val="26"/>
        </w:rPr>
        <w:t xml:space="preserve">“Art. 1.025. Consideram-se incluídos no acórdão os elementos que o embargante suscitou, para fins de pré-questionamento, ainda que os embargos de declaração sejam inadmitidos ou rejeitados, caso o tribunal superior considere existentes erro, omissão, contradição ou obscuridade.”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Por fim, registro que os embargos, embora rejeitados, não revelam propósito manifestamente protelatório, razão pela qual não há multa a aplicar (CPC 1.026 § 2º).</w:t>
      </w:r>
    </w:p>
    <w:p>
      <w:pPr>
        <w:spacing w:line="360" w:lineRule="auto" w:after="0"/>
        <w:ind w:firstLine="2268"/>
      </w:pPr>
      <w:r>
        <w:rPr>
          <w:sz w:val="28"/>
        </w:rPr>
      </w:r>
    </w:p>
    <w:p>
      <w:pPr>
        <w:spacing w:line="360" w:lineRule="auto" w:after="0" w:before="0"/>
        <w:jc w:val="center"/>
      </w:pPr>
      <w:r>
        <w:rPr>
          <w:rFonts w:ascii="Arial" w:hAnsi="Arial" w:cs="Arial"/>
          <w:b/>
          <w:i w:val="0"/>
          <w:sz w:val="28"/>
        </w:rPr>
        <w:t xml:space="preserve">DISPOSITIVO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Ante o exposto, </w:t>
      </w:r>
      <w:r>
        <w:rPr>
          <w:rFonts w:ascii="Arial" w:hAnsi="Arial" w:cs="Arial"/>
          <w:b/>
          <w:i w:val="0"/>
          <w:sz w:val="28"/>
        </w:rPr>
        <w:t xml:space="preserve">nego provimento</w:t>
      </w:r>
      <w:r>
        <w:rPr>
          <w:rFonts w:ascii="Arial" w:hAnsi="Arial" w:cs="Arial"/>
          <w:b w:val="0"/>
          <w:i w:val="0"/>
          <w:sz w:val="28"/>
        </w:rPr>
        <w:t xml:space="preserve"> aos embargos de declaração opostos pelo agravado, Distrito Federal.</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É como voto.</w:t>
      </w:r>
    </w:p>
    <w:p>
      <w:pPr>
        <w:spacing w:line="360" w:lineRule="auto" w:after="0"/>
        <w:ind w:firstLine="2268"/>
      </w:pPr>
      <w:r>
        <w:rPr>
          <w:sz w:val="28"/>
        </w:rPr>
      </w:r>
    </w:p>
    <w:p>
      <w:pPr>
        <w:pageBreakBefore/>
        <w:spacing w:line="360" w:lineRule="auto" w:after="0" w:before="0"/>
        <w:jc w:val="center"/>
      </w:pPr>
      <w:r>
        <w:rPr>
          <w:rFonts w:ascii="Arial" w:hAnsi="Arial" w:cs="Arial"/>
          <w:b/>
          <w:i w:val="0"/>
          <w:color w:val="00B050"/>
          <w:sz w:val="27"/>
        </w:rPr>
        <w:t xml:space="preserve">DECISÃO RECORRIDA</w:t>
      </w:r>
    </w:p>
    <w:p>
      <w:pPr>
        <w:spacing w:line="360" w:lineRule="auto" w:after="0" w:before="0"/>
        <w:jc w:val="both"/>
      </w:pPr>
      <w:r>
        <w:rPr>
          <w:rFonts w:ascii="Arial" w:hAnsi="Arial" w:cs="Arial"/>
          <w:b w:val="0"/>
          <w:i w:val="0"/>
          <w:color w:val="00B050"/>
          <w:sz w:val="27"/>
        </w:rPr>
        <w:t xml:space="preserve">Órgão 4ª Turma Cível</w:t>
      </w:r>
    </w:p>
    <w:p>
      <w:pPr>
        <w:spacing w:line="360" w:lineRule="auto" w:after="0" w:before="0"/>
        <w:jc w:val="both"/>
      </w:pPr>
      <w:r>
        <w:rPr>
          <w:rFonts w:ascii="Arial" w:hAnsi="Arial" w:cs="Arial"/>
          <w:b w:val="0"/>
          <w:i w:val="0"/>
          <w:color w:val="00B050"/>
          <w:sz w:val="27"/>
        </w:rPr>
        <w:t xml:space="preserve">Processo N. AGRAVO DE INSTRUMENTO 0707282-71.2026.8.07.0000</w:t>
      </w:r>
    </w:p>
    <w:p>
      <w:pPr>
        <w:spacing w:line="360" w:lineRule="auto" w:after="0" w:before="0"/>
        <w:jc w:val="both"/>
      </w:pPr>
      <w:r>
        <w:rPr>
          <w:rFonts w:ascii="Arial" w:hAnsi="Arial" w:cs="Arial"/>
          <w:b w:val="0"/>
          <w:i w:val="0"/>
          <w:color w:val="00B050"/>
          <w:sz w:val="27"/>
        </w:rPr>
        <w:t xml:space="preserve">AGRAVANTE(S) CONTERC CONSTRUCAO TERRAPLENAGEM E CONSULTORIA LTDA</w:t>
      </w:r>
    </w:p>
    <w:p>
      <w:pPr>
        <w:spacing w:line="360" w:lineRule="auto" w:after="0" w:before="0"/>
        <w:jc w:val="both"/>
      </w:pPr>
      <w:r>
        <w:rPr>
          <w:rFonts w:ascii="Arial" w:hAnsi="Arial" w:cs="Arial"/>
          <w:b w:val="0"/>
          <w:i w:val="0"/>
          <w:color w:val="00B050"/>
          <w:sz w:val="27"/>
        </w:rPr>
        <w:t xml:space="preserve">AGRAVADO(S) DISTRITO FEDERAL</w:t>
      </w:r>
    </w:p>
    <w:p>
      <w:pPr>
        <w:spacing w:line="360" w:lineRule="auto" w:after="0" w:before="0"/>
        <w:jc w:val="both"/>
      </w:pPr>
      <w:r>
        <w:rPr>
          <w:rFonts w:ascii="Arial" w:hAnsi="Arial" w:cs="Arial"/>
          <w:b w:val="0"/>
          <w:i w:val="0"/>
          <w:color w:val="00B050"/>
          <w:sz w:val="27"/>
        </w:rPr>
        <w:t xml:space="preserve">Relator Desembargador SÉRGIO ROCHA</w:t>
      </w:r>
    </w:p>
    <w:p>
      <w:pPr>
        <w:spacing w:line="360" w:lineRule="auto" w:after="0" w:before="0"/>
        <w:jc w:val="both"/>
      </w:pPr>
      <w:r>
        <w:rPr>
          <w:rFonts w:ascii="Arial" w:hAnsi="Arial" w:cs="Arial"/>
          <w:b w:val="0"/>
          <w:i w:val="0"/>
          <w:color w:val="00B050"/>
          <w:sz w:val="27"/>
        </w:rPr>
        <w:t xml:space="preserve">Acórdão Nº 2169894</w:t>
      </w:r>
    </w:p>
    <w:p>
      <w:pPr>
        <w:spacing w:line="360" w:lineRule="auto" w:after="0" w:before="0"/>
        <w:jc w:val="both"/>
      </w:pPr>
      <w:r>
        <w:rPr>
          <w:rFonts w:ascii="Arial" w:hAnsi="Arial" w:cs="Arial"/>
          <w:b w:val="0"/>
          <w:i w:val="0"/>
          <w:color w:val="00B050"/>
          <w:sz w:val="27"/>
        </w:rPr>
        <w:t xml:space="preserve">EMENTA AGRAVO DE INSTRUMENTO. DIREITO TRIBUTÁRIO. EXECUÇÃO FISCAL. IPTU. EXCEÇÃO DE PRÉ-EXECUTIVIDADE. PRESCRIÇÃO DA PRETENSÃO EXECUTIVA. CAUÇÃO PRÉVIA À EXECUÇÃO FISCAL. CERTIDÃO POSITIVA COM EFEITOS DE NEGATIVA (CPEN). TEMA 237/STJ. SUSPENSÃO DA EXIGIBILIDADE. CESSAÇÃO DO MOTIVO SUSPENSIVO. PRESCRIÇÃO RECONHECIDA. PROVIMENTO.</w:t>
      </w:r>
    </w:p>
    <w:p>
      <w:pPr>
        <w:spacing w:line="360" w:lineRule="auto" w:after="0" w:before="0"/>
        <w:jc w:val="both"/>
      </w:pPr>
      <w:r>
        <w:rPr>
          <w:rFonts w:ascii="Arial" w:hAnsi="Arial" w:cs="Arial"/>
          <w:b/>
          <w:i w:val="0"/>
          <w:color w:val="00B050"/>
          <w:sz w:val="27"/>
        </w:rPr>
        <w:t xml:space="preserve">I. Caso em exame</w:t>
      </w:r>
    </w:p>
    <w:p>
      <w:pPr>
        <w:spacing w:line="360" w:lineRule="auto" w:after="0" w:before="0"/>
        <w:jc w:val="both"/>
      </w:pPr>
      <w:r>
        <w:rPr>
          <w:rFonts w:ascii="Arial" w:hAnsi="Arial" w:cs="Arial"/>
          <w:b w:val="0"/>
          <w:i w:val="0"/>
          <w:color w:val="00B050"/>
          <w:sz w:val="27"/>
        </w:rPr>
        <w:t xml:space="preserve">1. Execução fiscal proposta pelo Distrito Federal contra CONTERC Construção Terraplenagem e Consultoria Ltda. para cobrança de créditos de IPTU (R$ 643.168,84) referentes aos exercícios de 2013, 2014 e 2015, consubstanciados nas CDAs nº 50244032637, 50244032653 e 50244032661.</w:t>
      </w:r>
    </w:p>
    <w:p>
      <w:pPr>
        <w:spacing w:line="360" w:lineRule="auto" w:after="0" w:before="0"/>
        <w:jc w:val="both"/>
      </w:pPr>
      <w:r>
        <w:rPr>
          <w:rFonts w:ascii="Arial" w:hAnsi="Arial" w:cs="Arial"/>
          <w:b w:val="0"/>
          <w:i w:val="0"/>
          <w:color w:val="00B050"/>
          <w:sz w:val="27"/>
        </w:rPr>
        <w:t xml:space="preserve">2. A decisão agravada rejeitou exceção de pré-executividade que arguia a prescrição da pretensão executiva, ao fundamento de que ação cautelar antecedente ajuizada pela executada suspendeu a exigibilidade dos créditos tributários, obstando o curso do prazo prescricional.</w:t>
      </w:r>
    </w:p>
    <w:p>
      <w:pPr>
        <w:spacing w:line="360" w:lineRule="auto" w:after="0" w:before="0"/>
        <w:jc w:val="both"/>
      </w:pPr>
      <w:r>
        <w:rPr>
          <w:rFonts w:ascii="Arial" w:hAnsi="Arial" w:cs="Arial"/>
          <w:b w:val="0"/>
          <w:i w:val="0"/>
          <w:color w:val="00B050"/>
          <w:sz w:val="27"/>
        </w:rPr>
        <w:t xml:space="preserve">3. A executada agrava requerendo a reforma da decisão para reconhecer a prescrição da pretensão executiva e extinguir a execução fiscal.</w:t>
      </w:r>
    </w:p>
    <w:p>
      <w:pPr>
        <w:spacing w:line="360" w:lineRule="auto" w:after="0" w:before="0"/>
        <w:jc w:val="both"/>
      </w:pPr>
      <w:r>
        <w:rPr>
          <w:rFonts w:ascii="Arial" w:hAnsi="Arial" w:cs="Arial"/>
          <w:b/>
          <w:i w:val="0"/>
          <w:color w:val="00B050"/>
          <w:sz w:val="27"/>
        </w:rPr>
        <w:t xml:space="preserve">II. Questão em discussão</w:t>
      </w:r>
    </w:p>
    <w:p>
      <w:pPr>
        <w:spacing w:line="360" w:lineRule="auto" w:after="0" w:before="0"/>
        <w:jc w:val="both"/>
      </w:pPr>
      <w:r>
        <w:rPr>
          <w:rFonts w:ascii="Arial" w:hAnsi="Arial" w:cs="Arial"/>
          <w:b w:val="0"/>
          <w:i w:val="0"/>
          <w:color w:val="00B050"/>
          <w:sz w:val="27"/>
        </w:rPr>
        <w:t xml:space="preserve">4. Há duas questões em discussão: (i) saber se a ação cautelar antecedente ajuizada para oferecimento de caução e obtenção de certidão positiva com efeitos de negativa suspendeu a exigibilidade dos créditos tributários e, por consequência, o prazo prescricional para ajuizamento da execução fiscal; e (ii) saber se, mesmo admitida a suspensão da exigibilidade, a pretensão executiva restou alcançada pela prescrição diante do lapso temporal transcorrido até o ajuizamento da execução fiscal.</w:t>
      </w:r>
    </w:p>
    <w:p>
      <w:pPr>
        <w:spacing w:line="360" w:lineRule="auto" w:after="0" w:before="0"/>
        <w:jc w:val="both"/>
      </w:pPr>
      <w:r>
        <w:rPr>
          <w:rFonts w:ascii="Arial" w:hAnsi="Arial" w:cs="Arial"/>
          <w:b/>
          <w:i w:val="0"/>
          <w:color w:val="00B050"/>
          <w:sz w:val="27"/>
        </w:rPr>
        <w:t xml:space="preserve">III. Razões de decidir</w:t>
      </w:r>
    </w:p>
    <w:p>
      <w:pPr>
        <w:spacing w:line="360" w:lineRule="auto" w:after="0" w:before="0"/>
        <w:jc w:val="both"/>
      </w:pPr>
      <w:r>
        <w:rPr>
          <w:rFonts w:ascii="Arial" w:hAnsi="Arial" w:cs="Arial"/>
          <w:b w:val="0"/>
          <w:i w:val="0"/>
          <w:color w:val="00B050"/>
          <w:sz w:val="27"/>
        </w:rPr>
        <w:t xml:space="preserve">5. A ação cautelar nº 0719516-18.2018.8.07.0016 teve finalidade estritamente instrumental, consistente no oferecimento de caução prévia à execução fiscal para obtenção de certidão positiva com efeitos de negativa, nos termos do art. 206 do CTN e do Tema 237/STJ.</w:t>
      </w:r>
    </w:p>
    <w:p>
      <w:pPr>
        <w:spacing w:line="360" w:lineRule="auto" w:after="0" w:before="0"/>
        <w:jc w:val="both"/>
      </w:pPr>
      <w:r>
        <w:rPr>
          <w:rFonts w:ascii="Arial" w:hAnsi="Arial" w:cs="Arial"/>
          <w:b w:val="0"/>
          <w:i w:val="0"/>
          <w:color w:val="00B050"/>
          <w:sz w:val="27"/>
        </w:rPr>
        <w:t xml:space="preserve">6. A petição inicial não formulou pedido de anulação do crédito tributário, declaração de inexigibilidade do débito ou suspensão autônoma da pretensão executiva.</w:t>
      </w:r>
    </w:p>
    <w:p>
      <w:pPr>
        <w:spacing w:line="360" w:lineRule="auto" w:after="0" w:before="0"/>
        <w:jc w:val="both"/>
      </w:pPr>
      <w:r>
        <w:rPr>
          <w:rFonts w:ascii="Arial" w:hAnsi="Arial" w:cs="Arial"/>
          <w:b w:val="0"/>
          <w:i w:val="0"/>
          <w:color w:val="00B050"/>
          <w:sz w:val="27"/>
        </w:rPr>
        <w:t xml:space="preserve">7. A caução imobiliária ofertada pela contribuinte não se equipara ao depósito integral previsto no art. 151, II, do CTN. Embora o art. 151, V, do CTN admita suspensão da exigibilidade por medida liminar ou tutela antecipada, tal providência exige pronunciamento jurisdicional compatível com a finalidade da demanda.</w:t>
      </w:r>
    </w:p>
    <w:p>
      <w:pPr>
        <w:spacing w:line="360" w:lineRule="auto" w:after="0" w:before="0"/>
        <w:jc w:val="both"/>
      </w:pPr>
      <w:r>
        <w:rPr>
          <w:rFonts w:ascii="Arial" w:hAnsi="Arial" w:cs="Arial"/>
          <w:b w:val="0"/>
          <w:i w:val="0"/>
          <w:color w:val="00B050"/>
          <w:sz w:val="27"/>
        </w:rPr>
        <w:t xml:space="preserve">8. Em ação voltada exclusivamente à obtenção de certidão positiva com efeitos negativos mediante garantia antecipada, a suspensão da exigibilidade não constitui consequência necessária nem pode operar como causa de paralisação indefinida da prescrição.</w:t>
      </w:r>
    </w:p>
    <w:p>
      <w:pPr>
        <w:spacing w:line="360" w:lineRule="auto" w:after="0" w:before="0"/>
        <w:jc w:val="both"/>
      </w:pPr>
      <w:r>
        <w:rPr>
          <w:rFonts w:ascii="Arial" w:hAnsi="Arial" w:cs="Arial"/>
          <w:b w:val="0"/>
          <w:i w:val="0"/>
          <w:color w:val="00B050"/>
          <w:sz w:val="27"/>
        </w:rPr>
        <w:t xml:space="preserve">9. Ainda que se admita, em benefício da Fazenda Pública, a eficácia suspensiva decorrente da decisão proferida na cautelar, o prazo prescricional voltou a fluir, ao menos, com o arquivamento do processo em 31/01/2019.</w:t>
      </w:r>
    </w:p>
    <w:p>
      <w:pPr>
        <w:spacing w:line="360" w:lineRule="auto" w:after="0" w:before="0"/>
        <w:jc w:val="both"/>
      </w:pPr>
      <w:r>
        <w:rPr>
          <w:rFonts w:ascii="Arial" w:hAnsi="Arial" w:cs="Arial"/>
          <w:b w:val="0"/>
          <w:i w:val="0"/>
          <w:color w:val="00B050"/>
          <w:sz w:val="27"/>
        </w:rPr>
        <w:t xml:space="preserve">10. Como os créditos foram definitivamente constituídos em 07/05/2013, 07/05/2014 e 09/06/2015, e a execução fiscal somente foi ajuizada em 10/09/2024, consumou-se a prescrição quinquenal da pretensão executiva muito antes da propositura da demanda executiva.</w:t>
      </w:r>
    </w:p>
    <w:p>
      <w:pPr>
        <w:spacing w:line="360" w:lineRule="auto" w:after="0" w:before="0"/>
        <w:jc w:val="both"/>
      </w:pPr>
      <w:r>
        <w:rPr>
          <w:rFonts w:ascii="Arial" w:hAnsi="Arial" w:cs="Arial"/>
          <w:b w:val="0"/>
          <w:i w:val="0"/>
          <w:color w:val="00B050"/>
          <w:sz w:val="27"/>
        </w:rPr>
        <w:t xml:space="preserve">11. A medida antecedente, destinada à obtenção de CPEN, não impede indefinidamente o ajuizamento da execução fiscal nem suspende perpetuamente o curso da prescrição.</w:t>
      </w:r>
    </w:p>
    <w:p>
      <w:pPr>
        <w:spacing w:line="360" w:lineRule="auto" w:after="0" w:before="0"/>
        <w:jc w:val="both"/>
      </w:pPr>
      <w:r>
        <w:rPr>
          <w:rFonts w:ascii="Arial" w:hAnsi="Arial" w:cs="Arial"/>
          <w:b/>
          <w:i w:val="0"/>
          <w:color w:val="00B050"/>
          <w:sz w:val="27"/>
        </w:rPr>
        <w:t xml:space="preserve">IV. Dispositivo</w:t>
      </w:r>
    </w:p>
    <w:p>
      <w:pPr>
        <w:spacing w:line="360" w:lineRule="auto" w:after="0" w:before="0"/>
        <w:jc w:val="both"/>
      </w:pPr>
      <w:r>
        <w:rPr>
          <w:rFonts w:ascii="Arial" w:hAnsi="Arial" w:cs="Arial"/>
          <w:b w:val="0"/>
          <w:i w:val="0"/>
          <w:color w:val="00B050"/>
          <w:sz w:val="27"/>
        </w:rPr>
        <w:t xml:space="preserve">12. Deu-se provimento ao agravo de instrumento da executada para reformar a decisão agravada, acolher a exceção de pré-executividade, reconhecer a prescrição da pretensão executiva relativa às CDAs nº 50244032637, 50244032653 e 50244032661, referentes aos créditos de IPTU dos exercícios de 2013, 2014 e 2015, e extinguir a execução fiscal nº 0780092-64.2024.8.07.0016 com resolução de mérito.</w:t>
      </w:r>
    </w:p>
    <w:p>
      <w:pPr>
        <w:spacing w:line="360" w:lineRule="auto" w:after="0" w:before="0"/>
        <w:jc w:val="both"/>
      </w:pPr>
      <w:r>
        <w:rPr>
          <w:rFonts w:ascii="Arial" w:hAnsi="Arial" w:cs="Arial"/>
          <w:b w:val="0"/>
          <w:i w:val="0"/>
          <w:color w:val="00B050"/>
          <w:sz w:val="27"/>
        </w:rPr>
        <w:t xml:space="preserve">_______</w:t>
      </w:r>
    </w:p>
    <w:p>
      <w:pPr>
        <w:spacing w:line="360" w:lineRule="auto" w:after="0" w:before="0"/>
        <w:jc w:val="both"/>
      </w:pPr>
      <w:r>
        <w:rPr>
          <w:rFonts w:ascii="Arial" w:hAnsi="Arial" w:cs="Arial"/>
          <w:b w:val="0"/>
          <w:i w:val="0"/>
          <w:color w:val="00B050"/>
          <w:sz w:val="27"/>
        </w:rPr>
        <w:t xml:space="preserve">Dispositivos relevantes citados: CTN, arts. 151, II, V, 174 e 206; CPC, arts. 308 e 85, § 3º, I e II, e § 5º.</w:t>
      </w:r>
    </w:p>
    <w:p>
      <w:pPr>
        <w:spacing w:line="360" w:lineRule="auto" w:after="0" w:before="0"/>
        <w:jc w:val="both"/>
      </w:pPr>
      <w:r>
        <w:rPr>
          <w:rFonts w:ascii="Arial" w:hAnsi="Arial" w:cs="Arial"/>
          <w:b w:val="0"/>
          <w:i w:val="0"/>
          <w:color w:val="00B050"/>
          <w:sz w:val="27"/>
        </w:rPr>
        <w:t xml:space="preserve">Jurisprudência relevante citada: STJ, Tema Repetitivo 237, REsp nº 1.123.669/RS; STJ, EAREsp nº 407.940/RS, Rel. Min. Og Fernandes, Primeira Seção, j. 10/05/2017, DJe 29/05/2017.</w:t>
      </w:r>
    </w:p>
    <w:p>
      <w:pPr>
        <w:spacing w:line="360" w:lineRule="auto" w:after="0" w:before="0"/>
        <w:jc w:val="both"/>
      </w:pPr>
      <w:r>
        <w:rPr>
          <w:rFonts w:ascii="Arial" w:hAnsi="Arial" w:cs="Arial"/>
          <w:b w:val="0"/>
          <w:i w:val="0"/>
          <w:color w:val="00B050"/>
          <w:sz w:val="27"/>
        </w:rPr>
        <w:t xml:space="preserve">ACÓRDÃO</w:t>
      </w:r>
    </w:p>
    <w:p>
      <w:pPr>
        <w:spacing w:line="360" w:lineRule="auto" w:after="0" w:before="0"/>
        <w:jc w:val="both"/>
      </w:pPr>
      <w:r>
        <w:rPr>
          <w:rFonts w:ascii="Arial" w:hAnsi="Arial" w:cs="Arial"/>
          <w:b w:val="0"/>
          <w:i w:val="0"/>
          <w:color w:val="00B050"/>
          <w:sz w:val="27"/>
        </w:rPr>
        <w:t xml:space="preserve">Acordam os Senhores Desembargadores do(a) 4ª Turma Cível do Tribunal de Justiça do Distrito Federal e dos Territórios, SÉRGIO ROCHA - Relator, ROBERVAL CASEMIRO BELINATI - 1º Vogal e AISTON HENRIQUE DE SOUSA - 2º Vogal, sob a Presidência do Senhor Desembargador JAMES EDUARDO OLIVEIRA, em proferir a seguinte decisão: DAR PROVIMENTO AO RECURSO. UNÂNIME, de acordo com a ata do julgamento e notas taquigráficas.</w:t>
      </w:r>
    </w:p>
    <w:p>
      <w:pPr>
        <w:spacing w:line="360" w:lineRule="auto" w:after="0" w:before="0"/>
        <w:jc w:val="both"/>
      </w:pPr>
      <w:r>
        <w:rPr>
          <w:rFonts w:ascii="Arial" w:hAnsi="Arial" w:cs="Arial"/>
          <w:b w:val="0"/>
          <w:i w:val="0"/>
          <w:color w:val="00B050"/>
          <w:sz w:val="27"/>
        </w:rPr>
        <w:t xml:space="preserve">Brasília (DF), 04 de Setembro de 2026</w:t>
      </w:r>
    </w:p>
    <w:p>
      <w:pPr>
        <w:spacing w:line="360" w:lineRule="auto" w:after="0" w:before="0"/>
        <w:jc w:val="both"/>
      </w:pPr>
      <w:r>
        <w:rPr>
          <w:rFonts w:ascii="Arial" w:hAnsi="Arial" w:cs="Arial"/>
          <w:b w:val="0"/>
          <w:i w:val="0"/>
          <w:color w:val="00B050"/>
          <w:sz w:val="27"/>
        </w:rPr>
        <w:t xml:space="preserve">Desembargador SÉRGIO ROCHA</w:t>
      </w:r>
    </w:p>
    <w:p>
      <w:pPr>
        <w:spacing w:line="360" w:lineRule="auto" w:after="0" w:before="0"/>
        <w:jc w:val="both"/>
      </w:pPr>
      <w:r>
        <w:rPr>
          <w:rFonts w:ascii="Arial" w:hAnsi="Arial" w:cs="Arial"/>
          <w:b w:val="0"/>
          <w:i w:val="0"/>
          <w:color w:val="00B050"/>
          <w:sz w:val="27"/>
        </w:rPr>
        <w:t xml:space="preserve">Relator</w:t>
      </w:r>
    </w:p>
    <w:p>
      <w:pPr>
        <w:spacing w:line="360" w:lineRule="auto" w:after="0" w:before="0"/>
        <w:jc w:val="both"/>
      </w:pPr>
      <w:r>
        <w:rPr>
          <w:rFonts w:ascii="Arial" w:hAnsi="Arial" w:cs="Arial"/>
          <w:b w:val="0"/>
          <w:i w:val="0"/>
          <w:color w:val="00B050"/>
          <w:sz w:val="27"/>
        </w:rPr>
        <w:t xml:space="preserve">RELATÓRIO</w:t>
      </w:r>
    </w:p>
    <w:p>
      <w:pPr>
        <w:spacing w:line="360" w:lineRule="auto" w:after="0" w:before="0"/>
        <w:jc w:val="both"/>
      </w:pPr>
      <w:r>
        <w:rPr>
          <w:rFonts w:ascii="Arial" w:hAnsi="Arial" w:cs="Arial"/>
          <w:b w:val="0"/>
          <w:i w:val="0"/>
          <w:color w:val="00B050"/>
          <w:sz w:val="27"/>
        </w:rPr>
        <w:t xml:space="preserve">Adoto o relatório da liminar (ID 81556029):</w:t>
      </w:r>
    </w:p>
    <w:p>
      <w:pPr>
        <w:spacing w:line="360" w:lineRule="auto" w:after="0" w:before="0"/>
        <w:jc w:val="both"/>
      </w:pPr>
      <w:r>
        <w:rPr>
          <w:rFonts w:ascii="Arial" w:hAnsi="Arial" w:cs="Arial"/>
          <w:b w:val="0"/>
          <w:i w:val="0"/>
          <w:color w:val="00B050"/>
          <w:sz w:val="27"/>
        </w:rPr>
        <w:t xml:space="preserve">“(...) Trata-se de agravo de instrumento interposto pela executada, Conterc Construção Terraplenagem e Consultoria, contra decisão que, em execução fiscal de IPTU (R$ 643.168,84), rejeitou a exceção de pré executividade na qual a executada sustentava a prescrição dos créditos tributários (ID 258213805, daqueles autos).</w:t>
      </w:r>
    </w:p>
    <w:p>
      <w:pPr>
        <w:spacing w:line="360" w:lineRule="auto" w:after="0" w:before="0"/>
        <w:jc w:val="both"/>
      </w:pPr>
      <w:r>
        <w:rPr>
          <w:rFonts w:ascii="Arial" w:hAnsi="Arial" w:cs="Arial"/>
          <w:b w:val="0"/>
          <w:i w:val="0"/>
          <w:color w:val="00B050"/>
          <w:sz w:val="27"/>
        </w:rPr>
        <w:t xml:space="preserve">A agravante alega, em síntese, que: 1) os créditos de IPTU referentes aos exercícios de 2013, 2014 e 2015 estão prescritos porque o termo inicial da prescrição ocorreu nos respectivos vencimentos, nos termos da Súmula 622 do STJ; 2) a ação cautelar antecedente ajuizada em 2018 não suspendeu nem interrompeu o prazo prescricional, pois não se enquadra em nenhuma hipótese do art. 151 ou do art. 174, parágrafo único, do CTN; 3) ainda que se admitisse algum efeito suspensivo ou interruptivo da cautelar, o prazo prescricional teria reiniciado com o trânsito em julgado ou com o arquivamento do feito, o que também conduziria à prescrição; 4) não é possível considerar que a decisão cautelar tenha impedido o ajuizamento da execução fiscal; e 5) há risco de dano porque a exigibilidade dos créditos impede emissão de certidões fiscais e pode gerar atos constritivos.</w:t>
      </w:r>
    </w:p>
    <w:p>
      <w:pPr>
        <w:spacing w:line="360" w:lineRule="auto" w:after="0" w:before="0"/>
        <w:jc w:val="both"/>
      </w:pPr>
      <w:r>
        <w:rPr>
          <w:rFonts w:ascii="Arial" w:hAnsi="Arial" w:cs="Arial"/>
          <w:b w:val="0"/>
          <w:i w:val="0"/>
          <w:color w:val="00B050"/>
          <w:sz w:val="27"/>
        </w:rPr>
        <w:t xml:space="preserve">Requer a concessão de antecipação de tutela recursal a fim de suspender a exigibilidade dos créditos tributários ou o trâmite da execução fiscal, e, no mérito, a declaração da prescrição dos créditos inscritos. (...)”</w:t>
      </w:r>
    </w:p>
    <w:p>
      <w:pPr>
        <w:spacing w:line="360" w:lineRule="auto" w:after="0" w:before="0"/>
        <w:jc w:val="both"/>
      </w:pPr>
      <w:r>
        <w:rPr>
          <w:rFonts w:ascii="Arial" w:hAnsi="Arial" w:cs="Arial"/>
          <w:b w:val="0"/>
          <w:i w:val="0"/>
          <w:color w:val="00B050"/>
          <w:sz w:val="27"/>
        </w:rPr>
        <w:t xml:space="preserve">Indeferi a antecipação da tutela recursal, por entender não caracterizado o risco de prejuízo que impeça a agravante de aguardar o julgamento do Colegiado (ID 81556029).</w:t>
      </w:r>
    </w:p>
    <w:p>
      <w:pPr>
        <w:spacing w:line="360" w:lineRule="auto" w:after="0" w:before="0"/>
        <w:jc w:val="both"/>
      </w:pPr>
      <w:r>
        <w:rPr>
          <w:rFonts w:ascii="Arial" w:hAnsi="Arial" w:cs="Arial"/>
          <w:b w:val="0"/>
          <w:i w:val="0"/>
          <w:color w:val="00B050"/>
          <w:sz w:val="27"/>
        </w:rPr>
        <w:t xml:space="preserve">Em contrarrazões, o agravado, Distrito Federal, sustenta que: 1) não ocorreu a prescrição dos créditos tributários, pois a liminar obtida pela própria agravante em ação cautelar suspendeu a exigibilidade do crédito e, consequentemente, o curso do prazo prescricional, nos termos dos arts. 151, V, e 174 do CTN; 2) a Certidão de Dívida Ativa goza de presunção de certeza e liquidez, não havendo prova apta a infirmá-la nem configuração de prescrição intercorrente; 3) inexiste periculum in mora a justificar a concessão de tutela recursal, devendo ser mantida a decisão que rejeitou a exceção de pré-executividade e negado provimento ao agravo de instrumento (ID 2025.01.001809).</w:t>
      </w:r>
    </w:p>
    <w:p>
      <w:pPr>
        <w:spacing w:line="360" w:lineRule="auto" w:after="0" w:before="0"/>
        <w:jc w:val="both"/>
      </w:pPr>
      <w:r>
        <w:rPr>
          <w:rFonts w:ascii="Arial" w:hAnsi="Arial" w:cs="Arial"/>
          <w:b w:val="0"/>
          <w:i w:val="0"/>
          <w:color w:val="00B050"/>
          <w:sz w:val="27"/>
        </w:rPr>
        <w:t xml:space="preserve">É o relatório.</w:t>
      </w:r>
    </w:p>
    <w:p>
      <w:pPr>
        <w:spacing w:line="360" w:lineRule="auto" w:after="0" w:before="0"/>
        <w:jc w:val="both"/>
      </w:pPr>
      <w:r>
        <w:rPr>
          <w:rFonts w:ascii="Arial" w:hAnsi="Arial" w:cs="Arial"/>
          <w:b w:val="0"/>
          <w:i w:val="0"/>
          <w:color w:val="00B050"/>
          <w:sz w:val="27"/>
        </w:rPr>
        <w:t xml:space="preserve">VOTOS</w:t>
      </w:r>
    </w:p>
    <w:p>
      <w:pPr>
        <w:spacing w:line="360" w:lineRule="auto" w:after="0" w:before="0"/>
        <w:jc w:val="both"/>
      </w:pPr>
      <w:r>
        <w:rPr>
          <w:rFonts w:ascii="Arial" w:hAnsi="Arial" w:cs="Arial"/>
          <w:b w:val="0"/>
          <w:i w:val="0"/>
          <w:color w:val="00B050"/>
          <w:sz w:val="27"/>
        </w:rPr>
        <w:t xml:space="preserve">O Senhor Desembargador SÉRGIO ROCHA - Relator</w:t>
      </w:r>
    </w:p>
    <w:p>
      <w:pPr>
        <w:spacing w:line="360" w:lineRule="auto" w:after="0" w:before="0"/>
        <w:jc w:val="both"/>
      </w:pPr>
      <w:r>
        <w:rPr>
          <w:rFonts w:ascii="Arial" w:hAnsi="Arial" w:cs="Arial"/>
          <w:b w:val="0"/>
          <w:i w:val="0"/>
          <w:color w:val="00B050"/>
          <w:sz w:val="27"/>
        </w:rPr>
        <w:t xml:space="preserve">DO AGRAVO DE INSTRUMENTO DA EXECUTADA, CONTERC CONSTRUÇÃO TERRAPLENAGEM E CONSULTORIA LTDA.</w:t>
      </w:r>
    </w:p>
    <w:p>
      <w:pPr>
        <w:spacing w:line="360" w:lineRule="auto" w:after="0" w:before="0"/>
        <w:jc w:val="both"/>
      </w:pPr>
      <w:r>
        <w:rPr>
          <w:rFonts w:ascii="Arial" w:hAnsi="Arial" w:cs="Arial"/>
          <w:b w:val="0"/>
          <w:i w:val="0"/>
          <w:color w:val="00B050"/>
          <w:sz w:val="27"/>
        </w:rPr>
        <w:t xml:space="preserve">Presentes pressupostos de admissibilidade, conheço do agravo de instrumento.</w:t>
      </w:r>
    </w:p>
    <w:p>
      <w:pPr>
        <w:spacing w:line="360" w:lineRule="auto" w:after="0" w:before="0"/>
        <w:jc w:val="both"/>
      </w:pPr>
      <w:r>
        <w:rPr>
          <w:rFonts w:ascii="Arial" w:hAnsi="Arial" w:cs="Arial"/>
          <w:b w:val="0"/>
          <w:i w:val="0"/>
          <w:color w:val="00B050"/>
          <w:sz w:val="27"/>
        </w:rPr>
        <w:t xml:space="preserve">DA PRESCRIÇÃO DA PRETENSÃO EXECUTIVA TRIBUTÁRIA</w:t>
      </w:r>
    </w:p>
    <w:p>
      <w:pPr>
        <w:spacing w:line="360" w:lineRule="auto" w:after="0" w:before="0"/>
        <w:jc w:val="both"/>
      </w:pPr>
      <w:r>
        <w:rPr>
          <w:rFonts w:ascii="Arial" w:hAnsi="Arial" w:cs="Arial"/>
          <w:b w:val="0"/>
          <w:i w:val="0"/>
          <w:color w:val="00B050"/>
          <w:sz w:val="27"/>
        </w:rPr>
        <w:t xml:space="preserve">A agravante alega, em síntese, que: 1) os créditos de IPTU referentes aos exercícios de 2013, 2014 e 2015 estão prescritos porque o termo inicial da prescrição ocorreu nos respectivos vencimentos, nos termos da Súmula 622 do STJ; 2) a ação cautelar antecedente ajuizada em 2018 não suspendeu nem interrompeu o prazo prescricional, pois não se enquadra em nenhuma hipótese do art. 151 ou do art. 174, parágrafo único, do CTN; 3) ainda que se admitisse algum efeito suspensivo ou interruptivo da cautelar, o prazo prescricional teria reiniciado com o trânsito em julgado ou com o arquivamento do feito, o que também conduziria à prescrição; 4) não é possível considerar que a decisão cautelar tenha impedido o ajuizamento da execução fiscal; e 5) há risco de dano porque a exigibilidade dos créditos impede emissão de certidões fiscais e pode gerar atos constritivos.</w:t>
      </w:r>
    </w:p>
    <w:p>
      <w:pPr>
        <w:spacing w:line="360" w:lineRule="auto" w:after="0" w:before="0"/>
        <w:jc w:val="both"/>
      </w:pPr>
      <w:r>
        <w:rPr>
          <w:rFonts w:ascii="Arial" w:hAnsi="Arial" w:cs="Arial"/>
          <w:b w:val="0"/>
          <w:i w:val="0"/>
          <w:color w:val="00B050"/>
          <w:sz w:val="27"/>
        </w:rPr>
        <w:t xml:space="preserve">Requer a concessão de antecipação de tutela recursal a fim de suspender a exigibilidade dos créditos tributários ou o trâmite da execução fiscal, e, no mérito, a declaração da prescrição dos créditos inscritos.</w:t>
      </w:r>
    </w:p>
    <w:p>
      <w:pPr>
        <w:spacing w:line="360" w:lineRule="auto" w:after="0" w:before="0"/>
        <w:jc w:val="both"/>
      </w:pPr>
      <w:r>
        <w:rPr>
          <w:rFonts w:ascii="Arial" w:hAnsi="Arial" w:cs="Arial"/>
          <w:b w:val="0"/>
          <w:i w:val="0"/>
          <w:color w:val="00B050"/>
          <w:sz w:val="27"/>
        </w:rPr>
        <w:t xml:space="preserve">Com razão.</w:t>
      </w:r>
    </w:p>
    <w:p>
      <w:pPr>
        <w:spacing w:line="360" w:lineRule="auto" w:after="0" w:before="0"/>
        <w:jc w:val="both"/>
      </w:pPr>
      <w:r>
        <w:rPr>
          <w:rFonts w:ascii="Arial" w:hAnsi="Arial" w:cs="Arial"/>
          <w:b w:val="0"/>
          <w:i w:val="0"/>
          <w:color w:val="00B050"/>
          <w:sz w:val="27"/>
        </w:rPr>
        <w:t xml:space="preserve">Adoto as razões expostas na decisão liminar que, embora tenha indeferido a antecipação da tutela recursal em razão da ausência de risco de dano iminente à agravante, já reconheceu a probabilidade do direito invocado (ID 81556029):</w:t>
      </w:r>
    </w:p>
    <w:p>
      <w:pPr>
        <w:spacing w:line="360" w:lineRule="auto" w:after="0" w:before="0"/>
        <w:jc w:val="both"/>
      </w:pPr>
      <w:r>
        <w:rPr>
          <w:rFonts w:ascii="Arial" w:hAnsi="Arial" w:cs="Arial"/>
          <w:b w:val="0"/>
          <w:i w:val="0"/>
          <w:color w:val="00B050"/>
          <w:sz w:val="27"/>
        </w:rPr>
        <w:t xml:space="preserve">“(...) Nesta sede de cognição sumária, ainda que seja possível vislumbrar a probabilidade do direito alegado, não está caracterizado o risco de prejuízo que impeça a agravante de aguardar o julgamento do colegiado.</w:t>
      </w:r>
    </w:p>
    <w:p>
      <w:pPr>
        <w:spacing w:line="360" w:lineRule="auto" w:after="0" w:before="0"/>
        <w:jc w:val="both"/>
      </w:pPr>
      <w:r>
        <w:rPr>
          <w:rFonts w:ascii="Arial" w:hAnsi="Arial" w:cs="Arial"/>
          <w:b w:val="0"/>
          <w:i w:val="0"/>
          <w:color w:val="00B050"/>
          <w:sz w:val="27"/>
        </w:rPr>
        <w:t xml:space="preserve">Constou da r. decisão agravada, in verbis:</w:t>
      </w:r>
    </w:p>
    <w:p>
      <w:pPr>
        <w:spacing w:line="360" w:lineRule="auto" w:after="0" w:before="0"/>
        <w:jc w:val="both"/>
      </w:pPr>
      <w:r>
        <w:rPr>
          <w:rFonts w:ascii="Arial" w:hAnsi="Arial" w:cs="Arial"/>
          <w:b w:val="0"/>
          <w:i w:val="0"/>
          <w:color w:val="00B050"/>
          <w:sz w:val="27"/>
        </w:rPr>
        <w:t xml:space="preserve">‘(...) A prescrição ordinária inicia-se com o não pagamento da dívida tributária no prazo estipulado administrativamente (STJ, AgRg no REsp nº 1.426.354-GO, j. 05/03/2015) e é interrompida com a propositura da execução fiscal (STJ, Súmula n. 106 e RESP 1.120.295, j. 12/05/2010). Nesse diapasão, a prescrição ordinária tem por termo a quo a data da constituição definitiva do crédito.</w:t>
      </w:r>
    </w:p>
    <w:p>
      <w:pPr>
        <w:spacing w:line="360" w:lineRule="auto" w:after="0" w:before="0"/>
        <w:jc w:val="both"/>
      </w:pPr>
      <w:r>
        <w:rPr>
          <w:rFonts w:ascii="Arial" w:hAnsi="Arial" w:cs="Arial"/>
          <w:b w:val="0"/>
          <w:i w:val="0"/>
          <w:color w:val="00B050"/>
          <w:sz w:val="27"/>
        </w:rPr>
        <w:t xml:space="preserve">No caso concreto, as dívidas que deram origem à CDA foram definitivamente constituídas em 07/05/2013, 07/05/2014 e 09/06/2015. Não obstante, a executada ajuizou ação cautelar nº 0719516-18.2018.8.07.0016 em 03/05/2018, requerendo liminarmente fosse determinado ao Distrito Federal, por seus órgãos fazendários, a emissão de certidão positiva com efeitos de negativa.</w:t>
      </w:r>
    </w:p>
    <w:p>
      <w:pPr>
        <w:spacing w:line="360" w:lineRule="auto" w:after="0" w:before="0"/>
        <w:jc w:val="both"/>
      </w:pPr>
      <w:r>
        <w:rPr>
          <w:rFonts w:ascii="Arial" w:hAnsi="Arial" w:cs="Arial"/>
          <w:b w:val="0"/>
          <w:i w:val="0"/>
          <w:color w:val="00B050"/>
          <w:sz w:val="27"/>
        </w:rPr>
        <w:t xml:space="preserve">Em 26/07/2018 foi deferido o pedido liminar e, após a manifestação do Distrito Federal, foi deferida a tutela de urgência para suspender a exigibilidade do débito e determinar a expedição da certidão positiva de débito com efeito de negativa. O feito foi arquivado em 31/01/2019.</w:t>
      </w:r>
    </w:p>
    <w:p>
      <w:pPr>
        <w:spacing w:line="360" w:lineRule="auto" w:after="0" w:before="0"/>
        <w:jc w:val="both"/>
      </w:pPr>
      <w:r>
        <w:rPr>
          <w:rFonts w:ascii="Arial" w:hAnsi="Arial" w:cs="Arial"/>
          <w:b w:val="0"/>
          <w:i w:val="0"/>
          <w:color w:val="00B050"/>
          <w:sz w:val="27"/>
        </w:rPr>
        <w:t xml:space="preserve">A executada alega que o ajuizamento da ação cautelar nº 719516-18.2018.8.07.0016 teve o escopo único de obter a certidão positiva com efeitos de negativa – CPEN, a fim de dar continuidade à sua atividade empresarial, e embora tenha interrompido o prazo prescricional, não teve o condão de suspender a exigibilidade do crédito.</w:t>
      </w:r>
    </w:p>
    <w:p>
      <w:pPr>
        <w:spacing w:line="360" w:lineRule="auto" w:after="0" w:before="0"/>
        <w:jc w:val="both"/>
      </w:pPr>
      <w:r>
        <w:rPr>
          <w:rFonts w:ascii="Arial" w:hAnsi="Arial" w:cs="Arial"/>
          <w:b w:val="0"/>
          <w:i w:val="0"/>
          <w:color w:val="00B050"/>
          <w:sz w:val="27"/>
        </w:rPr>
        <w:t xml:space="preserve">Destaca ainda a tese firmada pelo STJ no julgamento do REsp 1.123.669 sob a sistemática dos recursos repetitivos, corroborando seu argumento de que o crédito não foi suspenso pelo ajuizamento de ação cautelar. Por esse motivo, não havia óbice ao ajuizamento da execução fiscal.</w:t>
      </w:r>
    </w:p>
    <w:p>
      <w:pPr>
        <w:spacing w:line="360" w:lineRule="auto" w:after="0" w:before="0"/>
        <w:jc w:val="both"/>
      </w:pPr>
      <w:r>
        <w:rPr>
          <w:rFonts w:ascii="Arial" w:hAnsi="Arial" w:cs="Arial"/>
          <w:b w:val="0"/>
          <w:i w:val="0"/>
          <w:color w:val="00B050"/>
          <w:sz w:val="27"/>
        </w:rPr>
        <w:t xml:space="preserve">A tese firmada pelo STJ no Tema 237 em face do julgamento do REsp 1.123.669/RS sob a sistemática dos recursos repetitivos não menciona a suspensão da exigibilidade do crédito, sendo oportuna a transcrição:</w:t>
      </w:r>
    </w:p>
    <w:p>
      <w:pPr>
        <w:spacing w:line="360" w:lineRule="auto" w:after="0" w:before="0"/>
        <w:jc w:val="both"/>
      </w:pPr>
      <w:r>
        <w:rPr>
          <w:rFonts w:ascii="Arial" w:hAnsi="Arial" w:cs="Arial"/>
          <w:b w:val="0"/>
          <w:i w:val="0"/>
          <w:color w:val="00B050"/>
          <w:sz w:val="27"/>
        </w:rPr>
        <w:t xml:space="preserve">‘É possível ao contribuinte, após o vencimento da sua obrigação e antes da execução, garantir o juízo de forma antecipada, para o fim de obter certidão positiva com efeito de negativa.’ Por outro lado, a decisão proferida na ação cautelar nº 0719516-18.2018.8.07.0016 foi vazada nos seguintes termos:</w:t>
      </w:r>
    </w:p>
    <w:p>
      <w:pPr>
        <w:spacing w:line="360" w:lineRule="auto" w:after="0" w:before="0"/>
        <w:jc w:val="both"/>
      </w:pPr>
      <w:r>
        <w:rPr>
          <w:rFonts w:ascii="Arial" w:hAnsi="Arial" w:cs="Arial"/>
          <w:b w:val="0"/>
          <w:i w:val="0"/>
          <w:color w:val="00B050"/>
          <w:sz w:val="27"/>
        </w:rPr>
        <w:t xml:space="preserve">‘Ante o exposto, nos termos do artigo 151, inciso II, do CTN, DEFIRO a tutela de urgência para SUSPENDER A EXIGIBILIDADE DO DÉBITO e determinar ao DISTRITO FEDERAL que, ausente outros débitos alheios a estes autos, proceda à expedição de certidão positiva de débitos com efeito de negativa, a requerimento da parte autora(...).’ Evidenciada, portanto, a suspensão do crédito tributário, com fulcro na decisão judicial ora transcrita. Tanto é assim que, até o presente momento, o crédito se conserva suspenso com base nesse motivo, conforme se observa pelos documentos que acompanham a petição de ID 226280161.</w:t>
      </w:r>
    </w:p>
    <w:p>
      <w:pPr>
        <w:spacing w:line="360" w:lineRule="auto" w:after="0" w:before="0"/>
        <w:jc w:val="both"/>
      </w:pPr>
      <w:r>
        <w:rPr>
          <w:rFonts w:ascii="Arial" w:hAnsi="Arial" w:cs="Arial"/>
          <w:b w:val="0"/>
          <w:i w:val="0"/>
          <w:color w:val="00B050"/>
          <w:sz w:val="27"/>
        </w:rPr>
        <w:t xml:space="preserve">Também não procede o argumento de que o débito referente ao IPTU de 2013 estaria prescrito, pois o Distrito Federal somente foi citado em 11/05/2018, pois a ação cautelar foi ajuizada em 03/05/2018, caso em que a decisão proferida naquele feito retroage à data do ajuizamento da ação.</w:t>
      </w:r>
    </w:p>
    <w:p>
      <w:pPr>
        <w:spacing w:line="360" w:lineRule="auto" w:after="0" w:before="0"/>
        <w:jc w:val="both"/>
      </w:pPr>
      <w:r>
        <w:rPr>
          <w:rFonts w:ascii="Arial" w:hAnsi="Arial" w:cs="Arial"/>
          <w:b w:val="0"/>
          <w:i w:val="0"/>
          <w:color w:val="00B050"/>
          <w:sz w:val="27"/>
        </w:rPr>
        <w:t xml:space="preserve">Por esse motivo, o ajuizamento de ação executiva após o ajuizamento da ação cautelar teria seus efeitos obstados pela própria decisão proferida na ação cautelar, em face da ordem de suspensão da exigibilidade do crédito. (...)” (ID 258213805 dos autos de origem) – Grifei.</w:t>
      </w:r>
    </w:p>
    <w:p>
      <w:pPr>
        <w:spacing w:line="360" w:lineRule="auto" w:after="0" w:before="0"/>
        <w:jc w:val="both"/>
      </w:pPr>
      <w:r>
        <w:rPr>
          <w:rFonts w:ascii="Arial" w:hAnsi="Arial" w:cs="Arial"/>
          <w:b w:val="0"/>
          <w:i w:val="0"/>
          <w:color w:val="00B050"/>
          <w:sz w:val="27"/>
        </w:rPr>
        <w:t xml:space="preserve">Ocorre que, em análise da ação de tutela antecipada antecedente (antiga ação cautelar de caução prévia à execução fiscal) n. 0719516- 18.2018.8.07.0016, a autora, ora executada/agravante, não ofertou garantia com o fim de suspender a exigibilidade do débito, mas apenas para obter certidão positiva de débitos com efeitos de negativa (ID 16687320, p. 10, daquele processo).</w:t>
      </w:r>
    </w:p>
    <w:p>
      <w:pPr>
        <w:spacing w:line="360" w:lineRule="auto" w:after="0" w:before="0"/>
        <w:jc w:val="both"/>
      </w:pPr>
      <w:r>
        <w:rPr>
          <w:rFonts w:ascii="Arial" w:hAnsi="Arial" w:cs="Arial"/>
          <w:b w:val="0"/>
          <w:i w:val="0"/>
          <w:color w:val="00B050"/>
          <w:sz w:val="27"/>
        </w:rPr>
        <w:t xml:space="preserve">Dessa forma, em juízo de cognição sumária, a decisão proferida na ação cautelar antecedente, ao declarar a suspensão da exigibilidade do crédito, aparenta ter extrapolado os limites objetivos do pedido formulado.</w:t>
      </w:r>
    </w:p>
    <w:p>
      <w:pPr>
        <w:spacing w:line="360" w:lineRule="auto" w:after="0" w:before="0"/>
        <w:jc w:val="both"/>
      </w:pPr>
      <w:r>
        <w:rPr>
          <w:rFonts w:ascii="Arial" w:hAnsi="Arial" w:cs="Arial"/>
          <w:b w:val="0"/>
          <w:i w:val="0"/>
          <w:color w:val="00B050"/>
          <w:sz w:val="27"/>
        </w:rPr>
        <w:t xml:space="preserve">Ainda que se admitisse a correta suspensão da exigibilidade, observa-se que a execução fiscal de origem somente foi ajuizada em 10/09/2024, o que, em princípio, indica a possível ocorrência de prescrição quinquenal do crédito tributário, considerando que a ação n. 0719516- 18.2018.8.07.0016 foi arquivada em 31/01/2019 porque o Distrito Federal não ajuizou a execução fiscal no prazo de 30 (trinta) dias do deferimento da suspensão (CPC 308). (...)” (Grifei)</w:t>
      </w:r>
    </w:p>
    <w:p>
      <w:pPr>
        <w:spacing w:line="360" w:lineRule="auto" w:after="0" w:before="0"/>
        <w:jc w:val="both"/>
      </w:pPr>
      <w:r>
        <w:rPr>
          <w:rFonts w:ascii="Arial" w:hAnsi="Arial" w:cs="Arial"/>
          <w:b w:val="0"/>
          <w:i w:val="0"/>
          <w:color w:val="00B050"/>
          <w:sz w:val="27"/>
        </w:rPr>
        <w:t xml:space="preserve">Com a mais elevada vênia ao d. Juízo a quo, em cognição exauriente, a análise da própria ação cautelar confirma essa conclusão.</w:t>
      </w:r>
    </w:p>
    <w:p>
      <w:pPr>
        <w:spacing w:line="360" w:lineRule="auto" w:after="0" w:before="0"/>
        <w:jc w:val="both"/>
      </w:pPr>
      <w:r>
        <w:rPr>
          <w:rFonts w:ascii="Arial" w:hAnsi="Arial" w:cs="Arial"/>
          <w:b w:val="0"/>
          <w:i w:val="0"/>
          <w:color w:val="00B050"/>
          <w:sz w:val="27"/>
        </w:rPr>
        <w:t xml:space="preserve">A petição inicial da Cautelar nº 0719516-18.2018.8.07.0016 confirma que a pretensão foi delimitada à obtenção de certidão positiva com efeitos de negativa mediante caução de imóvel, e não à declaração de inexigibilidade ou anulação do crédito tributário (ID 16687320, daqueles autos).</w:t>
      </w:r>
    </w:p>
    <w:p>
      <w:pPr>
        <w:spacing w:line="360" w:lineRule="auto" w:after="0" w:before="0"/>
        <w:jc w:val="both"/>
      </w:pPr>
      <w:r>
        <w:rPr>
          <w:rFonts w:ascii="Arial" w:hAnsi="Arial" w:cs="Arial"/>
          <w:b w:val="0"/>
          <w:i w:val="0"/>
          <w:color w:val="00B050"/>
          <w:sz w:val="27"/>
        </w:rPr>
        <w:t xml:space="preserve">Com efeito, as requerentes afirmaram que, “por discordar de tais exigências”, pretendiam submeter seus argumentos ao Judiciário “mediante o manejo de embargos à execução, precedidos do oferecimento de bens em garantia do juízo”, deixando claro que a discussão do crédito seria travada em momento próprio, após o ajuizamento da execução fiscal. (ID 16687320 - Pág. 2 daqueles autos)</w:t>
      </w:r>
    </w:p>
    <w:p>
      <w:pPr>
        <w:spacing w:line="360" w:lineRule="auto" w:after="0" w:before="0"/>
        <w:jc w:val="both"/>
      </w:pPr>
      <w:r>
        <w:rPr>
          <w:rFonts w:ascii="Arial" w:hAnsi="Arial" w:cs="Arial"/>
          <w:b w:val="0"/>
          <w:i w:val="0"/>
          <w:color w:val="00B050"/>
          <w:sz w:val="27"/>
        </w:rPr>
        <w:t xml:space="preserve">Na sequência, a inicial consignou que, “enquanto as execuções não são ajuizadas”, as requerentes estavam impossibilitadas de renovar sua certidão de regularidade fiscal, razão pela qual se valiam da medida antecedente “com o oferecimento de bem imóvel (...) para que possam obter a certidão positiva com efeitos de negativa de que trata o artigo 206 do CTN, até que seja ajuizada a competente execução fiscal”.</w:t>
      </w:r>
    </w:p>
    <w:p>
      <w:pPr>
        <w:spacing w:line="360" w:lineRule="auto" w:after="0" w:before="0"/>
        <w:jc w:val="both"/>
      </w:pPr>
      <w:r>
        <w:rPr>
          <w:rFonts w:ascii="Arial" w:hAnsi="Arial" w:cs="Arial"/>
          <w:b w:val="0"/>
          <w:i w:val="0"/>
          <w:color w:val="00B050"/>
          <w:sz w:val="27"/>
        </w:rPr>
        <w:t xml:space="preserve">O pedido formulado também revela essa limitação objetiva: requereu-se que “os débitos de IPTU em aberto relativos ao imóvel (...) não constituam óbice à emissão de certidão positiva de débitos com efeitos de negativa de que trata o art. 206 do CTN”, bem como que o Distrito Federal se abstivesse de promover medidas restritivas, como inscrição em cadastros de inadimplentes ou protesto de CDA, em consonância com o REsp 1.123.669/RS. (ID 16687320 - Pág. 10 daqueles autos)</w:t>
      </w:r>
    </w:p>
    <w:p>
      <w:pPr>
        <w:spacing w:line="360" w:lineRule="auto" w:after="0" w:before="0"/>
        <w:jc w:val="both"/>
      </w:pPr>
      <w:r>
        <w:rPr>
          <w:rFonts w:ascii="Arial" w:hAnsi="Arial" w:cs="Arial"/>
          <w:b w:val="0"/>
          <w:i w:val="0"/>
          <w:color w:val="00B050"/>
          <w:sz w:val="27"/>
        </w:rPr>
        <w:t xml:space="preserve">A fundamentação jurídica adotada na inicial seguiu a mesma linha, ao invocar o precedente repetitivo do STJ segundo o qual “o contribuinte pode, após o vencimento da sua obrigação e antes da execução, garantir o juízo de forma antecipada, para o fim de obter certidão positiva com efeito de negativa”, bem como a premissa de que “a caução oferecida pelo contribuinte, antes da propositura da execução fiscal é equiparável à penhora antecipada e viabiliza a certidão pretendida”.</w:t>
      </w:r>
    </w:p>
    <w:p>
      <w:pPr>
        <w:spacing w:line="360" w:lineRule="auto" w:after="0" w:before="0"/>
        <w:jc w:val="both"/>
      </w:pPr>
      <w:r>
        <w:rPr>
          <w:rFonts w:ascii="Arial" w:hAnsi="Arial" w:cs="Arial"/>
          <w:b w:val="0"/>
          <w:i w:val="0"/>
          <w:color w:val="00B050"/>
          <w:sz w:val="27"/>
        </w:rPr>
        <w:t xml:space="preserve">Portanto, a cautelar teve finalidade instrumental e provisória: antecipar garantia para permitir a expedição da CPEN, enquanto não ajuizada a execução fiscal, sem pedido de anulação do lançamento, declaração de inexistência do débito ou suspensão indefinida da pretensão executiva.</w:t>
      </w:r>
    </w:p>
    <w:p>
      <w:pPr>
        <w:spacing w:line="360" w:lineRule="auto" w:after="0" w:before="0"/>
        <w:jc w:val="both"/>
      </w:pPr>
      <w:r>
        <w:rPr>
          <w:rFonts w:ascii="Arial" w:hAnsi="Arial" w:cs="Arial"/>
          <w:b w:val="0"/>
          <w:i w:val="0"/>
          <w:color w:val="00B050"/>
          <w:sz w:val="27"/>
        </w:rPr>
        <w:t xml:space="preserve">Ao contrário, a medida foi expressamente manejada como caução prévia à futura execução fiscal, até que o Distrito Federal promovesse a cobrança judicial.</w:t>
      </w:r>
    </w:p>
    <w:p>
      <w:pPr>
        <w:spacing w:line="360" w:lineRule="auto" w:after="0" w:before="0"/>
        <w:jc w:val="both"/>
      </w:pPr>
      <w:r>
        <w:rPr>
          <w:rFonts w:ascii="Arial" w:hAnsi="Arial" w:cs="Arial"/>
          <w:b w:val="0"/>
          <w:i w:val="0"/>
          <w:color w:val="00B050"/>
          <w:sz w:val="27"/>
        </w:rPr>
        <w:t xml:space="preserve">Conforme o CTN:</w:t>
      </w:r>
    </w:p>
    <w:p>
      <w:pPr>
        <w:spacing w:line="360" w:lineRule="auto" w:after="0" w:before="0"/>
        <w:jc w:val="both"/>
      </w:pPr>
      <w:r>
        <w:rPr>
          <w:rFonts w:ascii="Arial" w:hAnsi="Arial" w:cs="Arial"/>
          <w:b w:val="0"/>
          <w:i w:val="0"/>
          <w:color w:val="00B050"/>
          <w:sz w:val="27"/>
        </w:rPr>
        <w:t xml:space="preserve">“Art. 151. Suspendem a exigibilidade do crédito tributário:</w:t>
      </w:r>
    </w:p>
    <w:p>
      <w:pPr>
        <w:spacing w:line="360" w:lineRule="auto" w:after="0" w:before="0"/>
        <w:jc w:val="both"/>
      </w:pPr>
      <w:r>
        <w:rPr>
          <w:rFonts w:ascii="Arial" w:hAnsi="Arial" w:cs="Arial"/>
          <w:b w:val="0"/>
          <w:i w:val="0"/>
          <w:color w:val="00B050"/>
          <w:sz w:val="27"/>
        </w:rPr>
        <w:t xml:space="preserve">I - moratória;</w:t>
      </w:r>
    </w:p>
    <w:p>
      <w:pPr>
        <w:spacing w:line="360" w:lineRule="auto" w:after="0" w:before="0"/>
        <w:jc w:val="both"/>
      </w:pPr>
      <w:r>
        <w:rPr>
          <w:rFonts w:ascii="Arial" w:hAnsi="Arial" w:cs="Arial"/>
          <w:b w:val="0"/>
          <w:i w:val="0"/>
          <w:color w:val="00B050"/>
          <w:sz w:val="27"/>
        </w:rPr>
        <w:t xml:space="preserve">II - o depósito do seu montante integral;</w:t>
      </w:r>
    </w:p>
    <w:p>
      <w:pPr>
        <w:spacing w:line="360" w:lineRule="auto" w:after="0" w:before="0"/>
        <w:jc w:val="both"/>
      </w:pPr>
      <w:r>
        <w:rPr>
          <w:rFonts w:ascii="Arial" w:hAnsi="Arial" w:cs="Arial"/>
          <w:b w:val="0"/>
          <w:i w:val="0"/>
          <w:color w:val="00B050"/>
          <w:sz w:val="27"/>
        </w:rPr>
        <w:t xml:space="preserve">III - as reclamações e os recursos, nos termos das leis reguladoras do processo tributário administrativo;</w:t>
      </w:r>
    </w:p>
    <w:p>
      <w:pPr>
        <w:spacing w:line="360" w:lineRule="auto" w:after="0" w:before="0"/>
        <w:jc w:val="both"/>
      </w:pPr>
      <w:r>
        <w:rPr>
          <w:rFonts w:ascii="Arial" w:hAnsi="Arial" w:cs="Arial"/>
          <w:b w:val="0"/>
          <w:i w:val="0"/>
          <w:color w:val="00B050"/>
          <w:sz w:val="27"/>
        </w:rPr>
        <w:t xml:space="preserve">IV - a concessão de medida liminar em mandado de segurança;</w:t>
      </w:r>
    </w:p>
    <w:p>
      <w:pPr>
        <w:spacing w:line="360" w:lineRule="auto" w:after="0" w:before="0"/>
        <w:jc w:val="both"/>
      </w:pPr>
      <w:r>
        <w:rPr>
          <w:rFonts w:ascii="Arial" w:hAnsi="Arial" w:cs="Arial"/>
          <w:b w:val="0"/>
          <w:i w:val="0"/>
          <w:color w:val="00B050"/>
          <w:sz w:val="27"/>
        </w:rPr>
        <w:t xml:space="preserve">V – a concessão de medida liminar ou de tutela antecipada, em outras espécies de ação judicial;</w:t>
      </w:r>
    </w:p>
    <w:p>
      <w:pPr>
        <w:spacing w:line="360" w:lineRule="auto" w:after="0" w:before="0"/>
        <w:jc w:val="both"/>
      </w:pPr>
      <w:r>
        <w:rPr>
          <w:rFonts w:ascii="Arial" w:hAnsi="Arial" w:cs="Arial"/>
          <w:b w:val="0"/>
          <w:i w:val="0"/>
          <w:color w:val="00B050"/>
          <w:sz w:val="27"/>
        </w:rPr>
        <w:t xml:space="preserve">VI – o parcelamento.</w:t>
      </w:r>
    </w:p>
    <w:p>
      <w:pPr>
        <w:spacing w:line="360" w:lineRule="auto" w:after="0" w:before="0"/>
        <w:jc w:val="both"/>
      </w:pPr>
      <w:r>
        <w:rPr>
          <w:rFonts w:ascii="Arial" w:hAnsi="Arial" w:cs="Arial"/>
          <w:b w:val="0"/>
          <w:i w:val="0"/>
          <w:color w:val="00B050"/>
          <w:sz w:val="27"/>
        </w:rPr>
        <w:t xml:space="preserve">Parágrafo único. O disposto neste artigo não dispensa o cumprimento das obrigações acessórias dependentes da obrigação principal cujo crédito seja suspenso, ou dela consequentes.”</w:t>
      </w:r>
    </w:p>
    <w:p>
      <w:pPr>
        <w:spacing w:line="360" w:lineRule="auto" w:after="0" w:before="0"/>
        <w:jc w:val="both"/>
      </w:pPr>
      <w:r>
        <w:rPr>
          <w:rFonts w:ascii="Arial" w:hAnsi="Arial" w:cs="Arial"/>
          <w:b w:val="0"/>
          <w:i w:val="0"/>
          <w:color w:val="00B050"/>
          <w:sz w:val="27"/>
        </w:rPr>
        <w:t xml:space="preserve">Assim, a caução de imóvel ofertada na cautelar não se enquadra no art. 151, II, do CTN, pois não corresponde a depósito integral em dinheiro.</w:t>
      </w:r>
    </w:p>
    <w:p>
      <w:pPr>
        <w:spacing w:line="360" w:lineRule="auto" w:after="0" w:before="0"/>
        <w:jc w:val="both"/>
      </w:pPr>
      <w:r>
        <w:rPr>
          <w:rFonts w:ascii="Arial" w:hAnsi="Arial" w:cs="Arial"/>
          <w:b w:val="0"/>
          <w:i w:val="0"/>
          <w:color w:val="00B050"/>
          <w:sz w:val="27"/>
        </w:rPr>
        <w:t xml:space="preserve">Isso, contudo, não elimina, em tese, a possibilidade de suspensão pelo art. 151, V, do CTN, quando houver medida liminar ou tutela antecipada expressamente voltada a esse efeito.</w:t>
      </w:r>
    </w:p>
    <w:p>
      <w:pPr>
        <w:spacing w:line="360" w:lineRule="auto" w:after="0" w:before="0"/>
        <w:jc w:val="both"/>
      </w:pPr>
      <w:r>
        <w:rPr>
          <w:rFonts w:ascii="Arial" w:hAnsi="Arial" w:cs="Arial"/>
          <w:b w:val="0"/>
          <w:i w:val="0"/>
          <w:color w:val="00B050"/>
          <w:sz w:val="27"/>
        </w:rPr>
        <w:t xml:space="preserve">Contudo, no caso concreto, a peculiaridade está no ponto em que a cautelar foi proposta com finalidade instrumental de caução prévia para obtenção de Certidão Positiva com Efeitos Negativos, nos termos do art. 206 do CTN e do Tema 237/STJ, e não como ação destinada a discutir a validade, a existência ou a exigibilidade do crédito:</w:t>
      </w:r>
    </w:p>
    <w:p>
      <w:pPr>
        <w:spacing w:line="360" w:lineRule="auto" w:after="0" w:before="0"/>
        <w:jc w:val="both"/>
      </w:pPr>
      <w:r>
        <w:rPr>
          <w:rFonts w:ascii="Arial" w:hAnsi="Arial" w:cs="Arial"/>
          <w:b w:val="0"/>
          <w:i w:val="0"/>
          <w:color w:val="00B050"/>
          <w:sz w:val="27"/>
        </w:rPr>
        <w:t xml:space="preserve">“CTN, Art. 206. Tem os mesmos efeitos previstos no artigo anterior a certidão de que conste a existência de créditos não vencidos, em curso de cobrança executiva em que tenha sido efetivada a penhora, ou cuja exigibilidade esteja suspensa.</w:t>
      </w:r>
    </w:p>
    <w:p>
      <w:pPr>
        <w:spacing w:line="360" w:lineRule="auto" w:after="0" w:before="0"/>
        <w:jc w:val="both"/>
      </w:pPr>
      <w:r>
        <w:rPr>
          <w:rFonts w:ascii="Arial" w:hAnsi="Arial" w:cs="Arial"/>
          <w:b w:val="0"/>
          <w:i w:val="0"/>
          <w:color w:val="00B050"/>
          <w:sz w:val="27"/>
        </w:rPr>
        <w:t xml:space="preserve">Tema 237/STJ: É possível ao contribuinte, após o vencimento da sua obrigação e antes da execução, garantir o juízo de forma antecipada, para o fim de obter certidão positiva com efeito de negativa.”</w:t>
      </w:r>
    </w:p>
    <w:p>
      <w:pPr>
        <w:spacing w:line="360" w:lineRule="auto" w:after="0" w:before="0"/>
        <w:jc w:val="both"/>
      </w:pPr>
      <w:r>
        <w:rPr>
          <w:rFonts w:ascii="Arial" w:hAnsi="Arial" w:cs="Arial"/>
          <w:b w:val="0"/>
          <w:i w:val="0"/>
          <w:color w:val="00B050"/>
          <w:sz w:val="27"/>
        </w:rPr>
        <w:t xml:space="preserve">Embora o art. 151, V, do CTN admita a suspensão da exigibilidade por medida liminar ou tutela antecipada em outras espécies de ação judicial, essa regra pressupõe provimento judicial voltado propriamente à suspensão da exigibilidade do crédito, e não mera caução prévia destinada a antecipar os efeitos da penhora para obtenção de CPEN.</w:t>
      </w:r>
    </w:p>
    <w:p>
      <w:pPr>
        <w:spacing w:line="360" w:lineRule="auto" w:after="0" w:before="0"/>
        <w:jc w:val="both"/>
      </w:pPr>
      <w:r>
        <w:rPr>
          <w:rFonts w:ascii="Arial" w:hAnsi="Arial" w:cs="Arial"/>
          <w:b w:val="0"/>
          <w:i w:val="0"/>
          <w:color w:val="00B050"/>
          <w:sz w:val="27"/>
        </w:rPr>
        <w:t xml:space="preserve">De todo modo, ainda que se prestigie a literalidade da decisão cautelar e se admita que houve suspensão judicial da exigibilidade, tal efeito não poderia subsistir indefinidamente.</w:t>
      </w:r>
    </w:p>
    <w:p>
      <w:pPr>
        <w:spacing w:line="360" w:lineRule="auto" w:after="0" w:before="0"/>
        <w:jc w:val="both"/>
      </w:pPr>
      <w:r>
        <w:rPr>
          <w:rFonts w:ascii="Arial" w:hAnsi="Arial" w:cs="Arial"/>
          <w:b w:val="0"/>
          <w:i w:val="0"/>
          <w:color w:val="00B050"/>
          <w:sz w:val="27"/>
        </w:rPr>
        <w:t xml:space="preserve">A própria cautelar foi arquivada em 31/01/2019, após a ausência de notícia do ajuizamento da execução fiscal, de modo que, no mínimo, a partir desse marco, voltou a correr o prazo prescricional.</w:t>
      </w:r>
    </w:p>
    <w:p>
      <w:pPr>
        <w:spacing w:line="360" w:lineRule="auto" w:after="0" w:before="0"/>
        <w:jc w:val="both"/>
      </w:pPr>
      <w:r>
        <w:rPr>
          <w:rFonts w:ascii="Arial" w:hAnsi="Arial" w:cs="Arial"/>
          <w:b w:val="0"/>
          <w:i w:val="0"/>
          <w:color w:val="00B050"/>
          <w:sz w:val="27"/>
        </w:rPr>
        <w:t xml:space="preserve">A orientação do STJ é no sentido de que, cessado o motivo da suspensão da exigibilidade, retoma-se o curso do prazo prescricional para a Fazenda Pública promover a cobrança judicial:</w:t>
      </w:r>
    </w:p>
    <w:p>
      <w:pPr>
        <w:spacing w:line="360" w:lineRule="auto" w:after="0" w:before="0"/>
        <w:jc w:val="both"/>
      </w:pPr>
      <w:r>
        <w:rPr>
          <w:rFonts w:ascii="Arial" w:hAnsi="Arial" w:cs="Arial"/>
          <w:b w:val="0"/>
          <w:i w:val="0"/>
          <w:color w:val="00B050"/>
          <w:sz w:val="27"/>
        </w:rPr>
        <w:t xml:space="preserve">“(...) 1. A divergência traçada nestes autos envolve a identificação do início da prescrição tributária para o Fisco após a revogação de liminar que anteriormente suspendeu a exigibilidade do crédito tributário, mesmo havendo a parte sucumbente interposto recurso especial e extraordinário desprovidos de eficácia suspensiva. (...)</w:t>
      </w:r>
    </w:p>
    <w:p>
      <w:pPr>
        <w:spacing w:line="360" w:lineRule="auto" w:after="0" w:before="0"/>
        <w:jc w:val="both"/>
      </w:pPr>
      <w:r>
        <w:rPr>
          <w:rFonts w:ascii="Arial" w:hAnsi="Arial" w:cs="Arial"/>
          <w:b w:val="0"/>
          <w:i w:val="0"/>
          <w:color w:val="00B050"/>
          <w:sz w:val="27"/>
        </w:rPr>
        <w:t xml:space="preserve">4. A concessão de liminar em mandado de segurança é causa de suspensão da exigibilidade do crédito tributário (art. 151, IV, do CTN). Conforme destacado em um dos acórdãos paradigmas, "diversamente do recurso administrativo que suspende a exigibilidade do crédito tributário enquanto persiste o contencioso administrativo (inciso III do artigo 151 do CTN), não é a mera existência de discussão judicial sobre o crédito tributário que suspende a sua exigibilidade, mas a existência de medida liminar, durante o tempo de sua duração, ou a concessão da ordem, a inibir a adoção de qualquer medida visando à satisfação do crédito por parte da Fazenda Nacional" (EREsp 449.679/RS, Rel.</w:t>
      </w:r>
    </w:p>
    <w:p>
      <w:pPr>
        <w:spacing w:line="360" w:lineRule="auto" w:after="0" w:before="0"/>
        <w:jc w:val="both"/>
      </w:pPr>
      <w:r>
        <w:rPr>
          <w:rFonts w:ascii="Arial" w:hAnsi="Arial" w:cs="Arial"/>
          <w:b w:val="0"/>
          <w:i w:val="0"/>
          <w:color w:val="00B050"/>
          <w:sz w:val="27"/>
        </w:rPr>
        <w:t xml:space="preserve">Ministro Hamilton Carvalhido, Primeira Seção, DJe 1º/2/2011).</w:t>
      </w:r>
    </w:p>
    <w:p>
      <w:pPr>
        <w:spacing w:line="360" w:lineRule="auto" w:after="0" w:before="0"/>
        <w:jc w:val="both"/>
      </w:pPr>
      <w:r>
        <w:rPr>
          <w:rFonts w:ascii="Arial" w:hAnsi="Arial" w:cs="Arial"/>
          <w:b w:val="0"/>
          <w:i w:val="0"/>
          <w:color w:val="00B050"/>
          <w:sz w:val="27"/>
        </w:rPr>
        <w:t xml:space="preserve">5. Na hipótese dos autos, considerando que a liminar que suspendeu a exigibilidade do crédito tributário foi revogada definitivamente em 26/11/1998 e que os recursos especiais e extraordinários interpostos pela ora recorrente foram desprovidos de eficácia suspensiva, o reconhecimento do transcurso do prazo prescricional a que se refere o art. 174, caput, do CTN, é medida que se impõe, já que a execução fiscal foi ajuizada somente em 4/11/2009, ou seja, após o transcurso do prazo de 5 anos.(...)” (Grifei) (EAREsp n. 407.940/RS, relator Ministro Og Fernandes, Primeira Seção, julgado em 10/5/2017, DJe de 29/5/2017.)</w:t>
      </w:r>
    </w:p>
    <w:p>
      <w:pPr>
        <w:spacing w:line="360" w:lineRule="auto" w:after="0" w:before="0"/>
        <w:jc w:val="both"/>
      </w:pPr>
      <w:r>
        <w:rPr>
          <w:rFonts w:ascii="Arial" w:hAnsi="Arial" w:cs="Arial"/>
          <w:b w:val="0"/>
          <w:i w:val="0"/>
          <w:color w:val="00B050"/>
          <w:sz w:val="27"/>
        </w:rPr>
        <w:t xml:space="preserve">Assim, mesmo no cenário mais favorável ao Distrito Federal, considerando-se suspenso o prazo entre o ajuizamento da cautelar, em 03/05/2018, e o arquivamento do feito, em 31/01/2019, a execução fiscal ajuizada apenas em 10/09/2024 mostra-se intempestiva.</w:t>
      </w:r>
    </w:p>
    <w:p>
      <w:pPr>
        <w:spacing w:line="360" w:lineRule="auto" w:after="0" w:before="0"/>
        <w:jc w:val="both"/>
      </w:pPr>
      <w:r>
        <w:rPr>
          <w:rFonts w:ascii="Arial" w:hAnsi="Arial" w:cs="Arial"/>
          <w:b w:val="0"/>
          <w:i w:val="0"/>
          <w:color w:val="00B050"/>
          <w:sz w:val="27"/>
        </w:rPr>
        <w:t xml:space="preserve">Com efeito, os créditos foram constituídos em 07/05/2013, 07/05/2014 e 09/06/2015, de modo que, acrescido o período de suspensão, a prescrição teria se consumado, respectivamente, em fevereiro de 2019, fevereiro de 2020 e março de 2021, muito antes da propositura da execução fiscal.</w:t>
      </w:r>
    </w:p>
    <w:p>
      <w:pPr>
        <w:spacing w:line="360" w:lineRule="auto" w:after="0" w:before="0"/>
        <w:jc w:val="both"/>
      </w:pPr>
      <w:r>
        <w:rPr>
          <w:rFonts w:ascii="Arial" w:hAnsi="Arial" w:cs="Arial"/>
          <w:b w:val="0"/>
          <w:i w:val="0"/>
          <w:color w:val="00B050"/>
          <w:sz w:val="27"/>
        </w:rPr>
        <w:t xml:space="preserve">Não procede, portanto, a tese de que a decisão cautelar teria impedido o ajuizamento da execução fiscal até 2024. A medida antecedente tinha caráter instrumental e provisório, voltado à garantia do crédito e à emissão de CPEN, não podendo converter-se em causa de paralisação ilimitada da prescrição tributária.</w:t>
      </w:r>
    </w:p>
    <w:p>
      <w:pPr>
        <w:spacing w:line="360" w:lineRule="auto" w:after="0" w:before="0"/>
        <w:jc w:val="both"/>
      </w:pPr>
      <w:r>
        <w:rPr>
          <w:rFonts w:ascii="Arial" w:hAnsi="Arial" w:cs="Arial"/>
          <w:b w:val="0"/>
          <w:i w:val="0"/>
          <w:color w:val="00B050"/>
          <w:sz w:val="27"/>
        </w:rPr>
        <w:t xml:space="preserve">Por conseguinte, está prescrita a pretensão executiva relativa às CDAs nº 50244032637, 50244032653 e 50244032661, referentes aos exercícios de IPTU de 2013, 2014 e 2015, impondo-se a reforma da decisão agravada para acolher a exceção de pré- executividade e extinguir a execução fiscal.</w:t>
      </w:r>
    </w:p>
    <w:p>
      <w:pPr>
        <w:spacing w:line="360" w:lineRule="auto" w:after="0" w:before="0"/>
        <w:jc w:val="both"/>
      </w:pPr>
      <w:r>
        <w:rPr>
          <w:rFonts w:ascii="Arial" w:hAnsi="Arial" w:cs="Arial"/>
          <w:b/>
          <w:i w:val="0"/>
          <w:color w:val="00B050"/>
          <w:sz w:val="27"/>
        </w:rPr>
        <w:t xml:space="preserve">DISPOSITIVO</w:t>
      </w:r>
    </w:p>
    <w:p>
      <w:pPr>
        <w:spacing w:line="360" w:lineRule="auto" w:after="0" w:before="0"/>
        <w:jc w:val="both"/>
      </w:pPr>
      <w:r>
        <w:rPr>
          <w:rFonts w:ascii="Arial" w:hAnsi="Arial" w:cs="Arial"/>
          <w:b w:val="0"/>
          <w:i w:val="0"/>
          <w:color w:val="00B050"/>
          <w:sz w:val="27"/>
        </w:rPr>
        <w:t xml:space="preserve">Ante o exposto, reiteradas as vênias, dou provimento ao agravo de instrumento interposto pela executada, Conterc Construção Terraplenagem e Consultoria Ltda., para reformar a decisão agravada e acolher a exceção de pré-executividade, reconhecendo a prescrição da pretensão executiva relativa às CDAs nº 50244032637, 50244032653 e 50244032661, referentes aos créditos de IPTU dos exercícios de 2013, 2014 e 2015.</w:t>
      </w:r>
    </w:p>
    <w:p>
      <w:pPr>
        <w:spacing w:line="360" w:lineRule="auto" w:after="0" w:before="0"/>
        <w:jc w:val="both"/>
      </w:pPr>
      <w:r>
        <w:rPr>
          <w:rFonts w:ascii="Arial" w:hAnsi="Arial" w:cs="Arial"/>
          <w:b w:val="0"/>
          <w:i w:val="0"/>
          <w:color w:val="00B050"/>
          <w:sz w:val="27"/>
        </w:rPr>
        <w:t xml:space="preserve">Em consequência, julgo extinta a Execução Fiscal nº 0780092- 64.2024.8.07.0016, com resolução de mérito.</w:t>
      </w:r>
    </w:p>
    <w:p>
      <w:pPr>
        <w:spacing w:line="360" w:lineRule="auto" w:after="0" w:before="0"/>
        <w:jc w:val="both"/>
      </w:pPr>
      <w:r>
        <w:rPr>
          <w:rFonts w:ascii="Arial" w:hAnsi="Arial" w:cs="Arial"/>
          <w:b w:val="0"/>
          <w:i w:val="0"/>
          <w:color w:val="00B050"/>
          <w:sz w:val="27"/>
        </w:rPr>
        <w:t xml:space="preserve">Condeno o Distrito Federal ao pagamento de honorários advocatícios em favor da parte executada, os quais fixo no patamar mínimo previsto no art. 85, § 3º, incisos I e II, c/c § 5º, do CPC, observada a regra de escalonamento, isto é, 10% sobre a parcela do proveito econômico obtido até 200 salários-mínimos e 8% sobre a parcela excedente, tendo como base de cálculo o valor atualizado da execução.</w:t>
      </w:r>
    </w:p>
    <w:p>
      <w:pPr>
        <w:spacing w:line="360" w:lineRule="auto" w:after="0" w:before="0"/>
        <w:jc w:val="both"/>
      </w:pPr>
      <w:r>
        <w:rPr>
          <w:rFonts w:ascii="Arial" w:hAnsi="Arial" w:cs="Arial"/>
          <w:b w:val="0"/>
          <w:i w:val="0"/>
          <w:color w:val="00B050"/>
          <w:sz w:val="27"/>
        </w:rPr>
        <w:t xml:space="preserve">É como voto.</w:t>
      </w:r>
    </w:p>
    <w:p>
      <w:pPr>
        <w:spacing w:line="360" w:lineRule="auto" w:after="0" w:before="0"/>
        <w:jc w:val="both"/>
      </w:pPr>
      <w:r>
        <w:rPr>
          <w:rFonts w:ascii="Arial" w:hAnsi="Arial" w:cs="Arial"/>
          <w:b w:val="0"/>
          <w:i w:val="0"/>
          <w:color w:val="00B050"/>
          <w:sz w:val="27"/>
        </w:rPr>
        <w:t xml:space="preserve">O Senhor Desembargador ROBERVAL CASEMIRO BELINATI - 1º Vogal</w:t>
      </w:r>
    </w:p>
    <w:p>
      <w:pPr>
        <w:spacing w:line="360" w:lineRule="auto" w:after="0" w:before="0"/>
        <w:jc w:val="both"/>
      </w:pPr>
      <w:r>
        <w:rPr>
          <w:rFonts w:ascii="Arial" w:hAnsi="Arial" w:cs="Arial"/>
          <w:b w:val="0"/>
          <w:i w:val="0"/>
          <w:color w:val="00B050"/>
          <w:sz w:val="27"/>
        </w:rPr>
        <w:t xml:space="preserve">Com o(a) relator(a)</w:t>
      </w:r>
    </w:p>
    <w:p>
      <w:pPr>
        <w:spacing w:line="360" w:lineRule="auto" w:after="0" w:before="0"/>
        <w:jc w:val="both"/>
      </w:pPr>
      <w:r>
        <w:rPr>
          <w:rFonts w:ascii="Arial" w:hAnsi="Arial" w:cs="Arial"/>
          <w:b w:val="0"/>
          <w:i w:val="0"/>
          <w:color w:val="00B050"/>
          <w:sz w:val="27"/>
        </w:rPr>
        <w:t xml:space="preserve">O Senhor Desembargador AISTON HENRIQUE DE SOUSA - 2º Vogal</w:t>
      </w:r>
    </w:p>
    <w:p>
      <w:pPr>
        <w:spacing w:line="360" w:lineRule="auto" w:after="0" w:before="0"/>
        <w:jc w:val="both"/>
      </w:pPr>
      <w:r>
        <w:rPr>
          <w:rFonts w:ascii="Arial" w:hAnsi="Arial" w:cs="Arial"/>
          <w:b w:val="0"/>
          <w:i w:val="0"/>
          <w:color w:val="00B050"/>
          <w:sz w:val="27"/>
        </w:rPr>
        <w:t xml:space="preserve">Com o(a) relator(a)</w:t>
      </w:r>
    </w:p>
    <w:p>
      <w:pPr>
        <w:spacing w:line="360" w:lineRule="auto" w:after="0" w:before="0"/>
        <w:jc w:val="both"/>
      </w:pPr>
      <w:r>
        <w:rPr>
          <w:rFonts w:ascii="Arial" w:hAnsi="Arial" w:cs="Arial"/>
          <w:b w:val="0"/>
          <w:i w:val="0"/>
          <w:color w:val="00B050"/>
          <w:sz w:val="27"/>
        </w:rPr>
        <w:t xml:space="preserve">DECISÃO DAR PROVIMENTO AO RECURSO. UNÂNIME</w:t>
      </w:r>
    </w:p>
    <w:sectPr w:rsidRPr="0079792E" w:rsidR="0079792E">
      <w:headerReference w:type="default" r:id="rId16"/>
      <w:footerReference w:type="default" r:id="rId17"/>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nuta GDSXSR" w:initials="MG" w:date="2026-10-30T16:51:37Z">
    <w:p>
      <w:pPr>
        <w:pStyle w:val="CommentText"/>
      </w:pPr>
      <w:r>
        <w:rPr>
          <w:rStyle w:val="CommentReference"/>
        </w:rPr>
        <w:annotationRef/>
      </w:r>
      <w:r>
        <w:t>MINUTA GDSXSR — Classe: os autos são EMD (embargos de declaração do Distrito Federal contra o acórdão 2169894), e não AGI; as peças da origem não faltam. Minuta do zero, resultado NP, no molde do EMD 0703926-84 (Marcos). Tempestividade: acórdão disponibilizado em 10/09/2026 (ID 89390322) e embargos em 17/09/2026 (ID 89719854), com prazo em dobro (CPC 183). Linha alternativa, que não adotei: a causalidade não foi suscitada antes (nem o agravo nem as contrarrazões do DF, ID 82872111, trataram de honorários), o que permitiria rejeitar a omissão por esse motivo; deixei de usá-la para não antecipar preclusão contra quem não teve oportunidade de falar.</w:t>
      </w:r>
    </w:p>
  </w:comment>
  <w:comment w:id="1" w:author="Minuta GDSXSR" w:initials="MG" w:date="2026-10-30T16:51:37Z">
    <w:p>
      <w:pPr>
        <w:pStyle w:val="CommentText"/>
      </w:pPr>
      <w:r>
        <w:rPr>
          <w:rStyle w:val="CommentReference"/>
        </w:rPr>
        <w:annotationRef/>
      </w:r>
      <w:r>
        <w:t>MINUTA GDSXSR — Texto literal (C-63). CPC 85 § 3º: “§ 3º Nas causas em que a Fazenda Pública for parte, a fixação dos honorários observará os critérios estabelecidos nos incisos I a IV do § 2º e os seguintes percentuais: I - mínimo de dez e máximo de vinte por cento sobre o valor da condenação ou do proveito econômico obtido até 200 (duzentos) salários-mínimos; II - mínimo de oito e máximo de dez por cento sobre o valor da condenação ou do proveito econômico obtido acima de 200 (duzentos) salários-mínimos até 2.000 (dois mil) salários-mínimos; (...)”. CPC 85 § 8º: “§ 8º Nas causas em que for inestimável ou irrisório o proveito econômico ou, ainda, quando o valor da causa for muito baixo, o juiz fixará o valor dos honorários por apreciação equitativa, observando o disposto nos incisos do § 2º.” CPC 85 § 10: “§ 10. Nos casos de perda do objeto, os honorários serão devidos por quem deu causa ao processo.” CPC 1.026 § 2º: “§ 2º Quando manifestamente protelatórios os embargos de declaração, o juiz ou o tribunal, em decisão fundamentada, condenará o embargante a pagar ao embargado multa não excedente a dois por cento sobre o valor atualizado da causa.” CTN 174: “Art. 174. A ação para a cobrança do crédito tributário prescreve em cinco anos, contados da data da sua constituição definitiva.” Lei nº 6.830/1980, art. 40, caput: “Art. 40 - O Juiz suspenderá o curso da execução, enquanto não for localizado o devedor ou encontrados bens sobre os quais possa recair a penhora, e, nesses casos, não correrá o prazo de prescrição.” (fonte: Planalto, via iajus). Vigência (C-64): o caput do CTN 174 não mudou; a LC 236/2026 renumerou o artigo e acrescentou parágrafos.</w:t>
      </w:r>
    </w:p>
  </w:comment>
  <w:comment w:id="2" w:author="Minuta GDSXSR" w:initials="MG" w:date="2026-10-30T16:51:37Z">
    <w:p>
      <w:pPr>
        <w:pStyle w:val="CommentText"/>
      </w:pPr>
      <w:r>
        <w:rPr>
          <w:rStyle w:val="CommentReference"/>
        </w:rPr>
        <w:annotationRef/>
      </w:r>
      <w:r>
        <w:t>MINUTA GDSXSR — Pendência (C-52, C-72): (i) o DJe do REsp 2.046.269/PR não foi localizado (julgado em 09/10/2024, Informativo 829/STJ; o registro do iajus ainda aparece como pendente de julgamento, defasado); por isso o corpo cita só o julgamento. (ii) A distinção entre a prescrição do CTN 174 e a intercorrente do art. 40 da LEF decorre da própria tese literal; não encontrei acórdão da 4ª Turma do TJDFT sobre esse ponto exato, e o apoio extra que achei é de outro tribunal (TJGO), por isso não o citei (C-53). Tese e leading case conferidos no texto oficial acima.</w:t>
      </w:r>
    </w:p>
  </w:comment>
  <w:comment w:id="3" w:author="Minuta GDSXSR" w:initials="MG" w:date="2026-10-30T16:51:37Z">
    <w:p>
      <w:pPr>
        <w:pStyle w:val="CommentText"/>
      </w:pPr>
      <w:r>
        <w:rPr>
          <w:rStyle w:val="CommentReference"/>
        </w:rPr>
        <w:annotationRef/>
      </w:r>
      <w:r>
        <w:t>MINUTA GDSXSR — Tese literal conferida no iajus (STJ, Corte Especial, Min. Og Fernandes, j. 16/03/2022, DJe 31/05/2022 — o DJe e os quatro recursos paradigma vêm da notícia do STJ e da transcrição feita pelo próprio DF; o registro do iajus os omite). O registro do iajus marca a maturidade como não apurada, mas o tema está julgado e vigente.</w:t>
      </w:r>
    </w:p>
  </w:comment>
  <w:comment w:id="4" w:author="Minuta GDSXSR" w:initials="MG" w:date="2026-10-30T16:51:37Z">
    <w:p>
      <w:pPr>
        <w:pStyle w:val="CommentText"/>
      </w:pPr>
      <w:r>
        <w:rPr>
          <w:rStyle w:val="CommentReference"/>
        </w:rPr>
        <w:annotationRef/>
      </w:r>
      <w:r>
        <w:t>MINUTA GDSXSR — Pendência (C-72): o Tema 1.255/STF (RE 1.412.069, Min. André Mendonça) aparecia como pendente, sem tese, no iajus e em notícia de 08/07/2026; conferir no site do STF se houve julgamento após essa data antes de assinar.</w:t>
      </w:r>
    </w:p>
  </w:comment>
  <w:comment w:id="5" w:author="Minuta GDSXSR" w:initials="MG" w:date="2026-10-30T16:51:37Z">
    <w:p>
      <w:pPr>
        <w:pStyle w:val="CommentText"/>
      </w:pPr>
      <w:r>
        <w:rPr>
          <w:rStyle w:val="CommentReference"/>
        </w:rPr>
        <w:annotationRef/>
      </w:r>
      <w:r>
        <w:t>MINUTA GDSXSR — C-53: precedentes do embargante enfrentados em bloco. Entre eles, TJDFT 0028664-30.2014.8.07.0018 (3ª Turma) e Acórdão 1934877 (2ª Turma) tratam de contribuinte que deu causa à execução; não são da 4ª Turma e não foram abertos um a um.</w:t>
      </w:r>
    </w:p>
  </w:comment>
</w:comments>
</file>

<file path=word/commentsExtended.xml><?xml version="1.0" encoding="utf-8"?>
<w15:commentsEx xmlns:mc="http://schemas.openxmlformats.org/markup-compatibility/2006" xmlns:w15="http://schemas.microsoft.com/office/word/2012/wordml" mc:Ignorable="w1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sExtensible>
</file>

<file path=word/commentsIds.xml><?xml version="1.0" encoding="utf-8"?>
<w16cid:commentsIds xmlns:mc="http://schemas.openxmlformats.org/markup-compatibility/2006" xmlns:w16cid="http://schemas.microsoft.com/office/word/2016/wordml/cid" mc:Ignorable="w16ci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68AF" w:rsidP="003A42DE" w:rsidRDefault="00B668AF" w14:paraId="6BE09AEB" w14:textId="77777777">
      <w:pPr>
        <w:spacing w:after="0" w:line="240" w:lineRule="auto"/>
      </w:pPr>
      <w:r>
        <w:separator/>
      </w:r>
    </w:p>
  </w:endnote>
  <w:endnote w:type="continuationSeparator" w:id="0">
    <w:p w:rsidR="00B668AF" w:rsidP="003A42DE" w:rsidRDefault="00B668AF" w14:paraId="0B1BA95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rsidR="003A42DE" w:rsidRDefault="003A42DE" w14:paraId="4A86AAF9" w14:textId="77777777">
        <w:pPr>
          <w:pStyle w:val="Rodap"/>
          <w:jc w:val="right"/>
        </w:pPr>
        <w:r>
          <w:fldChar w:fldCharType="begin"/>
        </w:r>
        <w:r>
          <w:instrText>PAGE   \* MERGEFORMAT</w:instrText>
        </w:r>
        <w:r>
          <w:fldChar w:fldCharType="separate"/>
        </w:r>
        <w:r>
          <w:t>2</w:t>
        </w:r>
        <w:r>
          <w:fldChar w:fldCharType="end"/>
        </w:r>
      </w:p>
    </w:sdtContent>
  </w:sdt>
  <w:p w:rsidR="003A42DE" w:rsidRDefault="003A42DE" w14:paraId="2B59F42A"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68AF" w:rsidP="003A42DE" w:rsidRDefault="00B668AF" w14:paraId="50D828C8" w14:textId="77777777">
      <w:pPr>
        <w:spacing w:after="0" w:line="240" w:lineRule="auto"/>
      </w:pPr>
      <w:r>
        <w:separator/>
      </w:r>
    </w:p>
  </w:footnote>
  <w:footnote w:type="continuationSeparator" w:id="0">
    <w:p w:rsidR="00B668AF" w:rsidP="003A42DE" w:rsidRDefault="00B668AF" w14:paraId="3C41CA0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96E6D5C" w:rsidTr="496E6D5C" w14:paraId="420F8C7D" w14:textId="77777777">
      <w:trPr>
        <w:trHeight w:val="300"/>
      </w:trPr>
      <w:tc>
        <w:tcPr>
          <w:tcW w:w="2830" w:type="dxa"/>
        </w:tcPr>
        <w:p w:rsidR="496E6D5C" w:rsidP="496E6D5C" w:rsidRDefault="496E6D5C" w14:paraId="1741CB4D" w14:textId="2D02B1F1">
          <w:pPr>
            <w:pStyle w:val="Cabealho"/>
            <w:ind w:left="-115"/>
          </w:pPr>
        </w:p>
      </w:tc>
      <w:tc>
        <w:tcPr>
          <w:tcW w:w="2830" w:type="dxa"/>
        </w:tcPr>
        <w:p w:rsidR="496E6D5C" w:rsidP="496E6D5C" w:rsidRDefault="496E6D5C" w14:paraId="61B673DA" w14:textId="389F9BF1">
          <w:pPr>
            <w:pStyle w:val="Cabealho"/>
            <w:jc w:val="center"/>
          </w:pPr>
        </w:p>
      </w:tc>
      <w:tc>
        <w:tcPr>
          <w:tcW w:w="2830" w:type="dxa"/>
        </w:tcPr>
        <w:p w:rsidR="496E6D5C" w:rsidP="496E6D5C" w:rsidRDefault="496E6D5C" w14:paraId="1FA79708" w14:textId="116CB955">
          <w:pPr>
            <w:pStyle w:val="Cabealho"/>
            <w:ind w:right="-115"/>
            <w:jc w:val="right"/>
          </w:pPr>
        </w:p>
      </w:tc>
    </w:tr>
  </w:tbl>
  <w:p w:rsidR="496E6D5C" w:rsidP="496E6D5C" w:rsidRDefault="496E6D5C" w14:paraId="0F073285" w14:textId="259B3AE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4386C48"/>
    <w:multiLevelType w:val="multilevel"/>
    <w:tmpl w:val="C3984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B710F83"/>
    <w:multiLevelType w:val="hybridMultilevel"/>
    <w:tmpl w:val="EDA2142C"/>
    <w:lvl w:ilvl="0" w:tplc="5CBAE44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B0F4A55"/>
    <w:multiLevelType w:val="hybridMultilevel"/>
    <w:tmpl w:val="6D1096D4"/>
    <w:lvl w:ilvl="0" w:tplc="EBCEEE8E">
      <w:start w:val="1"/>
      <w:numFmt w:val="lowerLetter"/>
      <w:lvlText w:val="%1)"/>
      <w:lvlJc w:val="left"/>
      <w:pPr>
        <w:ind w:left="2628" w:hanging="360"/>
      </w:pPr>
      <w:rPr>
        <w:rFonts w:hint="default"/>
        <w:b/>
        <w:bCs/>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5" w15:restartNumberingAfterBreak="0">
    <w:nsid w:val="7C9F3BA9"/>
    <w:multiLevelType w:val="hybridMultilevel"/>
    <w:tmpl w:val="369A298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947812393">
    <w:abstractNumId w:val="5"/>
  </w:num>
  <w:num w:numId="4" w16cid:durableId="1064572583">
    <w:abstractNumId w:val="4"/>
  </w:num>
  <w:num w:numId="5" w16cid:durableId="925454595">
    <w:abstractNumId w:val="3"/>
  </w:num>
  <w:num w:numId="6" w16cid:durableId="945968935">
    <w:abstractNumId w:val="2"/>
  </w:num>
</w:numbering>
</file>

<file path=word/people.xml><?xml version="1.0" encoding="utf-8"?>
<w15:people xmlns:mc="http://schemas.openxmlformats.org/markup-compatibility/2006" xmlns:w15="http://schemas.microsoft.com/office/word/2012/wordml" mc:Ignorable="w15">
  <w15:person w15:author="Marcos Dwayne Saraiva Costa - GDSXSR">
    <w15:presenceInfo w15:providerId="AD" w15:userId="S::t321760@tjdft.jus.br::71ef89ef-9eb5-4780-8a4d-3f3a792db9c6"/>
  </w15:person>
  <w15:person w15:author="Des. Sérgio Rocha">
    <w15:presenceInfo w15:providerId="AD" w15:userId="S::m311808@tjdft.jus.br::b71dd344-4755-44dc-9b6a-e9ab916e27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0000"/>
    <w:rsid w:val="000021C9"/>
    <w:rsid w:val="00003232"/>
    <w:rsid w:val="00004C11"/>
    <w:rsid w:val="0000547C"/>
    <w:rsid w:val="00006BE6"/>
    <w:rsid w:val="00012123"/>
    <w:rsid w:val="00021011"/>
    <w:rsid w:val="0002189B"/>
    <w:rsid w:val="0002738F"/>
    <w:rsid w:val="0003064B"/>
    <w:rsid w:val="00032613"/>
    <w:rsid w:val="00033AFD"/>
    <w:rsid w:val="00035FC6"/>
    <w:rsid w:val="00046428"/>
    <w:rsid w:val="00052AE3"/>
    <w:rsid w:val="0005400A"/>
    <w:rsid w:val="0006080C"/>
    <w:rsid w:val="000619E0"/>
    <w:rsid w:val="00061A9E"/>
    <w:rsid w:val="00064301"/>
    <w:rsid w:val="00073362"/>
    <w:rsid w:val="00076D7D"/>
    <w:rsid w:val="00081197"/>
    <w:rsid w:val="000828B2"/>
    <w:rsid w:val="000849D6"/>
    <w:rsid w:val="0009174A"/>
    <w:rsid w:val="00091ABC"/>
    <w:rsid w:val="0009513A"/>
    <w:rsid w:val="0009532D"/>
    <w:rsid w:val="000A26E6"/>
    <w:rsid w:val="000A63C5"/>
    <w:rsid w:val="000A7009"/>
    <w:rsid w:val="000A753D"/>
    <w:rsid w:val="000B0FC6"/>
    <w:rsid w:val="000B5CD9"/>
    <w:rsid w:val="000B7168"/>
    <w:rsid w:val="000C6C40"/>
    <w:rsid w:val="000D2E62"/>
    <w:rsid w:val="000D59B2"/>
    <w:rsid w:val="000F1358"/>
    <w:rsid w:val="000F1817"/>
    <w:rsid w:val="001009CC"/>
    <w:rsid w:val="00105137"/>
    <w:rsid w:val="00110B5A"/>
    <w:rsid w:val="00113EF9"/>
    <w:rsid w:val="0011527A"/>
    <w:rsid w:val="00115458"/>
    <w:rsid w:val="00115569"/>
    <w:rsid w:val="001213AA"/>
    <w:rsid w:val="00122133"/>
    <w:rsid w:val="00122E85"/>
    <w:rsid w:val="00125329"/>
    <w:rsid w:val="00131A63"/>
    <w:rsid w:val="001359BE"/>
    <w:rsid w:val="001363AD"/>
    <w:rsid w:val="00137A7E"/>
    <w:rsid w:val="001447A8"/>
    <w:rsid w:val="00147F9E"/>
    <w:rsid w:val="00151611"/>
    <w:rsid w:val="001534EA"/>
    <w:rsid w:val="00153C44"/>
    <w:rsid w:val="00161CD2"/>
    <w:rsid w:val="00164CDD"/>
    <w:rsid w:val="0017771F"/>
    <w:rsid w:val="001801E9"/>
    <w:rsid w:val="00183B77"/>
    <w:rsid w:val="00192A46"/>
    <w:rsid w:val="00196F83"/>
    <w:rsid w:val="001A09B8"/>
    <w:rsid w:val="001A4C30"/>
    <w:rsid w:val="001B077C"/>
    <w:rsid w:val="001B2553"/>
    <w:rsid w:val="001B7FF4"/>
    <w:rsid w:val="001C01CD"/>
    <w:rsid w:val="001C16FB"/>
    <w:rsid w:val="001C466B"/>
    <w:rsid w:val="001D2162"/>
    <w:rsid w:val="001D3371"/>
    <w:rsid w:val="001E461C"/>
    <w:rsid w:val="001E4974"/>
    <w:rsid w:val="001E7903"/>
    <w:rsid w:val="001F4D6E"/>
    <w:rsid w:val="001F74C4"/>
    <w:rsid w:val="00200A16"/>
    <w:rsid w:val="00200B1B"/>
    <w:rsid w:val="00203B1D"/>
    <w:rsid w:val="00206304"/>
    <w:rsid w:val="002126F1"/>
    <w:rsid w:val="0021526A"/>
    <w:rsid w:val="00232EEB"/>
    <w:rsid w:val="00254E51"/>
    <w:rsid w:val="00262E14"/>
    <w:rsid w:val="00264107"/>
    <w:rsid w:val="0026510D"/>
    <w:rsid w:val="00267399"/>
    <w:rsid w:val="00270342"/>
    <w:rsid w:val="00274644"/>
    <w:rsid w:val="0027638F"/>
    <w:rsid w:val="00280522"/>
    <w:rsid w:val="0028319F"/>
    <w:rsid w:val="00283F7F"/>
    <w:rsid w:val="0028570A"/>
    <w:rsid w:val="00290611"/>
    <w:rsid w:val="00292E82"/>
    <w:rsid w:val="00296DAE"/>
    <w:rsid w:val="002A2038"/>
    <w:rsid w:val="002A3D11"/>
    <w:rsid w:val="002A5205"/>
    <w:rsid w:val="002B1184"/>
    <w:rsid w:val="002B1EAC"/>
    <w:rsid w:val="002B210E"/>
    <w:rsid w:val="002B577C"/>
    <w:rsid w:val="002B5F5B"/>
    <w:rsid w:val="002B729F"/>
    <w:rsid w:val="002B7D3A"/>
    <w:rsid w:val="002C2464"/>
    <w:rsid w:val="002C391C"/>
    <w:rsid w:val="002C42D2"/>
    <w:rsid w:val="002D127E"/>
    <w:rsid w:val="002D2D56"/>
    <w:rsid w:val="002D347D"/>
    <w:rsid w:val="002D3FF3"/>
    <w:rsid w:val="002D5DA7"/>
    <w:rsid w:val="002F1407"/>
    <w:rsid w:val="002F1B1A"/>
    <w:rsid w:val="002F6482"/>
    <w:rsid w:val="002F6A36"/>
    <w:rsid w:val="0030257B"/>
    <w:rsid w:val="00303FAE"/>
    <w:rsid w:val="00307AA2"/>
    <w:rsid w:val="0031063D"/>
    <w:rsid w:val="00310FB4"/>
    <w:rsid w:val="00312291"/>
    <w:rsid w:val="00316B1F"/>
    <w:rsid w:val="00320828"/>
    <w:rsid w:val="00321068"/>
    <w:rsid w:val="00323779"/>
    <w:rsid w:val="00323D27"/>
    <w:rsid w:val="00330180"/>
    <w:rsid w:val="0034156E"/>
    <w:rsid w:val="0034511C"/>
    <w:rsid w:val="00347818"/>
    <w:rsid w:val="00351653"/>
    <w:rsid w:val="003524E5"/>
    <w:rsid w:val="00352816"/>
    <w:rsid w:val="00352D66"/>
    <w:rsid w:val="00354AA2"/>
    <w:rsid w:val="00355C73"/>
    <w:rsid w:val="003624B4"/>
    <w:rsid w:val="003717FC"/>
    <w:rsid w:val="003749AB"/>
    <w:rsid w:val="00376C72"/>
    <w:rsid w:val="00382346"/>
    <w:rsid w:val="0038467B"/>
    <w:rsid w:val="00390B1E"/>
    <w:rsid w:val="003A3A19"/>
    <w:rsid w:val="003A42DE"/>
    <w:rsid w:val="003A4E55"/>
    <w:rsid w:val="003A5B74"/>
    <w:rsid w:val="003B3398"/>
    <w:rsid w:val="003C0599"/>
    <w:rsid w:val="003C6AD4"/>
    <w:rsid w:val="003D11BE"/>
    <w:rsid w:val="003D3FEE"/>
    <w:rsid w:val="003D6425"/>
    <w:rsid w:val="003D706A"/>
    <w:rsid w:val="003D7F89"/>
    <w:rsid w:val="003E436D"/>
    <w:rsid w:val="003F6959"/>
    <w:rsid w:val="00413928"/>
    <w:rsid w:val="0041488A"/>
    <w:rsid w:val="00423538"/>
    <w:rsid w:val="00427CE2"/>
    <w:rsid w:val="00434AA8"/>
    <w:rsid w:val="00437CFC"/>
    <w:rsid w:val="00442806"/>
    <w:rsid w:val="00445ED9"/>
    <w:rsid w:val="00450188"/>
    <w:rsid w:val="00451A6D"/>
    <w:rsid w:val="00465A25"/>
    <w:rsid w:val="0046642D"/>
    <w:rsid w:val="0047216B"/>
    <w:rsid w:val="004732DB"/>
    <w:rsid w:val="004762F1"/>
    <w:rsid w:val="00480A33"/>
    <w:rsid w:val="00483B71"/>
    <w:rsid w:val="00485185"/>
    <w:rsid w:val="00487E45"/>
    <w:rsid w:val="00492EFA"/>
    <w:rsid w:val="00495EB5"/>
    <w:rsid w:val="00496EB5"/>
    <w:rsid w:val="004B2A9C"/>
    <w:rsid w:val="004B53A9"/>
    <w:rsid w:val="004C0465"/>
    <w:rsid w:val="004C3145"/>
    <w:rsid w:val="004C6C51"/>
    <w:rsid w:val="004C6EFA"/>
    <w:rsid w:val="004C7418"/>
    <w:rsid w:val="00506A7D"/>
    <w:rsid w:val="00506D76"/>
    <w:rsid w:val="005111CC"/>
    <w:rsid w:val="005172C7"/>
    <w:rsid w:val="00517F10"/>
    <w:rsid w:val="00520FDA"/>
    <w:rsid w:val="00525FCB"/>
    <w:rsid w:val="00530C7C"/>
    <w:rsid w:val="00531A93"/>
    <w:rsid w:val="00533CB0"/>
    <w:rsid w:val="00543441"/>
    <w:rsid w:val="00550CE5"/>
    <w:rsid w:val="00555B54"/>
    <w:rsid w:val="00557342"/>
    <w:rsid w:val="00560427"/>
    <w:rsid w:val="00573C5D"/>
    <w:rsid w:val="00573D40"/>
    <w:rsid w:val="00576A45"/>
    <w:rsid w:val="00576E4F"/>
    <w:rsid w:val="0057726B"/>
    <w:rsid w:val="00586EB6"/>
    <w:rsid w:val="005876B2"/>
    <w:rsid w:val="005921B3"/>
    <w:rsid w:val="005925FC"/>
    <w:rsid w:val="00594470"/>
    <w:rsid w:val="0059689A"/>
    <w:rsid w:val="00597864"/>
    <w:rsid w:val="005A1AD9"/>
    <w:rsid w:val="005A29C5"/>
    <w:rsid w:val="005A43F2"/>
    <w:rsid w:val="005A45C2"/>
    <w:rsid w:val="005A5759"/>
    <w:rsid w:val="005B1449"/>
    <w:rsid w:val="005B16D3"/>
    <w:rsid w:val="005B36C8"/>
    <w:rsid w:val="005B7851"/>
    <w:rsid w:val="005C31C4"/>
    <w:rsid w:val="005C69F8"/>
    <w:rsid w:val="005C7BEC"/>
    <w:rsid w:val="005D5D18"/>
    <w:rsid w:val="005E3F4E"/>
    <w:rsid w:val="005E66E0"/>
    <w:rsid w:val="005F1B88"/>
    <w:rsid w:val="005F2954"/>
    <w:rsid w:val="00601B09"/>
    <w:rsid w:val="00601B5D"/>
    <w:rsid w:val="0060333D"/>
    <w:rsid w:val="00605463"/>
    <w:rsid w:val="00611216"/>
    <w:rsid w:val="0061262D"/>
    <w:rsid w:val="00615051"/>
    <w:rsid w:val="006226C6"/>
    <w:rsid w:val="0063102C"/>
    <w:rsid w:val="00632EAA"/>
    <w:rsid w:val="006335DA"/>
    <w:rsid w:val="00633703"/>
    <w:rsid w:val="00634C8C"/>
    <w:rsid w:val="00635527"/>
    <w:rsid w:val="00641926"/>
    <w:rsid w:val="00641BB6"/>
    <w:rsid w:val="00644708"/>
    <w:rsid w:val="00651C61"/>
    <w:rsid w:val="0065260A"/>
    <w:rsid w:val="00653BAB"/>
    <w:rsid w:val="00657F06"/>
    <w:rsid w:val="006604E5"/>
    <w:rsid w:val="00661CF3"/>
    <w:rsid w:val="006658A2"/>
    <w:rsid w:val="00671D2C"/>
    <w:rsid w:val="00685D0A"/>
    <w:rsid w:val="00685D83"/>
    <w:rsid w:val="006921E1"/>
    <w:rsid w:val="00693B0D"/>
    <w:rsid w:val="006A15C6"/>
    <w:rsid w:val="006A2CF2"/>
    <w:rsid w:val="006A6A7C"/>
    <w:rsid w:val="006B150D"/>
    <w:rsid w:val="006B2A89"/>
    <w:rsid w:val="006B3814"/>
    <w:rsid w:val="006B555B"/>
    <w:rsid w:val="006B6CC3"/>
    <w:rsid w:val="006C5C58"/>
    <w:rsid w:val="006C6E29"/>
    <w:rsid w:val="006D07B9"/>
    <w:rsid w:val="006D0993"/>
    <w:rsid w:val="006D10C7"/>
    <w:rsid w:val="006D3824"/>
    <w:rsid w:val="006F725D"/>
    <w:rsid w:val="00700FA4"/>
    <w:rsid w:val="007037D1"/>
    <w:rsid w:val="00711FE9"/>
    <w:rsid w:val="00712474"/>
    <w:rsid w:val="00714A9F"/>
    <w:rsid w:val="00715053"/>
    <w:rsid w:val="00715112"/>
    <w:rsid w:val="00715AE1"/>
    <w:rsid w:val="00720F89"/>
    <w:rsid w:val="00722F88"/>
    <w:rsid w:val="00726567"/>
    <w:rsid w:val="00730800"/>
    <w:rsid w:val="007445E7"/>
    <w:rsid w:val="00744BDF"/>
    <w:rsid w:val="00747176"/>
    <w:rsid w:val="00757D6C"/>
    <w:rsid w:val="00760CFB"/>
    <w:rsid w:val="0076457C"/>
    <w:rsid w:val="00765709"/>
    <w:rsid w:val="00770E7F"/>
    <w:rsid w:val="0077219F"/>
    <w:rsid w:val="00775B81"/>
    <w:rsid w:val="0077719E"/>
    <w:rsid w:val="007771E6"/>
    <w:rsid w:val="00782446"/>
    <w:rsid w:val="007844F9"/>
    <w:rsid w:val="00785B74"/>
    <w:rsid w:val="007864D4"/>
    <w:rsid w:val="00791D48"/>
    <w:rsid w:val="00792D84"/>
    <w:rsid w:val="0079792E"/>
    <w:rsid w:val="007A3F4D"/>
    <w:rsid w:val="007B265E"/>
    <w:rsid w:val="007C0FEF"/>
    <w:rsid w:val="007C196D"/>
    <w:rsid w:val="007C4990"/>
    <w:rsid w:val="007D00F1"/>
    <w:rsid w:val="007D24FE"/>
    <w:rsid w:val="007D27C7"/>
    <w:rsid w:val="007D3BA7"/>
    <w:rsid w:val="007D4432"/>
    <w:rsid w:val="007D546B"/>
    <w:rsid w:val="007E1C8C"/>
    <w:rsid w:val="007E3BF9"/>
    <w:rsid w:val="007F0BBF"/>
    <w:rsid w:val="007F0F43"/>
    <w:rsid w:val="007F2AF4"/>
    <w:rsid w:val="007F4412"/>
    <w:rsid w:val="007F693C"/>
    <w:rsid w:val="007F7839"/>
    <w:rsid w:val="007F7A6C"/>
    <w:rsid w:val="00800051"/>
    <w:rsid w:val="00800F64"/>
    <w:rsid w:val="00804386"/>
    <w:rsid w:val="008134CE"/>
    <w:rsid w:val="008140C2"/>
    <w:rsid w:val="008151BB"/>
    <w:rsid w:val="00820DF3"/>
    <w:rsid w:val="008215E4"/>
    <w:rsid w:val="008235A6"/>
    <w:rsid w:val="00825BFF"/>
    <w:rsid w:val="008342D5"/>
    <w:rsid w:val="00841FD0"/>
    <w:rsid w:val="00843673"/>
    <w:rsid w:val="008532BF"/>
    <w:rsid w:val="00854204"/>
    <w:rsid w:val="0085425F"/>
    <w:rsid w:val="0086390F"/>
    <w:rsid w:val="00864FC8"/>
    <w:rsid w:val="00871844"/>
    <w:rsid w:val="00873B42"/>
    <w:rsid w:val="00877CCC"/>
    <w:rsid w:val="00877F2B"/>
    <w:rsid w:val="00882188"/>
    <w:rsid w:val="00892F5B"/>
    <w:rsid w:val="008966E3"/>
    <w:rsid w:val="008A01E9"/>
    <w:rsid w:val="008A3417"/>
    <w:rsid w:val="008A4445"/>
    <w:rsid w:val="008A49BC"/>
    <w:rsid w:val="008A56A3"/>
    <w:rsid w:val="008A6260"/>
    <w:rsid w:val="008B45C4"/>
    <w:rsid w:val="008B610E"/>
    <w:rsid w:val="008C306F"/>
    <w:rsid w:val="008C34E5"/>
    <w:rsid w:val="008C3782"/>
    <w:rsid w:val="008C4183"/>
    <w:rsid w:val="008C641E"/>
    <w:rsid w:val="008D0C9F"/>
    <w:rsid w:val="008D4E7A"/>
    <w:rsid w:val="008D721A"/>
    <w:rsid w:val="008E1EAF"/>
    <w:rsid w:val="008E3705"/>
    <w:rsid w:val="008E4002"/>
    <w:rsid w:val="008E4977"/>
    <w:rsid w:val="008E5FD6"/>
    <w:rsid w:val="008F09F5"/>
    <w:rsid w:val="008F299E"/>
    <w:rsid w:val="008F4440"/>
    <w:rsid w:val="008F51B9"/>
    <w:rsid w:val="008F5D2E"/>
    <w:rsid w:val="009113AB"/>
    <w:rsid w:val="00911601"/>
    <w:rsid w:val="00912406"/>
    <w:rsid w:val="00916F9E"/>
    <w:rsid w:val="0092538F"/>
    <w:rsid w:val="0092593B"/>
    <w:rsid w:val="00927F4C"/>
    <w:rsid w:val="009300C5"/>
    <w:rsid w:val="009313CA"/>
    <w:rsid w:val="00933600"/>
    <w:rsid w:val="00936F32"/>
    <w:rsid w:val="009431B2"/>
    <w:rsid w:val="00944D7E"/>
    <w:rsid w:val="00945DCA"/>
    <w:rsid w:val="00946FF7"/>
    <w:rsid w:val="009506E0"/>
    <w:rsid w:val="00951CAD"/>
    <w:rsid w:val="00951FB4"/>
    <w:rsid w:val="00952B25"/>
    <w:rsid w:val="009648CC"/>
    <w:rsid w:val="009653FA"/>
    <w:rsid w:val="009659D2"/>
    <w:rsid w:val="00966A46"/>
    <w:rsid w:val="00972EF3"/>
    <w:rsid w:val="0097780C"/>
    <w:rsid w:val="009927F9"/>
    <w:rsid w:val="0099680F"/>
    <w:rsid w:val="009A136D"/>
    <w:rsid w:val="009B712D"/>
    <w:rsid w:val="009C1026"/>
    <w:rsid w:val="009C24B6"/>
    <w:rsid w:val="009C4045"/>
    <w:rsid w:val="009C5C63"/>
    <w:rsid w:val="009C6418"/>
    <w:rsid w:val="009D0BA0"/>
    <w:rsid w:val="009D1137"/>
    <w:rsid w:val="009D3818"/>
    <w:rsid w:val="009D5427"/>
    <w:rsid w:val="009E1D8D"/>
    <w:rsid w:val="009E2732"/>
    <w:rsid w:val="009E3373"/>
    <w:rsid w:val="009E3BE9"/>
    <w:rsid w:val="009E5F8A"/>
    <w:rsid w:val="009F1434"/>
    <w:rsid w:val="009F1864"/>
    <w:rsid w:val="009F1D8D"/>
    <w:rsid w:val="009F2BB1"/>
    <w:rsid w:val="009F36E1"/>
    <w:rsid w:val="009F684C"/>
    <w:rsid w:val="009F759D"/>
    <w:rsid w:val="00A00A9A"/>
    <w:rsid w:val="00A03057"/>
    <w:rsid w:val="00A13A46"/>
    <w:rsid w:val="00A16F7A"/>
    <w:rsid w:val="00A2661C"/>
    <w:rsid w:val="00A31C13"/>
    <w:rsid w:val="00A330C4"/>
    <w:rsid w:val="00A3595E"/>
    <w:rsid w:val="00A36BED"/>
    <w:rsid w:val="00A4407C"/>
    <w:rsid w:val="00A465C0"/>
    <w:rsid w:val="00A51E72"/>
    <w:rsid w:val="00A57859"/>
    <w:rsid w:val="00A61281"/>
    <w:rsid w:val="00A6481B"/>
    <w:rsid w:val="00A70194"/>
    <w:rsid w:val="00A72414"/>
    <w:rsid w:val="00A73DF2"/>
    <w:rsid w:val="00A773CE"/>
    <w:rsid w:val="00A80091"/>
    <w:rsid w:val="00A87227"/>
    <w:rsid w:val="00A908C1"/>
    <w:rsid w:val="00A958AF"/>
    <w:rsid w:val="00A96CB3"/>
    <w:rsid w:val="00A97525"/>
    <w:rsid w:val="00AA7DB0"/>
    <w:rsid w:val="00AA7E81"/>
    <w:rsid w:val="00AB1DE4"/>
    <w:rsid w:val="00AB6307"/>
    <w:rsid w:val="00AB7E65"/>
    <w:rsid w:val="00AC20E1"/>
    <w:rsid w:val="00AC39BD"/>
    <w:rsid w:val="00AD39C4"/>
    <w:rsid w:val="00AD73FF"/>
    <w:rsid w:val="00AE28DA"/>
    <w:rsid w:val="00AE73C5"/>
    <w:rsid w:val="00B04942"/>
    <w:rsid w:val="00B17310"/>
    <w:rsid w:val="00B20C5A"/>
    <w:rsid w:val="00B23A93"/>
    <w:rsid w:val="00B30DAE"/>
    <w:rsid w:val="00B41866"/>
    <w:rsid w:val="00B44DA2"/>
    <w:rsid w:val="00B4750C"/>
    <w:rsid w:val="00B5186D"/>
    <w:rsid w:val="00B5663B"/>
    <w:rsid w:val="00B6025D"/>
    <w:rsid w:val="00B6056E"/>
    <w:rsid w:val="00B606B1"/>
    <w:rsid w:val="00B60851"/>
    <w:rsid w:val="00B668AF"/>
    <w:rsid w:val="00B66EC2"/>
    <w:rsid w:val="00B737B2"/>
    <w:rsid w:val="00B73FAD"/>
    <w:rsid w:val="00B75D6D"/>
    <w:rsid w:val="00B868BF"/>
    <w:rsid w:val="00B96FA0"/>
    <w:rsid w:val="00BA3360"/>
    <w:rsid w:val="00BA41EB"/>
    <w:rsid w:val="00BA65D0"/>
    <w:rsid w:val="00BA700C"/>
    <w:rsid w:val="00BB2608"/>
    <w:rsid w:val="00BB5799"/>
    <w:rsid w:val="00BB6139"/>
    <w:rsid w:val="00BB6749"/>
    <w:rsid w:val="00BC07C7"/>
    <w:rsid w:val="00BC27EB"/>
    <w:rsid w:val="00BC7F2A"/>
    <w:rsid w:val="00BD0B73"/>
    <w:rsid w:val="00BD0CD2"/>
    <w:rsid w:val="00BD4990"/>
    <w:rsid w:val="00BD7058"/>
    <w:rsid w:val="00BE334F"/>
    <w:rsid w:val="00BE4036"/>
    <w:rsid w:val="00BE75D7"/>
    <w:rsid w:val="00BF1494"/>
    <w:rsid w:val="00BF173F"/>
    <w:rsid w:val="00BF2E6B"/>
    <w:rsid w:val="00BF4903"/>
    <w:rsid w:val="00C01659"/>
    <w:rsid w:val="00C10FA6"/>
    <w:rsid w:val="00C12218"/>
    <w:rsid w:val="00C14576"/>
    <w:rsid w:val="00C21B40"/>
    <w:rsid w:val="00C22469"/>
    <w:rsid w:val="00C22A4C"/>
    <w:rsid w:val="00C249B8"/>
    <w:rsid w:val="00C27C12"/>
    <w:rsid w:val="00C33B77"/>
    <w:rsid w:val="00C341CF"/>
    <w:rsid w:val="00C37985"/>
    <w:rsid w:val="00C37DBB"/>
    <w:rsid w:val="00C40A19"/>
    <w:rsid w:val="00C4378B"/>
    <w:rsid w:val="00C4687C"/>
    <w:rsid w:val="00C53366"/>
    <w:rsid w:val="00C57E17"/>
    <w:rsid w:val="00C66083"/>
    <w:rsid w:val="00C6664A"/>
    <w:rsid w:val="00C9282E"/>
    <w:rsid w:val="00C94119"/>
    <w:rsid w:val="00CA281B"/>
    <w:rsid w:val="00CA324E"/>
    <w:rsid w:val="00CA5212"/>
    <w:rsid w:val="00CB0848"/>
    <w:rsid w:val="00CB0F95"/>
    <w:rsid w:val="00CB2BE3"/>
    <w:rsid w:val="00CB4E4C"/>
    <w:rsid w:val="00CB7FF8"/>
    <w:rsid w:val="00CC7150"/>
    <w:rsid w:val="00CF0581"/>
    <w:rsid w:val="00CF247F"/>
    <w:rsid w:val="00D03FB1"/>
    <w:rsid w:val="00D0404D"/>
    <w:rsid w:val="00D04BD8"/>
    <w:rsid w:val="00D07310"/>
    <w:rsid w:val="00D101EF"/>
    <w:rsid w:val="00D1067B"/>
    <w:rsid w:val="00D1206B"/>
    <w:rsid w:val="00D12BB3"/>
    <w:rsid w:val="00D12D71"/>
    <w:rsid w:val="00D130B8"/>
    <w:rsid w:val="00D135AB"/>
    <w:rsid w:val="00D14D52"/>
    <w:rsid w:val="00D15DFE"/>
    <w:rsid w:val="00D171B9"/>
    <w:rsid w:val="00D17E79"/>
    <w:rsid w:val="00D21983"/>
    <w:rsid w:val="00D31E53"/>
    <w:rsid w:val="00D34492"/>
    <w:rsid w:val="00D34CC6"/>
    <w:rsid w:val="00D37E6E"/>
    <w:rsid w:val="00D407F3"/>
    <w:rsid w:val="00D4104B"/>
    <w:rsid w:val="00D42B4A"/>
    <w:rsid w:val="00D439AF"/>
    <w:rsid w:val="00D454AA"/>
    <w:rsid w:val="00D47BF8"/>
    <w:rsid w:val="00D516B2"/>
    <w:rsid w:val="00D52AEF"/>
    <w:rsid w:val="00D52E56"/>
    <w:rsid w:val="00D53CB9"/>
    <w:rsid w:val="00D633BD"/>
    <w:rsid w:val="00D64621"/>
    <w:rsid w:val="00D76D1B"/>
    <w:rsid w:val="00D80EBC"/>
    <w:rsid w:val="00D81F71"/>
    <w:rsid w:val="00D82B62"/>
    <w:rsid w:val="00D84490"/>
    <w:rsid w:val="00D85E07"/>
    <w:rsid w:val="00D93C00"/>
    <w:rsid w:val="00D94A48"/>
    <w:rsid w:val="00DA2244"/>
    <w:rsid w:val="00DA7171"/>
    <w:rsid w:val="00DB0BD1"/>
    <w:rsid w:val="00DB1301"/>
    <w:rsid w:val="00DB342D"/>
    <w:rsid w:val="00DC021F"/>
    <w:rsid w:val="00DC255B"/>
    <w:rsid w:val="00DC5B82"/>
    <w:rsid w:val="00DC60D6"/>
    <w:rsid w:val="00DC71DB"/>
    <w:rsid w:val="00DD1D16"/>
    <w:rsid w:val="00DD5316"/>
    <w:rsid w:val="00DD7C71"/>
    <w:rsid w:val="00DE5878"/>
    <w:rsid w:val="00DF0654"/>
    <w:rsid w:val="00DF2670"/>
    <w:rsid w:val="00DF2730"/>
    <w:rsid w:val="00DF5632"/>
    <w:rsid w:val="00DF623D"/>
    <w:rsid w:val="00E02A97"/>
    <w:rsid w:val="00E06669"/>
    <w:rsid w:val="00E146AD"/>
    <w:rsid w:val="00E211F5"/>
    <w:rsid w:val="00E26735"/>
    <w:rsid w:val="00E4007E"/>
    <w:rsid w:val="00E40D8A"/>
    <w:rsid w:val="00E437CF"/>
    <w:rsid w:val="00E47AE8"/>
    <w:rsid w:val="00E52648"/>
    <w:rsid w:val="00E53472"/>
    <w:rsid w:val="00E53CAF"/>
    <w:rsid w:val="00E647A0"/>
    <w:rsid w:val="00E65593"/>
    <w:rsid w:val="00E66402"/>
    <w:rsid w:val="00E75E64"/>
    <w:rsid w:val="00E76CF5"/>
    <w:rsid w:val="00E806F5"/>
    <w:rsid w:val="00E83BF6"/>
    <w:rsid w:val="00E85EED"/>
    <w:rsid w:val="00E86190"/>
    <w:rsid w:val="00E91CD1"/>
    <w:rsid w:val="00E93A8D"/>
    <w:rsid w:val="00E963CE"/>
    <w:rsid w:val="00E96D12"/>
    <w:rsid w:val="00E97CB9"/>
    <w:rsid w:val="00EA3338"/>
    <w:rsid w:val="00EA3C0B"/>
    <w:rsid w:val="00EA6C7A"/>
    <w:rsid w:val="00EB3378"/>
    <w:rsid w:val="00EB3F6A"/>
    <w:rsid w:val="00EB54B5"/>
    <w:rsid w:val="00EC5732"/>
    <w:rsid w:val="00EC5D6E"/>
    <w:rsid w:val="00ED0A9E"/>
    <w:rsid w:val="00ED44BA"/>
    <w:rsid w:val="00ED5E8E"/>
    <w:rsid w:val="00ED6580"/>
    <w:rsid w:val="00EE027D"/>
    <w:rsid w:val="00EE15D3"/>
    <w:rsid w:val="00EE760E"/>
    <w:rsid w:val="00EF211D"/>
    <w:rsid w:val="00EF2715"/>
    <w:rsid w:val="00EF7D68"/>
    <w:rsid w:val="00F01486"/>
    <w:rsid w:val="00F041BA"/>
    <w:rsid w:val="00F10D23"/>
    <w:rsid w:val="00F12768"/>
    <w:rsid w:val="00F143F5"/>
    <w:rsid w:val="00F14D00"/>
    <w:rsid w:val="00F152A4"/>
    <w:rsid w:val="00F1627D"/>
    <w:rsid w:val="00F1682B"/>
    <w:rsid w:val="00F20A80"/>
    <w:rsid w:val="00F3251E"/>
    <w:rsid w:val="00F32608"/>
    <w:rsid w:val="00F51F47"/>
    <w:rsid w:val="00F5230E"/>
    <w:rsid w:val="00F547F1"/>
    <w:rsid w:val="00F63CDB"/>
    <w:rsid w:val="00F66640"/>
    <w:rsid w:val="00F706FF"/>
    <w:rsid w:val="00F76946"/>
    <w:rsid w:val="00F77EDB"/>
    <w:rsid w:val="00F84974"/>
    <w:rsid w:val="00F87022"/>
    <w:rsid w:val="00F90DC1"/>
    <w:rsid w:val="00F9286A"/>
    <w:rsid w:val="00F9293F"/>
    <w:rsid w:val="00F9351B"/>
    <w:rsid w:val="00F9593F"/>
    <w:rsid w:val="00FA0012"/>
    <w:rsid w:val="00FA5872"/>
    <w:rsid w:val="00FB113F"/>
    <w:rsid w:val="00FC0273"/>
    <w:rsid w:val="00FC0C0F"/>
    <w:rsid w:val="00FC22EE"/>
    <w:rsid w:val="00FC613E"/>
    <w:rsid w:val="00FD4D16"/>
    <w:rsid w:val="00FD5831"/>
    <w:rsid w:val="00FD7C45"/>
    <w:rsid w:val="00FF5783"/>
    <w:rsid w:val="0100D07F"/>
    <w:rsid w:val="012B7E23"/>
    <w:rsid w:val="01427B94"/>
    <w:rsid w:val="026E497E"/>
    <w:rsid w:val="0406F2B1"/>
    <w:rsid w:val="04EB9BAA"/>
    <w:rsid w:val="05C072E5"/>
    <w:rsid w:val="06094645"/>
    <w:rsid w:val="061EE5CE"/>
    <w:rsid w:val="062179D1"/>
    <w:rsid w:val="06571051"/>
    <w:rsid w:val="066636ED"/>
    <w:rsid w:val="06C73BD3"/>
    <w:rsid w:val="0741BAA1"/>
    <w:rsid w:val="075EDD43"/>
    <w:rsid w:val="07BAB62F"/>
    <w:rsid w:val="08624999"/>
    <w:rsid w:val="08BDBA2B"/>
    <w:rsid w:val="097970EA"/>
    <w:rsid w:val="0A795B63"/>
    <w:rsid w:val="0D003B5C"/>
    <w:rsid w:val="0E0CDE5D"/>
    <w:rsid w:val="0F16BAD4"/>
    <w:rsid w:val="0F49A558"/>
    <w:rsid w:val="0F4CCC86"/>
    <w:rsid w:val="10E575B9"/>
    <w:rsid w:val="10E89CE7"/>
    <w:rsid w:val="119E69CE"/>
    <w:rsid w:val="12069166"/>
    <w:rsid w:val="1281461A"/>
    <w:rsid w:val="147DF046"/>
    <w:rsid w:val="15075F5D"/>
    <w:rsid w:val="1522DC33"/>
    <w:rsid w:val="159010E4"/>
    <w:rsid w:val="15DF086A"/>
    <w:rsid w:val="161D075D"/>
    <w:rsid w:val="16AFD0FD"/>
    <w:rsid w:val="171CD738"/>
    <w:rsid w:val="1754F7B4"/>
    <w:rsid w:val="17FDF32E"/>
    <w:rsid w:val="18BBA766"/>
    <w:rsid w:val="194071AB"/>
    <w:rsid w:val="1B897297"/>
    <w:rsid w:val="1BE30692"/>
    <w:rsid w:val="1D110CB5"/>
    <w:rsid w:val="1DE275A0"/>
    <w:rsid w:val="1EBA3FA2"/>
    <w:rsid w:val="1FAFCC66"/>
    <w:rsid w:val="20266924"/>
    <w:rsid w:val="22242253"/>
    <w:rsid w:val="2259356D"/>
    <w:rsid w:val="232923D0"/>
    <w:rsid w:val="248F4127"/>
    <w:rsid w:val="249E222A"/>
    <w:rsid w:val="26069DE8"/>
    <w:rsid w:val="26A9A53C"/>
    <w:rsid w:val="27623DE6"/>
    <w:rsid w:val="286DB1CB"/>
    <w:rsid w:val="28731A7B"/>
    <w:rsid w:val="29FC1AE8"/>
    <w:rsid w:val="2A6DECCE"/>
    <w:rsid w:val="2AE1B6B7"/>
    <w:rsid w:val="2AE79E71"/>
    <w:rsid w:val="2AF5D78B"/>
    <w:rsid w:val="2BDF0338"/>
    <w:rsid w:val="2C649320"/>
    <w:rsid w:val="2DD61D48"/>
    <w:rsid w:val="2DDB7338"/>
    <w:rsid w:val="2F1C19A9"/>
    <w:rsid w:val="30250527"/>
    <w:rsid w:val="30508782"/>
    <w:rsid w:val="30587508"/>
    <w:rsid w:val="30EFC0EE"/>
    <w:rsid w:val="318CB296"/>
    <w:rsid w:val="31EC57E3"/>
    <w:rsid w:val="33BEC1C4"/>
    <w:rsid w:val="348DB4EB"/>
    <w:rsid w:val="3601BA69"/>
    <w:rsid w:val="367267F9"/>
    <w:rsid w:val="36CA94C4"/>
    <w:rsid w:val="36D84FC2"/>
    <w:rsid w:val="36F78B14"/>
    <w:rsid w:val="370C73D9"/>
    <w:rsid w:val="37408DCC"/>
    <w:rsid w:val="3776109F"/>
    <w:rsid w:val="38EEAB87"/>
    <w:rsid w:val="39286FAB"/>
    <w:rsid w:val="39AE4A8D"/>
    <w:rsid w:val="39E9F93F"/>
    <w:rsid w:val="39FF574E"/>
    <w:rsid w:val="3AD2045E"/>
    <w:rsid w:val="3BB47562"/>
    <w:rsid w:val="3C2166DE"/>
    <w:rsid w:val="3C5D9607"/>
    <w:rsid w:val="3D1A2DB7"/>
    <w:rsid w:val="3F1AE9CA"/>
    <w:rsid w:val="3FBD6A61"/>
    <w:rsid w:val="3FD06354"/>
    <w:rsid w:val="3FFE3DCC"/>
    <w:rsid w:val="41E1021E"/>
    <w:rsid w:val="420D9061"/>
    <w:rsid w:val="4228454C"/>
    <w:rsid w:val="42366C3D"/>
    <w:rsid w:val="42F63EA0"/>
    <w:rsid w:val="43781926"/>
    <w:rsid w:val="4380C41B"/>
    <w:rsid w:val="43A63994"/>
    <w:rsid w:val="43A67A0B"/>
    <w:rsid w:val="44688134"/>
    <w:rsid w:val="45D7D81A"/>
    <w:rsid w:val="45EE95F0"/>
    <w:rsid w:val="4614B705"/>
    <w:rsid w:val="463AD933"/>
    <w:rsid w:val="46C7D927"/>
    <w:rsid w:val="46DE1ACD"/>
    <w:rsid w:val="4962903A"/>
    <w:rsid w:val="496E6D5C"/>
    <w:rsid w:val="49AAD572"/>
    <w:rsid w:val="4AF457DF"/>
    <w:rsid w:val="4B409B22"/>
    <w:rsid w:val="4C278758"/>
    <w:rsid w:val="4C67646F"/>
    <w:rsid w:val="4D3433F4"/>
    <w:rsid w:val="4D45AE2A"/>
    <w:rsid w:val="4E2F4434"/>
    <w:rsid w:val="4EB5970F"/>
    <w:rsid w:val="4F5C8603"/>
    <w:rsid w:val="515F5732"/>
    <w:rsid w:val="5212BFAD"/>
    <w:rsid w:val="52E52664"/>
    <w:rsid w:val="5339A57B"/>
    <w:rsid w:val="53A37578"/>
    <w:rsid w:val="54AAEF1D"/>
    <w:rsid w:val="55658D0C"/>
    <w:rsid w:val="561A4571"/>
    <w:rsid w:val="57608C97"/>
    <w:rsid w:val="5774762B"/>
    <w:rsid w:val="583466CF"/>
    <w:rsid w:val="585040E2"/>
    <w:rsid w:val="58BC1B45"/>
    <w:rsid w:val="595140BA"/>
    <w:rsid w:val="5B188E3D"/>
    <w:rsid w:val="5D37D7FE"/>
    <w:rsid w:val="5DB57FEB"/>
    <w:rsid w:val="5DC7BB1E"/>
    <w:rsid w:val="5E27D90B"/>
    <w:rsid w:val="5E6879DC"/>
    <w:rsid w:val="5F1409FE"/>
    <w:rsid w:val="606F78C0"/>
    <w:rsid w:val="60A8C985"/>
    <w:rsid w:val="60D920B7"/>
    <w:rsid w:val="614A9C69"/>
    <w:rsid w:val="61757AFC"/>
    <w:rsid w:val="620B4921"/>
    <w:rsid w:val="62AAAE4B"/>
    <w:rsid w:val="63342658"/>
    <w:rsid w:val="63C11CD1"/>
    <w:rsid w:val="63C2EF9E"/>
    <w:rsid w:val="643043B2"/>
    <w:rsid w:val="6465318A"/>
    <w:rsid w:val="64971A8F"/>
    <w:rsid w:val="64BEBE7C"/>
    <w:rsid w:val="6542E9E3"/>
    <w:rsid w:val="65C26DF6"/>
    <w:rsid w:val="666768FE"/>
    <w:rsid w:val="66F3AF78"/>
    <w:rsid w:val="675A84C2"/>
    <w:rsid w:val="67CD610C"/>
    <w:rsid w:val="680A0497"/>
    <w:rsid w:val="6A182829"/>
    <w:rsid w:val="6A1CED46"/>
    <w:rsid w:val="6A4C9995"/>
    <w:rsid w:val="6AD12A00"/>
    <w:rsid w:val="6BB8BDA7"/>
    <w:rsid w:val="6BC51F58"/>
    <w:rsid w:val="6CAA19FA"/>
    <w:rsid w:val="6D09AFC2"/>
    <w:rsid w:val="6D53E1DA"/>
    <w:rsid w:val="6E776DB3"/>
    <w:rsid w:val="6EE9C512"/>
    <w:rsid w:val="6FB44F01"/>
    <w:rsid w:val="70610557"/>
    <w:rsid w:val="712DA350"/>
    <w:rsid w:val="7306BEE6"/>
    <w:rsid w:val="7429AD1A"/>
    <w:rsid w:val="74B9330C"/>
    <w:rsid w:val="7557E461"/>
    <w:rsid w:val="756F79F5"/>
    <w:rsid w:val="772D2BEE"/>
    <w:rsid w:val="773BBDE1"/>
    <w:rsid w:val="79304B6F"/>
    <w:rsid w:val="7A14F776"/>
    <w:rsid w:val="7B065F0D"/>
    <w:rsid w:val="7BA22EF5"/>
    <w:rsid w:val="7C0D5C19"/>
    <w:rsid w:val="7C869C7D"/>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hAnsi="Arial" w:eastAsia="Times New Roman" w:cs="Times New Roman"/>
      <w:b/>
      <w:sz w:val="24"/>
      <w:szCs w:val="20"/>
      <w:lang w:eastAsia="pt-BR"/>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NormalWeb">
    <w:name w:val="Normal (Web)"/>
    <w:basedOn w:val="Normal"/>
    <w:uiPriority w:val="99"/>
    <w:unhideWhenUsed/>
    <w:rsid w:val="003B3398"/>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Forte">
    <w:name w:val="Strong"/>
    <w:basedOn w:val="Fontepargpadro"/>
    <w:uiPriority w:val="22"/>
    <w:qFormat/>
    <w:rsid w:val="003B3398"/>
    <w:rPr>
      <w:b/>
      <w:bCs/>
    </w:rPr>
  </w:style>
  <w:style w:type="character" w:styleId="nfase">
    <w:name w:val="Emphasis"/>
    <w:basedOn w:val="Fontepargpadro"/>
    <w:uiPriority w:val="20"/>
    <w:qFormat/>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hAnsi="Verdana" w:eastAsia="Times New Roman" w:cs="Times New Roman"/>
      <w:sz w:val="20"/>
      <w:szCs w:val="20"/>
      <w:lang w:val="x-none" w:eastAsia="x-none"/>
    </w:rPr>
  </w:style>
  <w:style w:type="character" w:styleId="TextodecomentrioChar" w:customStyle="1">
    <w:name w:val="Texto de comentário Char"/>
    <w:basedOn w:val="Fontepargpadro"/>
    <w:link w:val="Textodecomentrio"/>
    <w:uiPriority w:val="99"/>
    <w:rsid w:val="002D3FF3"/>
    <w:rPr>
      <w:rFonts w:ascii="Verdana" w:hAnsi="Verdana" w:eastAsia="Times New Roman"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hAnsiTheme="minorHAnsi" w:eastAsiaTheme="minorHAnsi" w:cstheme="minorBidi"/>
      <w:b/>
      <w:bCs/>
      <w:lang w:val="pt-BR" w:eastAsia="en-US"/>
    </w:rPr>
  </w:style>
  <w:style w:type="character" w:styleId="AssuntodocomentrioChar" w:customStyle="1">
    <w:name w:val="Assunto do comentário Char"/>
    <w:basedOn w:val="TextodecomentrioChar"/>
    <w:link w:val="Assuntodocomentrio"/>
    <w:uiPriority w:val="99"/>
    <w:semiHidden/>
    <w:rsid w:val="00D04BD8"/>
    <w:rPr>
      <w:rFonts w:ascii="Verdana" w:hAnsi="Verdana" w:eastAsia="Times New Roman" w:cs="Times New Roman"/>
      <w:b/>
      <w:bCs/>
      <w:sz w:val="20"/>
      <w:szCs w:val="20"/>
      <w:lang w:val="x-none" w:eastAsia="x-none"/>
    </w:rPr>
  </w:style>
  <w:style w:type="character" w:styleId="cf01" w:customStyle="1">
    <w:name w:val="cf01"/>
    <w:basedOn w:val="Fontepargpadro"/>
    <w:rsid w:val="00354AA2"/>
    <w:rPr>
      <w:rFonts w:hint="default" w:ascii="Segoe UI" w:hAnsi="Segoe UI" w:cs="Segoe UI"/>
      <w:sz w:val="18"/>
      <w:szCs w:val="18"/>
    </w:rPr>
  </w:style>
  <w:style w:type="character" w:styleId="normaltextrun" w:customStyle="1">
    <w:name w:val="normaltextrun"/>
    <w:basedOn w:val="Fontepargpadro"/>
    <w:rsid w:val="00661CF3"/>
  </w:style>
  <w:style w:type="character" w:styleId="eop" w:customStyle="1">
    <w:name w:val="eop"/>
    <w:basedOn w:val="Fontepargpadro"/>
    <w:rsid w:val="00661CF3"/>
  </w:style>
  <w:style w:type="paragraph" w:styleId="paragraph" w:customStyle="1">
    <w:name w:val="paragraph"/>
    <w:basedOn w:val="Normal"/>
    <w:rsid w:val="0047216B"/>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Ttulo1Char" w:customStyle="1">
    <w:name w:val="Título 1 Char"/>
    <w:basedOn w:val="Fontepargpadro"/>
    <w:link w:val="Ttulo1"/>
    <w:rsid w:val="00012123"/>
    <w:rPr>
      <w:rFonts w:ascii="Arial" w:hAnsi="Arial" w:eastAsia="Times New Roman" w:cs="Times New Roman"/>
      <w:b/>
      <w:sz w:val="24"/>
      <w:szCs w:val="20"/>
      <w:lang w:eastAsia="pt-BR"/>
    </w:rPr>
  </w:style>
  <w:style w:type="character" w:styleId="Hyperlink">
    <w:name w:val="Hyperlink"/>
    <w:uiPriority w:val="99"/>
    <w:unhideWhenUsed/>
    <w:rsid w:val="00012123"/>
    <w:rPr>
      <w:color w:val="0000FF"/>
      <w:u w:val="single"/>
    </w:rPr>
  </w:style>
  <w:style w:type="character" w:styleId="cf11" w:customStyle="1">
    <w:name w:val="cf11"/>
    <w:basedOn w:val="Fontepargpadro"/>
    <w:rsid w:val="005B7851"/>
    <w:rPr>
      <w:rFonts w:hint="default" w:ascii="Segoe UI" w:hAnsi="Segoe UI" w:cs="Segoe UI"/>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styleId="RodapChar" w:customStyle="1">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hAnsi="Arial" w:eastAsia="Times New Roman" w:cs="Verdana"/>
      <w:i/>
      <w:iCs/>
      <w:sz w:val="26"/>
      <w:szCs w:val="24"/>
      <w:lang w:eastAsia="zh-CN"/>
    </w:rPr>
  </w:style>
  <w:style w:type="character" w:styleId="CitaoChar" w:customStyle="1">
    <w:name w:val="Citação Char"/>
    <w:basedOn w:val="Fontepargpadro"/>
    <w:link w:val="Citao"/>
    <w:uiPriority w:val="29"/>
    <w:rsid w:val="00770E7F"/>
    <w:rPr>
      <w:rFonts w:ascii="Arial" w:hAnsi="Arial" w:eastAsia="Times New Roman"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styleId="Ttulos" w:customStyle="1">
    <w:name w:val="Títulos"/>
    <w:basedOn w:val="Citao"/>
    <w:link w:val="TtulosChar"/>
    <w:qFormat/>
    <w:rsid w:val="002D127E"/>
    <w:pPr>
      <w:suppressAutoHyphens w:val="0"/>
      <w:spacing w:line="360" w:lineRule="auto"/>
      <w:ind w:left="0" w:firstLine="0"/>
      <w:jc w:val="center"/>
    </w:pPr>
    <w:rPr>
      <w:b/>
      <w:i w:val="0"/>
      <w:caps/>
      <w:sz w:val="28"/>
    </w:rPr>
  </w:style>
  <w:style w:type="character" w:styleId="TtulosChar" w:customStyle="1">
    <w:name w:val="Títulos Char"/>
    <w:basedOn w:val="CitaoChar"/>
    <w:link w:val="Ttulos"/>
    <w:rsid w:val="002D127E"/>
    <w:rPr>
      <w:rFonts w:ascii="Arial" w:hAnsi="Arial" w:eastAsia="Times New Roman" w:cs="Verdana"/>
      <w:b/>
      <w:i w:val="0"/>
      <w:iCs/>
      <w:caps/>
      <w:sz w:val="28"/>
      <w:szCs w:val="24"/>
      <w:lang w:eastAsia="zh-CN"/>
    </w:rPr>
  </w:style>
  <w:style w:type="paragraph" w:styleId="PargrafodaLista">
    <w:name w:val="List Paragraph"/>
    <w:basedOn w:val="Normal"/>
    <w:uiPriority w:val="34"/>
    <w:qFormat/>
    <w:rsid w:val="003624B4"/>
    <w:pPr>
      <w:ind w:left="720"/>
      <w:contextualSpacing/>
    </w:pPr>
  </w:style>
  <w:style w:type="paragraph" w:styleId="Corpodetexto">
    <w:name w:val="Body Text"/>
    <w:basedOn w:val="Normal"/>
    <w:link w:val="CorpodetextoChar"/>
    <w:uiPriority w:val="99"/>
    <w:semiHidden/>
    <w:unhideWhenUsed/>
    <w:rsid w:val="00854204"/>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CorpodetextoChar" w:customStyle="1">
    <w:name w:val="Corpo de texto Char"/>
    <w:basedOn w:val="Fontepargpadro"/>
    <w:link w:val="Corpodetexto"/>
    <w:uiPriority w:val="99"/>
    <w:semiHidden/>
    <w:rsid w:val="00854204"/>
    <w:rPr>
      <w:rFonts w:ascii="Times New Roman" w:hAnsi="Times New Roman" w:eastAsia="Times New Roman" w:cs="Times New Roman"/>
      <w:sz w:val="24"/>
      <w:szCs w:val="24"/>
      <w:lang w:eastAsia="pt-BR"/>
    </w:rPr>
  </w:style>
  <w:style w:type="character" w:styleId="dispositivo-publicacao" w:customStyle="1">
    <w:name w:val="dispositivo-publicacao"/>
    <w:basedOn w:val="Fontepargpadro"/>
    <w:rsid w:val="00EE15D3"/>
  </w:style>
  <w:style w:type="paragraph" w:styleId="pf0" w:customStyle="1">
    <w:name w:val="pf0"/>
    <w:basedOn w:val="Normal"/>
    <w:rsid w:val="005A45C2"/>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492EFA"/>
    <w:pPr>
      <w:spacing w:after="120"/>
      <w:ind w:left="283"/>
    </w:pPr>
  </w:style>
  <w:style w:type="character" w:styleId="RecuodecorpodetextoChar" w:customStyle="1">
    <w:name w:val="Recuo de corpo de texto Char"/>
    <w:basedOn w:val="Fontepargpadro"/>
    <w:link w:val="Recuodecorpodetexto"/>
    <w:uiPriority w:val="99"/>
    <w:semiHidden/>
    <w:rsid w:val="00492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4122">
      <w:bodyDiv w:val="1"/>
      <w:marLeft w:val="0"/>
      <w:marRight w:val="0"/>
      <w:marTop w:val="0"/>
      <w:marBottom w:val="0"/>
      <w:divBdr>
        <w:top w:val="none" w:sz="0" w:space="0" w:color="auto"/>
        <w:left w:val="none" w:sz="0" w:space="0" w:color="auto"/>
        <w:bottom w:val="none" w:sz="0" w:space="0" w:color="auto"/>
        <w:right w:val="none" w:sz="0" w:space="0" w:color="auto"/>
      </w:divBdr>
    </w:div>
    <w:div w:id="31738293">
      <w:bodyDiv w:val="1"/>
      <w:marLeft w:val="0"/>
      <w:marRight w:val="0"/>
      <w:marTop w:val="0"/>
      <w:marBottom w:val="0"/>
      <w:divBdr>
        <w:top w:val="none" w:sz="0" w:space="0" w:color="auto"/>
        <w:left w:val="none" w:sz="0" w:space="0" w:color="auto"/>
        <w:bottom w:val="none" w:sz="0" w:space="0" w:color="auto"/>
        <w:right w:val="none" w:sz="0" w:space="0" w:color="auto"/>
      </w:divBdr>
    </w:div>
    <w:div w:id="39205876">
      <w:bodyDiv w:val="1"/>
      <w:marLeft w:val="0"/>
      <w:marRight w:val="0"/>
      <w:marTop w:val="0"/>
      <w:marBottom w:val="0"/>
      <w:divBdr>
        <w:top w:val="none" w:sz="0" w:space="0" w:color="auto"/>
        <w:left w:val="none" w:sz="0" w:space="0" w:color="auto"/>
        <w:bottom w:val="none" w:sz="0" w:space="0" w:color="auto"/>
        <w:right w:val="none" w:sz="0" w:space="0" w:color="auto"/>
      </w:divBdr>
    </w:div>
    <w:div w:id="45691488">
      <w:bodyDiv w:val="1"/>
      <w:marLeft w:val="0"/>
      <w:marRight w:val="0"/>
      <w:marTop w:val="0"/>
      <w:marBottom w:val="0"/>
      <w:divBdr>
        <w:top w:val="none" w:sz="0" w:space="0" w:color="auto"/>
        <w:left w:val="none" w:sz="0" w:space="0" w:color="auto"/>
        <w:bottom w:val="none" w:sz="0" w:space="0" w:color="auto"/>
        <w:right w:val="none" w:sz="0" w:space="0" w:color="auto"/>
      </w:divBdr>
    </w:div>
    <w:div w:id="46341386">
      <w:bodyDiv w:val="1"/>
      <w:marLeft w:val="0"/>
      <w:marRight w:val="0"/>
      <w:marTop w:val="0"/>
      <w:marBottom w:val="0"/>
      <w:divBdr>
        <w:top w:val="none" w:sz="0" w:space="0" w:color="auto"/>
        <w:left w:val="none" w:sz="0" w:space="0" w:color="auto"/>
        <w:bottom w:val="none" w:sz="0" w:space="0" w:color="auto"/>
        <w:right w:val="none" w:sz="0" w:space="0" w:color="auto"/>
      </w:divBdr>
      <w:divsChild>
        <w:div w:id="872305166">
          <w:marLeft w:val="0"/>
          <w:marRight w:val="0"/>
          <w:marTop w:val="0"/>
          <w:marBottom w:val="0"/>
          <w:divBdr>
            <w:top w:val="single" w:sz="8" w:space="1" w:color="auto"/>
            <w:left w:val="single" w:sz="8" w:space="4" w:color="auto"/>
            <w:bottom w:val="single" w:sz="8" w:space="1" w:color="auto"/>
            <w:right w:val="single" w:sz="8" w:space="4" w:color="auto"/>
          </w:divBdr>
        </w:div>
      </w:divsChild>
    </w:div>
    <w:div w:id="104623734">
      <w:bodyDiv w:val="1"/>
      <w:marLeft w:val="0"/>
      <w:marRight w:val="0"/>
      <w:marTop w:val="0"/>
      <w:marBottom w:val="0"/>
      <w:divBdr>
        <w:top w:val="none" w:sz="0" w:space="0" w:color="auto"/>
        <w:left w:val="none" w:sz="0" w:space="0" w:color="auto"/>
        <w:bottom w:val="none" w:sz="0" w:space="0" w:color="auto"/>
        <w:right w:val="none" w:sz="0" w:space="0" w:color="auto"/>
      </w:divBdr>
    </w:div>
    <w:div w:id="116877103">
      <w:bodyDiv w:val="1"/>
      <w:marLeft w:val="0"/>
      <w:marRight w:val="0"/>
      <w:marTop w:val="0"/>
      <w:marBottom w:val="0"/>
      <w:divBdr>
        <w:top w:val="none" w:sz="0" w:space="0" w:color="auto"/>
        <w:left w:val="none" w:sz="0" w:space="0" w:color="auto"/>
        <w:bottom w:val="none" w:sz="0" w:space="0" w:color="auto"/>
        <w:right w:val="none" w:sz="0" w:space="0" w:color="auto"/>
      </w:divBdr>
    </w:div>
    <w:div w:id="130249889">
      <w:bodyDiv w:val="1"/>
      <w:marLeft w:val="0"/>
      <w:marRight w:val="0"/>
      <w:marTop w:val="0"/>
      <w:marBottom w:val="0"/>
      <w:divBdr>
        <w:top w:val="none" w:sz="0" w:space="0" w:color="auto"/>
        <w:left w:val="none" w:sz="0" w:space="0" w:color="auto"/>
        <w:bottom w:val="none" w:sz="0" w:space="0" w:color="auto"/>
        <w:right w:val="none" w:sz="0" w:space="0" w:color="auto"/>
      </w:divBdr>
      <w:divsChild>
        <w:div w:id="856431498">
          <w:marLeft w:val="0"/>
          <w:marRight w:val="0"/>
          <w:marTop w:val="0"/>
          <w:marBottom w:val="0"/>
          <w:divBdr>
            <w:top w:val="none" w:sz="0" w:space="0" w:color="auto"/>
            <w:left w:val="none" w:sz="0" w:space="0" w:color="auto"/>
            <w:bottom w:val="none" w:sz="0" w:space="0" w:color="auto"/>
            <w:right w:val="none" w:sz="0" w:space="0" w:color="auto"/>
          </w:divBdr>
        </w:div>
        <w:div w:id="515534786">
          <w:marLeft w:val="0"/>
          <w:marRight w:val="0"/>
          <w:marTop w:val="0"/>
          <w:marBottom w:val="0"/>
          <w:divBdr>
            <w:top w:val="none" w:sz="0" w:space="0" w:color="auto"/>
            <w:left w:val="none" w:sz="0" w:space="0" w:color="auto"/>
            <w:bottom w:val="none" w:sz="0" w:space="0" w:color="auto"/>
            <w:right w:val="none" w:sz="0" w:space="0" w:color="auto"/>
          </w:divBdr>
        </w:div>
        <w:div w:id="18284964">
          <w:marLeft w:val="0"/>
          <w:marRight w:val="0"/>
          <w:marTop w:val="0"/>
          <w:marBottom w:val="0"/>
          <w:divBdr>
            <w:top w:val="none" w:sz="0" w:space="0" w:color="auto"/>
            <w:left w:val="none" w:sz="0" w:space="0" w:color="auto"/>
            <w:bottom w:val="none" w:sz="0" w:space="0" w:color="auto"/>
            <w:right w:val="none" w:sz="0" w:space="0" w:color="auto"/>
          </w:divBdr>
        </w:div>
      </w:divsChild>
    </w:div>
    <w:div w:id="137304755">
      <w:bodyDiv w:val="1"/>
      <w:marLeft w:val="0"/>
      <w:marRight w:val="0"/>
      <w:marTop w:val="0"/>
      <w:marBottom w:val="0"/>
      <w:divBdr>
        <w:top w:val="none" w:sz="0" w:space="0" w:color="auto"/>
        <w:left w:val="none" w:sz="0" w:space="0" w:color="auto"/>
        <w:bottom w:val="none" w:sz="0" w:space="0" w:color="auto"/>
        <w:right w:val="none" w:sz="0" w:space="0" w:color="auto"/>
      </w:divBdr>
    </w:div>
    <w:div w:id="165023387">
      <w:bodyDiv w:val="1"/>
      <w:marLeft w:val="0"/>
      <w:marRight w:val="0"/>
      <w:marTop w:val="0"/>
      <w:marBottom w:val="0"/>
      <w:divBdr>
        <w:top w:val="none" w:sz="0" w:space="0" w:color="auto"/>
        <w:left w:val="none" w:sz="0" w:space="0" w:color="auto"/>
        <w:bottom w:val="none" w:sz="0" w:space="0" w:color="auto"/>
        <w:right w:val="none" w:sz="0" w:space="0" w:color="auto"/>
      </w:divBdr>
    </w:div>
    <w:div w:id="210504377">
      <w:bodyDiv w:val="1"/>
      <w:marLeft w:val="0"/>
      <w:marRight w:val="0"/>
      <w:marTop w:val="0"/>
      <w:marBottom w:val="0"/>
      <w:divBdr>
        <w:top w:val="none" w:sz="0" w:space="0" w:color="auto"/>
        <w:left w:val="none" w:sz="0" w:space="0" w:color="auto"/>
        <w:bottom w:val="none" w:sz="0" w:space="0" w:color="auto"/>
        <w:right w:val="none" w:sz="0" w:space="0" w:color="auto"/>
      </w:divBdr>
    </w:div>
    <w:div w:id="230848611">
      <w:bodyDiv w:val="1"/>
      <w:marLeft w:val="0"/>
      <w:marRight w:val="0"/>
      <w:marTop w:val="0"/>
      <w:marBottom w:val="0"/>
      <w:divBdr>
        <w:top w:val="none" w:sz="0" w:space="0" w:color="auto"/>
        <w:left w:val="none" w:sz="0" w:space="0" w:color="auto"/>
        <w:bottom w:val="none" w:sz="0" w:space="0" w:color="auto"/>
        <w:right w:val="none" w:sz="0" w:space="0" w:color="auto"/>
      </w:divBdr>
      <w:divsChild>
        <w:div w:id="1701395554">
          <w:marLeft w:val="0"/>
          <w:marRight w:val="0"/>
          <w:marTop w:val="0"/>
          <w:marBottom w:val="0"/>
          <w:divBdr>
            <w:top w:val="single" w:sz="8" w:space="1" w:color="auto"/>
            <w:left w:val="single" w:sz="8" w:space="4" w:color="auto"/>
            <w:bottom w:val="single" w:sz="8" w:space="1" w:color="auto"/>
            <w:right w:val="single" w:sz="8" w:space="4" w:color="auto"/>
          </w:divBdr>
        </w:div>
      </w:divsChild>
    </w:div>
    <w:div w:id="243347391">
      <w:bodyDiv w:val="1"/>
      <w:marLeft w:val="0"/>
      <w:marRight w:val="0"/>
      <w:marTop w:val="0"/>
      <w:marBottom w:val="0"/>
      <w:divBdr>
        <w:top w:val="none" w:sz="0" w:space="0" w:color="auto"/>
        <w:left w:val="none" w:sz="0" w:space="0" w:color="auto"/>
        <w:bottom w:val="none" w:sz="0" w:space="0" w:color="auto"/>
        <w:right w:val="none" w:sz="0" w:space="0" w:color="auto"/>
      </w:divBdr>
    </w:div>
    <w:div w:id="278487317">
      <w:bodyDiv w:val="1"/>
      <w:marLeft w:val="0"/>
      <w:marRight w:val="0"/>
      <w:marTop w:val="0"/>
      <w:marBottom w:val="0"/>
      <w:divBdr>
        <w:top w:val="none" w:sz="0" w:space="0" w:color="auto"/>
        <w:left w:val="none" w:sz="0" w:space="0" w:color="auto"/>
        <w:bottom w:val="none" w:sz="0" w:space="0" w:color="auto"/>
        <w:right w:val="none" w:sz="0" w:space="0" w:color="auto"/>
      </w:divBdr>
    </w:div>
    <w:div w:id="284583139">
      <w:bodyDiv w:val="1"/>
      <w:marLeft w:val="0"/>
      <w:marRight w:val="0"/>
      <w:marTop w:val="0"/>
      <w:marBottom w:val="0"/>
      <w:divBdr>
        <w:top w:val="none" w:sz="0" w:space="0" w:color="auto"/>
        <w:left w:val="none" w:sz="0" w:space="0" w:color="auto"/>
        <w:bottom w:val="none" w:sz="0" w:space="0" w:color="auto"/>
        <w:right w:val="none" w:sz="0" w:space="0" w:color="auto"/>
      </w:divBdr>
    </w:div>
    <w:div w:id="300158002">
      <w:bodyDiv w:val="1"/>
      <w:marLeft w:val="0"/>
      <w:marRight w:val="0"/>
      <w:marTop w:val="0"/>
      <w:marBottom w:val="0"/>
      <w:divBdr>
        <w:top w:val="none" w:sz="0" w:space="0" w:color="auto"/>
        <w:left w:val="none" w:sz="0" w:space="0" w:color="auto"/>
        <w:bottom w:val="none" w:sz="0" w:space="0" w:color="auto"/>
        <w:right w:val="none" w:sz="0" w:space="0" w:color="auto"/>
      </w:divBdr>
      <w:divsChild>
        <w:div w:id="2101100588">
          <w:marLeft w:val="0"/>
          <w:marRight w:val="0"/>
          <w:marTop w:val="0"/>
          <w:marBottom w:val="0"/>
          <w:divBdr>
            <w:top w:val="single" w:sz="8" w:space="1" w:color="auto"/>
            <w:left w:val="single" w:sz="8" w:space="4" w:color="auto"/>
            <w:bottom w:val="single" w:sz="8" w:space="1" w:color="auto"/>
            <w:right w:val="single" w:sz="8" w:space="4" w:color="auto"/>
          </w:divBdr>
        </w:div>
      </w:divsChild>
    </w:div>
    <w:div w:id="341014596">
      <w:bodyDiv w:val="1"/>
      <w:marLeft w:val="0"/>
      <w:marRight w:val="0"/>
      <w:marTop w:val="0"/>
      <w:marBottom w:val="0"/>
      <w:divBdr>
        <w:top w:val="none" w:sz="0" w:space="0" w:color="auto"/>
        <w:left w:val="none" w:sz="0" w:space="0" w:color="auto"/>
        <w:bottom w:val="none" w:sz="0" w:space="0" w:color="auto"/>
        <w:right w:val="none" w:sz="0" w:space="0" w:color="auto"/>
      </w:divBdr>
    </w:div>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374277216">
      <w:bodyDiv w:val="1"/>
      <w:marLeft w:val="0"/>
      <w:marRight w:val="0"/>
      <w:marTop w:val="0"/>
      <w:marBottom w:val="0"/>
      <w:divBdr>
        <w:top w:val="none" w:sz="0" w:space="0" w:color="auto"/>
        <w:left w:val="none" w:sz="0" w:space="0" w:color="auto"/>
        <w:bottom w:val="none" w:sz="0" w:space="0" w:color="auto"/>
        <w:right w:val="none" w:sz="0" w:space="0" w:color="auto"/>
      </w:divBdr>
    </w:div>
    <w:div w:id="404031253">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415055176">
      <w:bodyDiv w:val="1"/>
      <w:marLeft w:val="0"/>
      <w:marRight w:val="0"/>
      <w:marTop w:val="0"/>
      <w:marBottom w:val="0"/>
      <w:divBdr>
        <w:top w:val="none" w:sz="0" w:space="0" w:color="auto"/>
        <w:left w:val="none" w:sz="0" w:space="0" w:color="auto"/>
        <w:bottom w:val="none" w:sz="0" w:space="0" w:color="auto"/>
        <w:right w:val="none" w:sz="0" w:space="0" w:color="auto"/>
      </w:divBdr>
    </w:div>
    <w:div w:id="443425841">
      <w:bodyDiv w:val="1"/>
      <w:marLeft w:val="0"/>
      <w:marRight w:val="0"/>
      <w:marTop w:val="0"/>
      <w:marBottom w:val="0"/>
      <w:divBdr>
        <w:top w:val="none" w:sz="0" w:space="0" w:color="auto"/>
        <w:left w:val="none" w:sz="0" w:space="0" w:color="auto"/>
        <w:bottom w:val="none" w:sz="0" w:space="0" w:color="auto"/>
        <w:right w:val="none" w:sz="0" w:space="0" w:color="auto"/>
      </w:divBdr>
    </w:div>
    <w:div w:id="459881494">
      <w:bodyDiv w:val="1"/>
      <w:marLeft w:val="0"/>
      <w:marRight w:val="0"/>
      <w:marTop w:val="0"/>
      <w:marBottom w:val="0"/>
      <w:divBdr>
        <w:top w:val="none" w:sz="0" w:space="0" w:color="auto"/>
        <w:left w:val="none" w:sz="0" w:space="0" w:color="auto"/>
        <w:bottom w:val="none" w:sz="0" w:space="0" w:color="auto"/>
        <w:right w:val="none" w:sz="0" w:space="0" w:color="auto"/>
      </w:divBdr>
    </w:div>
    <w:div w:id="467624039">
      <w:bodyDiv w:val="1"/>
      <w:marLeft w:val="0"/>
      <w:marRight w:val="0"/>
      <w:marTop w:val="0"/>
      <w:marBottom w:val="0"/>
      <w:divBdr>
        <w:top w:val="none" w:sz="0" w:space="0" w:color="auto"/>
        <w:left w:val="none" w:sz="0" w:space="0" w:color="auto"/>
        <w:bottom w:val="none" w:sz="0" w:space="0" w:color="auto"/>
        <w:right w:val="none" w:sz="0" w:space="0" w:color="auto"/>
      </w:divBdr>
      <w:divsChild>
        <w:div w:id="1284113782">
          <w:marLeft w:val="0"/>
          <w:marRight w:val="0"/>
          <w:marTop w:val="0"/>
          <w:marBottom w:val="0"/>
          <w:divBdr>
            <w:top w:val="single" w:sz="8" w:space="1" w:color="auto"/>
            <w:left w:val="single" w:sz="8" w:space="4" w:color="auto"/>
            <w:bottom w:val="single" w:sz="8" w:space="1" w:color="auto"/>
            <w:right w:val="single" w:sz="8" w:space="4" w:color="auto"/>
          </w:divBdr>
        </w:div>
      </w:divsChild>
    </w:div>
    <w:div w:id="468286808">
      <w:bodyDiv w:val="1"/>
      <w:marLeft w:val="0"/>
      <w:marRight w:val="0"/>
      <w:marTop w:val="0"/>
      <w:marBottom w:val="0"/>
      <w:divBdr>
        <w:top w:val="none" w:sz="0" w:space="0" w:color="auto"/>
        <w:left w:val="none" w:sz="0" w:space="0" w:color="auto"/>
        <w:bottom w:val="none" w:sz="0" w:space="0" w:color="auto"/>
        <w:right w:val="none" w:sz="0" w:space="0" w:color="auto"/>
      </w:divBdr>
      <w:divsChild>
        <w:div w:id="1733651719">
          <w:marLeft w:val="0"/>
          <w:marRight w:val="0"/>
          <w:marTop w:val="0"/>
          <w:marBottom w:val="0"/>
          <w:divBdr>
            <w:top w:val="none" w:sz="0" w:space="0" w:color="auto"/>
            <w:left w:val="none" w:sz="0" w:space="0" w:color="auto"/>
            <w:bottom w:val="none" w:sz="0" w:space="0" w:color="auto"/>
            <w:right w:val="none" w:sz="0" w:space="0" w:color="auto"/>
          </w:divBdr>
        </w:div>
        <w:div w:id="1441335140">
          <w:marLeft w:val="0"/>
          <w:marRight w:val="0"/>
          <w:marTop w:val="0"/>
          <w:marBottom w:val="0"/>
          <w:divBdr>
            <w:top w:val="none" w:sz="0" w:space="0" w:color="auto"/>
            <w:left w:val="none" w:sz="0" w:space="0" w:color="auto"/>
            <w:bottom w:val="none" w:sz="0" w:space="0" w:color="auto"/>
            <w:right w:val="none" w:sz="0" w:space="0" w:color="auto"/>
          </w:divBdr>
        </w:div>
        <w:div w:id="100878328">
          <w:marLeft w:val="0"/>
          <w:marRight w:val="0"/>
          <w:marTop w:val="0"/>
          <w:marBottom w:val="0"/>
          <w:divBdr>
            <w:top w:val="none" w:sz="0" w:space="0" w:color="auto"/>
            <w:left w:val="none" w:sz="0" w:space="0" w:color="auto"/>
            <w:bottom w:val="none" w:sz="0" w:space="0" w:color="auto"/>
            <w:right w:val="none" w:sz="0" w:space="0" w:color="auto"/>
          </w:divBdr>
        </w:div>
        <w:div w:id="196042036">
          <w:marLeft w:val="0"/>
          <w:marRight w:val="0"/>
          <w:marTop w:val="0"/>
          <w:marBottom w:val="0"/>
          <w:divBdr>
            <w:top w:val="none" w:sz="0" w:space="0" w:color="auto"/>
            <w:left w:val="none" w:sz="0" w:space="0" w:color="auto"/>
            <w:bottom w:val="none" w:sz="0" w:space="0" w:color="auto"/>
            <w:right w:val="none" w:sz="0" w:space="0" w:color="auto"/>
          </w:divBdr>
        </w:div>
        <w:div w:id="1201668412">
          <w:marLeft w:val="0"/>
          <w:marRight w:val="0"/>
          <w:marTop w:val="0"/>
          <w:marBottom w:val="0"/>
          <w:divBdr>
            <w:top w:val="none" w:sz="0" w:space="0" w:color="auto"/>
            <w:left w:val="none" w:sz="0" w:space="0" w:color="auto"/>
            <w:bottom w:val="none" w:sz="0" w:space="0" w:color="auto"/>
            <w:right w:val="none" w:sz="0" w:space="0" w:color="auto"/>
          </w:divBdr>
        </w:div>
        <w:div w:id="1775128830">
          <w:marLeft w:val="0"/>
          <w:marRight w:val="0"/>
          <w:marTop w:val="0"/>
          <w:marBottom w:val="0"/>
          <w:divBdr>
            <w:top w:val="none" w:sz="0" w:space="0" w:color="auto"/>
            <w:left w:val="none" w:sz="0" w:space="0" w:color="auto"/>
            <w:bottom w:val="none" w:sz="0" w:space="0" w:color="auto"/>
            <w:right w:val="none" w:sz="0" w:space="0" w:color="auto"/>
          </w:divBdr>
        </w:div>
        <w:div w:id="1302274320">
          <w:marLeft w:val="0"/>
          <w:marRight w:val="0"/>
          <w:marTop w:val="0"/>
          <w:marBottom w:val="0"/>
          <w:divBdr>
            <w:top w:val="none" w:sz="0" w:space="0" w:color="auto"/>
            <w:left w:val="none" w:sz="0" w:space="0" w:color="auto"/>
            <w:bottom w:val="none" w:sz="0" w:space="0" w:color="auto"/>
            <w:right w:val="none" w:sz="0" w:space="0" w:color="auto"/>
          </w:divBdr>
        </w:div>
        <w:div w:id="2095514138">
          <w:marLeft w:val="0"/>
          <w:marRight w:val="0"/>
          <w:marTop w:val="0"/>
          <w:marBottom w:val="0"/>
          <w:divBdr>
            <w:top w:val="none" w:sz="0" w:space="0" w:color="auto"/>
            <w:left w:val="none" w:sz="0" w:space="0" w:color="auto"/>
            <w:bottom w:val="none" w:sz="0" w:space="0" w:color="auto"/>
            <w:right w:val="none" w:sz="0" w:space="0" w:color="auto"/>
          </w:divBdr>
        </w:div>
        <w:div w:id="792988543">
          <w:marLeft w:val="0"/>
          <w:marRight w:val="0"/>
          <w:marTop w:val="0"/>
          <w:marBottom w:val="0"/>
          <w:divBdr>
            <w:top w:val="none" w:sz="0" w:space="0" w:color="auto"/>
            <w:left w:val="none" w:sz="0" w:space="0" w:color="auto"/>
            <w:bottom w:val="none" w:sz="0" w:space="0" w:color="auto"/>
            <w:right w:val="none" w:sz="0" w:space="0" w:color="auto"/>
          </w:divBdr>
        </w:div>
      </w:divsChild>
    </w:div>
    <w:div w:id="537476383">
      <w:bodyDiv w:val="1"/>
      <w:marLeft w:val="0"/>
      <w:marRight w:val="0"/>
      <w:marTop w:val="0"/>
      <w:marBottom w:val="0"/>
      <w:divBdr>
        <w:top w:val="none" w:sz="0" w:space="0" w:color="auto"/>
        <w:left w:val="none" w:sz="0" w:space="0" w:color="auto"/>
        <w:bottom w:val="none" w:sz="0" w:space="0" w:color="auto"/>
        <w:right w:val="none" w:sz="0" w:space="0" w:color="auto"/>
      </w:divBdr>
    </w:div>
    <w:div w:id="545072397">
      <w:bodyDiv w:val="1"/>
      <w:marLeft w:val="0"/>
      <w:marRight w:val="0"/>
      <w:marTop w:val="0"/>
      <w:marBottom w:val="0"/>
      <w:divBdr>
        <w:top w:val="none" w:sz="0" w:space="0" w:color="auto"/>
        <w:left w:val="none" w:sz="0" w:space="0" w:color="auto"/>
        <w:bottom w:val="none" w:sz="0" w:space="0" w:color="auto"/>
        <w:right w:val="none" w:sz="0" w:space="0" w:color="auto"/>
      </w:divBdr>
    </w:div>
    <w:div w:id="551961031">
      <w:bodyDiv w:val="1"/>
      <w:marLeft w:val="0"/>
      <w:marRight w:val="0"/>
      <w:marTop w:val="0"/>
      <w:marBottom w:val="0"/>
      <w:divBdr>
        <w:top w:val="none" w:sz="0" w:space="0" w:color="auto"/>
        <w:left w:val="none" w:sz="0" w:space="0" w:color="auto"/>
        <w:bottom w:val="none" w:sz="0" w:space="0" w:color="auto"/>
        <w:right w:val="none" w:sz="0" w:space="0" w:color="auto"/>
      </w:divBdr>
    </w:div>
    <w:div w:id="555362378">
      <w:bodyDiv w:val="1"/>
      <w:marLeft w:val="0"/>
      <w:marRight w:val="0"/>
      <w:marTop w:val="0"/>
      <w:marBottom w:val="0"/>
      <w:divBdr>
        <w:top w:val="none" w:sz="0" w:space="0" w:color="auto"/>
        <w:left w:val="none" w:sz="0" w:space="0" w:color="auto"/>
        <w:bottom w:val="none" w:sz="0" w:space="0" w:color="auto"/>
        <w:right w:val="none" w:sz="0" w:space="0" w:color="auto"/>
      </w:divBdr>
    </w:div>
    <w:div w:id="558782097">
      <w:bodyDiv w:val="1"/>
      <w:marLeft w:val="0"/>
      <w:marRight w:val="0"/>
      <w:marTop w:val="0"/>
      <w:marBottom w:val="0"/>
      <w:divBdr>
        <w:top w:val="none" w:sz="0" w:space="0" w:color="auto"/>
        <w:left w:val="none" w:sz="0" w:space="0" w:color="auto"/>
        <w:bottom w:val="none" w:sz="0" w:space="0" w:color="auto"/>
        <w:right w:val="none" w:sz="0" w:space="0" w:color="auto"/>
      </w:divBdr>
    </w:div>
    <w:div w:id="559370605">
      <w:bodyDiv w:val="1"/>
      <w:marLeft w:val="0"/>
      <w:marRight w:val="0"/>
      <w:marTop w:val="0"/>
      <w:marBottom w:val="0"/>
      <w:divBdr>
        <w:top w:val="none" w:sz="0" w:space="0" w:color="auto"/>
        <w:left w:val="none" w:sz="0" w:space="0" w:color="auto"/>
        <w:bottom w:val="none" w:sz="0" w:space="0" w:color="auto"/>
        <w:right w:val="none" w:sz="0" w:space="0" w:color="auto"/>
      </w:divBdr>
    </w:div>
    <w:div w:id="580336551">
      <w:bodyDiv w:val="1"/>
      <w:marLeft w:val="0"/>
      <w:marRight w:val="0"/>
      <w:marTop w:val="0"/>
      <w:marBottom w:val="0"/>
      <w:divBdr>
        <w:top w:val="none" w:sz="0" w:space="0" w:color="auto"/>
        <w:left w:val="none" w:sz="0" w:space="0" w:color="auto"/>
        <w:bottom w:val="none" w:sz="0" w:space="0" w:color="auto"/>
        <w:right w:val="none" w:sz="0" w:space="0" w:color="auto"/>
      </w:divBdr>
    </w:div>
    <w:div w:id="659697768">
      <w:bodyDiv w:val="1"/>
      <w:marLeft w:val="0"/>
      <w:marRight w:val="0"/>
      <w:marTop w:val="0"/>
      <w:marBottom w:val="0"/>
      <w:divBdr>
        <w:top w:val="none" w:sz="0" w:space="0" w:color="auto"/>
        <w:left w:val="none" w:sz="0" w:space="0" w:color="auto"/>
        <w:bottom w:val="none" w:sz="0" w:space="0" w:color="auto"/>
        <w:right w:val="none" w:sz="0" w:space="0" w:color="auto"/>
      </w:divBdr>
    </w:div>
    <w:div w:id="695084276">
      <w:bodyDiv w:val="1"/>
      <w:marLeft w:val="0"/>
      <w:marRight w:val="0"/>
      <w:marTop w:val="0"/>
      <w:marBottom w:val="0"/>
      <w:divBdr>
        <w:top w:val="none" w:sz="0" w:space="0" w:color="auto"/>
        <w:left w:val="none" w:sz="0" w:space="0" w:color="auto"/>
        <w:bottom w:val="none" w:sz="0" w:space="0" w:color="auto"/>
        <w:right w:val="none" w:sz="0" w:space="0" w:color="auto"/>
      </w:divBdr>
    </w:div>
    <w:div w:id="695741269">
      <w:bodyDiv w:val="1"/>
      <w:marLeft w:val="0"/>
      <w:marRight w:val="0"/>
      <w:marTop w:val="0"/>
      <w:marBottom w:val="0"/>
      <w:divBdr>
        <w:top w:val="none" w:sz="0" w:space="0" w:color="auto"/>
        <w:left w:val="none" w:sz="0" w:space="0" w:color="auto"/>
        <w:bottom w:val="none" w:sz="0" w:space="0" w:color="auto"/>
        <w:right w:val="none" w:sz="0" w:space="0" w:color="auto"/>
      </w:divBdr>
    </w:div>
    <w:div w:id="738289848">
      <w:bodyDiv w:val="1"/>
      <w:marLeft w:val="0"/>
      <w:marRight w:val="0"/>
      <w:marTop w:val="0"/>
      <w:marBottom w:val="0"/>
      <w:divBdr>
        <w:top w:val="none" w:sz="0" w:space="0" w:color="auto"/>
        <w:left w:val="none" w:sz="0" w:space="0" w:color="auto"/>
        <w:bottom w:val="none" w:sz="0" w:space="0" w:color="auto"/>
        <w:right w:val="none" w:sz="0" w:space="0" w:color="auto"/>
      </w:divBdr>
    </w:div>
    <w:div w:id="826167910">
      <w:bodyDiv w:val="1"/>
      <w:marLeft w:val="0"/>
      <w:marRight w:val="0"/>
      <w:marTop w:val="0"/>
      <w:marBottom w:val="0"/>
      <w:divBdr>
        <w:top w:val="none" w:sz="0" w:space="0" w:color="auto"/>
        <w:left w:val="none" w:sz="0" w:space="0" w:color="auto"/>
        <w:bottom w:val="none" w:sz="0" w:space="0" w:color="auto"/>
        <w:right w:val="none" w:sz="0" w:space="0" w:color="auto"/>
      </w:divBdr>
    </w:div>
    <w:div w:id="853425603">
      <w:bodyDiv w:val="1"/>
      <w:marLeft w:val="0"/>
      <w:marRight w:val="0"/>
      <w:marTop w:val="0"/>
      <w:marBottom w:val="0"/>
      <w:divBdr>
        <w:top w:val="none" w:sz="0" w:space="0" w:color="auto"/>
        <w:left w:val="none" w:sz="0" w:space="0" w:color="auto"/>
        <w:bottom w:val="none" w:sz="0" w:space="0" w:color="auto"/>
        <w:right w:val="none" w:sz="0" w:space="0" w:color="auto"/>
      </w:divBdr>
      <w:divsChild>
        <w:div w:id="1692730286">
          <w:marLeft w:val="0"/>
          <w:marRight w:val="0"/>
          <w:marTop w:val="0"/>
          <w:marBottom w:val="0"/>
          <w:divBdr>
            <w:top w:val="single" w:sz="8" w:space="1" w:color="auto"/>
            <w:left w:val="single" w:sz="8" w:space="4" w:color="auto"/>
            <w:bottom w:val="single" w:sz="8" w:space="1" w:color="auto"/>
            <w:right w:val="single" w:sz="8" w:space="4" w:color="auto"/>
          </w:divBdr>
        </w:div>
      </w:divsChild>
    </w:div>
    <w:div w:id="854878568">
      <w:bodyDiv w:val="1"/>
      <w:marLeft w:val="0"/>
      <w:marRight w:val="0"/>
      <w:marTop w:val="0"/>
      <w:marBottom w:val="0"/>
      <w:divBdr>
        <w:top w:val="none" w:sz="0" w:space="0" w:color="auto"/>
        <w:left w:val="none" w:sz="0" w:space="0" w:color="auto"/>
        <w:bottom w:val="none" w:sz="0" w:space="0" w:color="auto"/>
        <w:right w:val="none" w:sz="0" w:space="0" w:color="auto"/>
      </w:divBdr>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89154349">
      <w:bodyDiv w:val="1"/>
      <w:marLeft w:val="0"/>
      <w:marRight w:val="0"/>
      <w:marTop w:val="0"/>
      <w:marBottom w:val="0"/>
      <w:divBdr>
        <w:top w:val="none" w:sz="0" w:space="0" w:color="auto"/>
        <w:left w:val="none" w:sz="0" w:space="0" w:color="auto"/>
        <w:bottom w:val="none" w:sz="0" w:space="0" w:color="auto"/>
        <w:right w:val="none" w:sz="0" w:space="0" w:color="auto"/>
      </w:divBdr>
    </w:div>
    <w:div w:id="909197218">
      <w:bodyDiv w:val="1"/>
      <w:marLeft w:val="0"/>
      <w:marRight w:val="0"/>
      <w:marTop w:val="0"/>
      <w:marBottom w:val="0"/>
      <w:divBdr>
        <w:top w:val="none" w:sz="0" w:space="0" w:color="auto"/>
        <w:left w:val="none" w:sz="0" w:space="0" w:color="auto"/>
        <w:bottom w:val="none" w:sz="0" w:space="0" w:color="auto"/>
        <w:right w:val="none" w:sz="0" w:space="0" w:color="auto"/>
      </w:divBdr>
    </w:div>
    <w:div w:id="921647031">
      <w:bodyDiv w:val="1"/>
      <w:marLeft w:val="0"/>
      <w:marRight w:val="0"/>
      <w:marTop w:val="0"/>
      <w:marBottom w:val="0"/>
      <w:divBdr>
        <w:top w:val="none" w:sz="0" w:space="0" w:color="auto"/>
        <w:left w:val="none" w:sz="0" w:space="0" w:color="auto"/>
        <w:bottom w:val="none" w:sz="0" w:space="0" w:color="auto"/>
        <w:right w:val="none" w:sz="0" w:space="0" w:color="auto"/>
      </w:divBdr>
      <w:divsChild>
        <w:div w:id="19553912">
          <w:marLeft w:val="0"/>
          <w:marRight w:val="0"/>
          <w:marTop w:val="0"/>
          <w:marBottom w:val="0"/>
          <w:divBdr>
            <w:top w:val="none" w:sz="0" w:space="0" w:color="auto"/>
            <w:left w:val="none" w:sz="0" w:space="0" w:color="auto"/>
            <w:bottom w:val="none" w:sz="0" w:space="0" w:color="auto"/>
            <w:right w:val="none" w:sz="0" w:space="0" w:color="auto"/>
          </w:divBdr>
          <w:divsChild>
            <w:div w:id="1714815022">
              <w:marLeft w:val="0"/>
              <w:marRight w:val="0"/>
              <w:marTop w:val="0"/>
              <w:marBottom w:val="0"/>
              <w:divBdr>
                <w:top w:val="none" w:sz="0" w:space="0" w:color="auto"/>
                <w:left w:val="none" w:sz="0" w:space="0" w:color="auto"/>
                <w:bottom w:val="none" w:sz="0" w:space="0" w:color="auto"/>
                <w:right w:val="none" w:sz="0" w:space="0" w:color="auto"/>
              </w:divBdr>
            </w:div>
            <w:div w:id="164712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60919">
      <w:bodyDiv w:val="1"/>
      <w:marLeft w:val="0"/>
      <w:marRight w:val="0"/>
      <w:marTop w:val="0"/>
      <w:marBottom w:val="0"/>
      <w:divBdr>
        <w:top w:val="none" w:sz="0" w:space="0" w:color="auto"/>
        <w:left w:val="none" w:sz="0" w:space="0" w:color="auto"/>
        <w:bottom w:val="none" w:sz="0" w:space="0" w:color="auto"/>
        <w:right w:val="none" w:sz="0" w:space="0" w:color="auto"/>
      </w:divBdr>
      <w:divsChild>
        <w:div w:id="1676958683">
          <w:marLeft w:val="0"/>
          <w:marRight w:val="0"/>
          <w:marTop w:val="0"/>
          <w:marBottom w:val="0"/>
          <w:divBdr>
            <w:top w:val="none" w:sz="0" w:space="0" w:color="auto"/>
            <w:left w:val="none" w:sz="0" w:space="0" w:color="auto"/>
            <w:bottom w:val="none" w:sz="0" w:space="0" w:color="auto"/>
            <w:right w:val="none" w:sz="0" w:space="0" w:color="auto"/>
          </w:divBdr>
          <w:divsChild>
            <w:div w:id="1458915110">
              <w:marLeft w:val="0"/>
              <w:marRight w:val="0"/>
              <w:marTop w:val="0"/>
              <w:marBottom w:val="0"/>
              <w:divBdr>
                <w:top w:val="none" w:sz="0" w:space="0" w:color="auto"/>
                <w:left w:val="none" w:sz="0" w:space="0" w:color="auto"/>
                <w:bottom w:val="none" w:sz="0" w:space="0" w:color="auto"/>
                <w:right w:val="none" w:sz="0" w:space="0" w:color="auto"/>
              </w:divBdr>
            </w:div>
            <w:div w:id="3070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57105">
      <w:bodyDiv w:val="1"/>
      <w:marLeft w:val="0"/>
      <w:marRight w:val="0"/>
      <w:marTop w:val="0"/>
      <w:marBottom w:val="0"/>
      <w:divBdr>
        <w:top w:val="none" w:sz="0" w:space="0" w:color="auto"/>
        <w:left w:val="none" w:sz="0" w:space="0" w:color="auto"/>
        <w:bottom w:val="none" w:sz="0" w:space="0" w:color="auto"/>
        <w:right w:val="none" w:sz="0" w:space="0" w:color="auto"/>
      </w:divBdr>
    </w:div>
    <w:div w:id="1030105061">
      <w:bodyDiv w:val="1"/>
      <w:marLeft w:val="0"/>
      <w:marRight w:val="0"/>
      <w:marTop w:val="0"/>
      <w:marBottom w:val="0"/>
      <w:divBdr>
        <w:top w:val="none" w:sz="0" w:space="0" w:color="auto"/>
        <w:left w:val="none" w:sz="0" w:space="0" w:color="auto"/>
        <w:bottom w:val="none" w:sz="0" w:space="0" w:color="auto"/>
        <w:right w:val="none" w:sz="0" w:space="0" w:color="auto"/>
      </w:divBdr>
    </w:div>
    <w:div w:id="1040276560">
      <w:bodyDiv w:val="1"/>
      <w:marLeft w:val="0"/>
      <w:marRight w:val="0"/>
      <w:marTop w:val="0"/>
      <w:marBottom w:val="0"/>
      <w:divBdr>
        <w:top w:val="none" w:sz="0" w:space="0" w:color="auto"/>
        <w:left w:val="none" w:sz="0" w:space="0" w:color="auto"/>
        <w:bottom w:val="none" w:sz="0" w:space="0" w:color="auto"/>
        <w:right w:val="none" w:sz="0" w:space="0" w:color="auto"/>
      </w:divBdr>
    </w:div>
    <w:div w:id="1087310768">
      <w:bodyDiv w:val="1"/>
      <w:marLeft w:val="0"/>
      <w:marRight w:val="0"/>
      <w:marTop w:val="0"/>
      <w:marBottom w:val="0"/>
      <w:divBdr>
        <w:top w:val="none" w:sz="0" w:space="0" w:color="auto"/>
        <w:left w:val="none" w:sz="0" w:space="0" w:color="auto"/>
        <w:bottom w:val="none" w:sz="0" w:space="0" w:color="auto"/>
        <w:right w:val="none" w:sz="0" w:space="0" w:color="auto"/>
      </w:divBdr>
    </w:div>
    <w:div w:id="1095247588">
      <w:bodyDiv w:val="1"/>
      <w:marLeft w:val="0"/>
      <w:marRight w:val="0"/>
      <w:marTop w:val="0"/>
      <w:marBottom w:val="0"/>
      <w:divBdr>
        <w:top w:val="none" w:sz="0" w:space="0" w:color="auto"/>
        <w:left w:val="none" w:sz="0" w:space="0" w:color="auto"/>
        <w:bottom w:val="none" w:sz="0" w:space="0" w:color="auto"/>
        <w:right w:val="none" w:sz="0" w:space="0" w:color="auto"/>
      </w:divBdr>
    </w:div>
    <w:div w:id="1114052976">
      <w:bodyDiv w:val="1"/>
      <w:marLeft w:val="0"/>
      <w:marRight w:val="0"/>
      <w:marTop w:val="0"/>
      <w:marBottom w:val="0"/>
      <w:divBdr>
        <w:top w:val="none" w:sz="0" w:space="0" w:color="auto"/>
        <w:left w:val="none" w:sz="0" w:space="0" w:color="auto"/>
        <w:bottom w:val="none" w:sz="0" w:space="0" w:color="auto"/>
        <w:right w:val="none" w:sz="0" w:space="0" w:color="auto"/>
      </w:divBdr>
    </w:div>
    <w:div w:id="1117331182">
      <w:bodyDiv w:val="1"/>
      <w:marLeft w:val="0"/>
      <w:marRight w:val="0"/>
      <w:marTop w:val="0"/>
      <w:marBottom w:val="0"/>
      <w:divBdr>
        <w:top w:val="none" w:sz="0" w:space="0" w:color="auto"/>
        <w:left w:val="none" w:sz="0" w:space="0" w:color="auto"/>
        <w:bottom w:val="none" w:sz="0" w:space="0" w:color="auto"/>
        <w:right w:val="none" w:sz="0" w:space="0" w:color="auto"/>
      </w:divBdr>
    </w:div>
    <w:div w:id="1118640615">
      <w:bodyDiv w:val="1"/>
      <w:marLeft w:val="0"/>
      <w:marRight w:val="0"/>
      <w:marTop w:val="0"/>
      <w:marBottom w:val="0"/>
      <w:divBdr>
        <w:top w:val="none" w:sz="0" w:space="0" w:color="auto"/>
        <w:left w:val="none" w:sz="0" w:space="0" w:color="auto"/>
        <w:bottom w:val="none" w:sz="0" w:space="0" w:color="auto"/>
        <w:right w:val="none" w:sz="0" w:space="0" w:color="auto"/>
      </w:divBdr>
    </w:div>
    <w:div w:id="1144929369">
      <w:bodyDiv w:val="1"/>
      <w:marLeft w:val="0"/>
      <w:marRight w:val="0"/>
      <w:marTop w:val="0"/>
      <w:marBottom w:val="0"/>
      <w:divBdr>
        <w:top w:val="none" w:sz="0" w:space="0" w:color="auto"/>
        <w:left w:val="none" w:sz="0" w:space="0" w:color="auto"/>
        <w:bottom w:val="none" w:sz="0" w:space="0" w:color="auto"/>
        <w:right w:val="none" w:sz="0" w:space="0" w:color="auto"/>
      </w:divBdr>
    </w:div>
    <w:div w:id="1145509630">
      <w:bodyDiv w:val="1"/>
      <w:marLeft w:val="0"/>
      <w:marRight w:val="0"/>
      <w:marTop w:val="0"/>
      <w:marBottom w:val="0"/>
      <w:divBdr>
        <w:top w:val="none" w:sz="0" w:space="0" w:color="auto"/>
        <w:left w:val="none" w:sz="0" w:space="0" w:color="auto"/>
        <w:bottom w:val="none" w:sz="0" w:space="0" w:color="auto"/>
        <w:right w:val="none" w:sz="0" w:space="0" w:color="auto"/>
      </w:divBdr>
    </w:div>
    <w:div w:id="1158883131">
      <w:bodyDiv w:val="1"/>
      <w:marLeft w:val="0"/>
      <w:marRight w:val="0"/>
      <w:marTop w:val="0"/>
      <w:marBottom w:val="0"/>
      <w:divBdr>
        <w:top w:val="none" w:sz="0" w:space="0" w:color="auto"/>
        <w:left w:val="none" w:sz="0" w:space="0" w:color="auto"/>
        <w:bottom w:val="none" w:sz="0" w:space="0" w:color="auto"/>
        <w:right w:val="none" w:sz="0" w:space="0" w:color="auto"/>
      </w:divBdr>
    </w:div>
    <w:div w:id="1168447787">
      <w:bodyDiv w:val="1"/>
      <w:marLeft w:val="0"/>
      <w:marRight w:val="0"/>
      <w:marTop w:val="0"/>
      <w:marBottom w:val="0"/>
      <w:divBdr>
        <w:top w:val="none" w:sz="0" w:space="0" w:color="auto"/>
        <w:left w:val="none" w:sz="0" w:space="0" w:color="auto"/>
        <w:bottom w:val="none" w:sz="0" w:space="0" w:color="auto"/>
        <w:right w:val="none" w:sz="0" w:space="0" w:color="auto"/>
      </w:divBdr>
    </w:div>
    <w:div w:id="1256745770">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2518159">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293636732">
      <w:bodyDiv w:val="1"/>
      <w:marLeft w:val="0"/>
      <w:marRight w:val="0"/>
      <w:marTop w:val="0"/>
      <w:marBottom w:val="0"/>
      <w:divBdr>
        <w:top w:val="none" w:sz="0" w:space="0" w:color="auto"/>
        <w:left w:val="none" w:sz="0" w:space="0" w:color="auto"/>
        <w:bottom w:val="none" w:sz="0" w:space="0" w:color="auto"/>
        <w:right w:val="none" w:sz="0" w:space="0" w:color="auto"/>
      </w:divBdr>
    </w:div>
    <w:div w:id="1362971602">
      <w:bodyDiv w:val="1"/>
      <w:marLeft w:val="0"/>
      <w:marRight w:val="0"/>
      <w:marTop w:val="0"/>
      <w:marBottom w:val="0"/>
      <w:divBdr>
        <w:top w:val="none" w:sz="0" w:space="0" w:color="auto"/>
        <w:left w:val="none" w:sz="0" w:space="0" w:color="auto"/>
        <w:bottom w:val="none" w:sz="0" w:space="0" w:color="auto"/>
        <w:right w:val="none" w:sz="0" w:space="0" w:color="auto"/>
      </w:divBdr>
    </w:div>
    <w:div w:id="1394355264">
      <w:bodyDiv w:val="1"/>
      <w:marLeft w:val="0"/>
      <w:marRight w:val="0"/>
      <w:marTop w:val="0"/>
      <w:marBottom w:val="0"/>
      <w:divBdr>
        <w:top w:val="none" w:sz="0" w:space="0" w:color="auto"/>
        <w:left w:val="none" w:sz="0" w:space="0" w:color="auto"/>
        <w:bottom w:val="none" w:sz="0" w:space="0" w:color="auto"/>
        <w:right w:val="none" w:sz="0" w:space="0" w:color="auto"/>
      </w:divBdr>
    </w:div>
    <w:div w:id="1405756550">
      <w:bodyDiv w:val="1"/>
      <w:marLeft w:val="0"/>
      <w:marRight w:val="0"/>
      <w:marTop w:val="0"/>
      <w:marBottom w:val="0"/>
      <w:divBdr>
        <w:top w:val="none" w:sz="0" w:space="0" w:color="auto"/>
        <w:left w:val="none" w:sz="0" w:space="0" w:color="auto"/>
        <w:bottom w:val="none" w:sz="0" w:space="0" w:color="auto"/>
        <w:right w:val="none" w:sz="0" w:space="0" w:color="auto"/>
      </w:divBdr>
    </w:div>
    <w:div w:id="1426995305">
      <w:bodyDiv w:val="1"/>
      <w:marLeft w:val="0"/>
      <w:marRight w:val="0"/>
      <w:marTop w:val="0"/>
      <w:marBottom w:val="0"/>
      <w:divBdr>
        <w:top w:val="none" w:sz="0" w:space="0" w:color="auto"/>
        <w:left w:val="none" w:sz="0" w:space="0" w:color="auto"/>
        <w:bottom w:val="none" w:sz="0" w:space="0" w:color="auto"/>
        <w:right w:val="none" w:sz="0" w:space="0" w:color="auto"/>
      </w:divBdr>
      <w:divsChild>
        <w:div w:id="295111776">
          <w:marLeft w:val="0"/>
          <w:marRight w:val="0"/>
          <w:marTop w:val="0"/>
          <w:marBottom w:val="0"/>
          <w:divBdr>
            <w:top w:val="single" w:sz="8" w:space="1" w:color="auto"/>
            <w:left w:val="single" w:sz="8" w:space="4" w:color="auto"/>
            <w:bottom w:val="single" w:sz="8" w:space="1" w:color="auto"/>
            <w:right w:val="single" w:sz="8" w:space="4" w:color="auto"/>
          </w:divBdr>
        </w:div>
      </w:divsChild>
    </w:div>
    <w:div w:id="1452045899">
      <w:bodyDiv w:val="1"/>
      <w:marLeft w:val="0"/>
      <w:marRight w:val="0"/>
      <w:marTop w:val="0"/>
      <w:marBottom w:val="0"/>
      <w:divBdr>
        <w:top w:val="none" w:sz="0" w:space="0" w:color="auto"/>
        <w:left w:val="none" w:sz="0" w:space="0" w:color="auto"/>
        <w:bottom w:val="none" w:sz="0" w:space="0" w:color="auto"/>
        <w:right w:val="none" w:sz="0" w:space="0" w:color="auto"/>
      </w:divBdr>
    </w:div>
    <w:div w:id="1455902303">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473792605">
      <w:bodyDiv w:val="1"/>
      <w:marLeft w:val="0"/>
      <w:marRight w:val="0"/>
      <w:marTop w:val="0"/>
      <w:marBottom w:val="0"/>
      <w:divBdr>
        <w:top w:val="none" w:sz="0" w:space="0" w:color="auto"/>
        <w:left w:val="none" w:sz="0" w:space="0" w:color="auto"/>
        <w:bottom w:val="none" w:sz="0" w:space="0" w:color="auto"/>
        <w:right w:val="none" w:sz="0" w:space="0" w:color="auto"/>
      </w:divBdr>
    </w:div>
    <w:div w:id="1497384937">
      <w:bodyDiv w:val="1"/>
      <w:marLeft w:val="0"/>
      <w:marRight w:val="0"/>
      <w:marTop w:val="0"/>
      <w:marBottom w:val="0"/>
      <w:divBdr>
        <w:top w:val="none" w:sz="0" w:space="0" w:color="auto"/>
        <w:left w:val="none" w:sz="0" w:space="0" w:color="auto"/>
        <w:bottom w:val="none" w:sz="0" w:space="0" w:color="auto"/>
        <w:right w:val="none" w:sz="0" w:space="0" w:color="auto"/>
      </w:divBdr>
    </w:div>
    <w:div w:id="1532381905">
      <w:bodyDiv w:val="1"/>
      <w:marLeft w:val="0"/>
      <w:marRight w:val="0"/>
      <w:marTop w:val="0"/>
      <w:marBottom w:val="0"/>
      <w:divBdr>
        <w:top w:val="none" w:sz="0" w:space="0" w:color="auto"/>
        <w:left w:val="none" w:sz="0" w:space="0" w:color="auto"/>
        <w:bottom w:val="none" w:sz="0" w:space="0" w:color="auto"/>
        <w:right w:val="none" w:sz="0" w:space="0" w:color="auto"/>
      </w:divBdr>
    </w:div>
    <w:div w:id="153407408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560365141">
      <w:bodyDiv w:val="1"/>
      <w:marLeft w:val="0"/>
      <w:marRight w:val="0"/>
      <w:marTop w:val="0"/>
      <w:marBottom w:val="0"/>
      <w:divBdr>
        <w:top w:val="none" w:sz="0" w:space="0" w:color="auto"/>
        <w:left w:val="none" w:sz="0" w:space="0" w:color="auto"/>
        <w:bottom w:val="none" w:sz="0" w:space="0" w:color="auto"/>
        <w:right w:val="none" w:sz="0" w:space="0" w:color="auto"/>
      </w:divBdr>
    </w:div>
    <w:div w:id="1564948152">
      <w:bodyDiv w:val="1"/>
      <w:marLeft w:val="0"/>
      <w:marRight w:val="0"/>
      <w:marTop w:val="0"/>
      <w:marBottom w:val="0"/>
      <w:divBdr>
        <w:top w:val="none" w:sz="0" w:space="0" w:color="auto"/>
        <w:left w:val="none" w:sz="0" w:space="0" w:color="auto"/>
        <w:bottom w:val="none" w:sz="0" w:space="0" w:color="auto"/>
        <w:right w:val="none" w:sz="0" w:space="0" w:color="auto"/>
      </w:divBdr>
    </w:div>
    <w:div w:id="1579705165">
      <w:bodyDiv w:val="1"/>
      <w:marLeft w:val="0"/>
      <w:marRight w:val="0"/>
      <w:marTop w:val="0"/>
      <w:marBottom w:val="0"/>
      <w:divBdr>
        <w:top w:val="none" w:sz="0" w:space="0" w:color="auto"/>
        <w:left w:val="none" w:sz="0" w:space="0" w:color="auto"/>
        <w:bottom w:val="none" w:sz="0" w:space="0" w:color="auto"/>
        <w:right w:val="none" w:sz="0" w:space="0" w:color="auto"/>
      </w:divBdr>
    </w:div>
    <w:div w:id="1583493853">
      <w:bodyDiv w:val="1"/>
      <w:marLeft w:val="0"/>
      <w:marRight w:val="0"/>
      <w:marTop w:val="0"/>
      <w:marBottom w:val="0"/>
      <w:divBdr>
        <w:top w:val="none" w:sz="0" w:space="0" w:color="auto"/>
        <w:left w:val="none" w:sz="0" w:space="0" w:color="auto"/>
        <w:bottom w:val="none" w:sz="0" w:space="0" w:color="auto"/>
        <w:right w:val="none" w:sz="0" w:space="0" w:color="auto"/>
      </w:divBdr>
    </w:div>
    <w:div w:id="1586648229">
      <w:bodyDiv w:val="1"/>
      <w:marLeft w:val="0"/>
      <w:marRight w:val="0"/>
      <w:marTop w:val="0"/>
      <w:marBottom w:val="0"/>
      <w:divBdr>
        <w:top w:val="none" w:sz="0" w:space="0" w:color="auto"/>
        <w:left w:val="none" w:sz="0" w:space="0" w:color="auto"/>
        <w:bottom w:val="none" w:sz="0" w:space="0" w:color="auto"/>
        <w:right w:val="none" w:sz="0" w:space="0" w:color="auto"/>
      </w:divBdr>
    </w:div>
    <w:div w:id="1593931838">
      <w:bodyDiv w:val="1"/>
      <w:marLeft w:val="0"/>
      <w:marRight w:val="0"/>
      <w:marTop w:val="0"/>
      <w:marBottom w:val="0"/>
      <w:divBdr>
        <w:top w:val="none" w:sz="0" w:space="0" w:color="auto"/>
        <w:left w:val="none" w:sz="0" w:space="0" w:color="auto"/>
        <w:bottom w:val="none" w:sz="0" w:space="0" w:color="auto"/>
        <w:right w:val="none" w:sz="0" w:space="0" w:color="auto"/>
      </w:divBdr>
    </w:div>
    <w:div w:id="1595044050">
      <w:bodyDiv w:val="1"/>
      <w:marLeft w:val="0"/>
      <w:marRight w:val="0"/>
      <w:marTop w:val="0"/>
      <w:marBottom w:val="0"/>
      <w:divBdr>
        <w:top w:val="none" w:sz="0" w:space="0" w:color="auto"/>
        <w:left w:val="none" w:sz="0" w:space="0" w:color="auto"/>
        <w:bottom w:val="none" w:sz="0" w:space="0" w:color="auto"/>
        <w:right w:val="none" w:sz="0" w:space="0" w:color="auto"/>
      </w:divBdr>
    </w:div>
    <w:div w:id="1611665189">
      <w:bodyDiv w:val="1"/>
      <w:marLeft w:val="0"/>
      <w:marRight w:val="0"/>
      <w:marTop w:val="0"/>
      <w:marBottom w:val="0"/>
      <w:divBdr>
        <w:top w:val="none" w:sz="0" w:space="0" w:color="auto"/>
        <w:left w:val="none" w:sz="0" w:space="0" w:color="auto"/>
        <w:bottom w:val="none" w:sz="0" w:space="0" w:color="auto"/>
        <w:right w:val="none" w:sz="0" w:space="0" w:color="auto"/>
      </w:divBdr>
    </w:div>
    <w:div w:id="1623220361">
      <w:bodyDiv w:val="1"/>
      <w:marLeft w:val="0"/>
      <w:marRight w:val="0"/>
      <w:marTop w:val="0"/>
      <w:marBottom w:val="0"/>
      <w:divBdr>
        <w:top w:val="none" w:sz="0" w:space="0" w:color="auto"/>
        <w:left w:val="none" w:sz="0" w:space="0" w:color="auto"/>
        <w:bottom w:val="none" w:sz="0" w:space="0" w:color="auto"/>
        <w:right w:val="none" w:sz="0" w:space="0" w:color="auto"/>
      </w:divBdr>
    </w:div>
    <w:div w:id="1625964315">
      <w:bodyDiv w:val="1"/>
      <w:marLeft w:val="0"/>
      <w:marRight w:val="0"/>
      <w:marTop w:val="0"/>
      <w:marBottom w:val="0"/>
      <w:divBdr>
        <w:top w:val="none" w:sz="0" w:space="0" w:color="auto"/>
        <w:left w:val="none" w:sz="0" w:space="0" w:color="auto"/>
        <w:bottom w:val="none" w:sz="0" w:space="0" w:color="auto"/>
        <w:right w:val="none" w:sz="0" w:space="0" w:color="auto"/>
      </w:divBdr>
    </w:div>
    <w:div w:id="1642684637">
      <w:bodyDiv w:val="1"/>
      <w:marLeft w:val="0"/>
      <w:marRight w:val="0"/>
      <w:marTop w:val="0"/>
      <w:marBottom w:val="0"/>
      <w:divBdr>
        <w:top w:val="none" w:sz="0" w:space="0" w:color="auto"/>
        <w:left w:val="none" w:sz="0" w:space="0" w:color="auto"/>
        <w:bottom w:val="none" w:sz="0" w:space="0" w:color="auto"/>
        <w:right w:val="none" w:sz="0" w:space="0" w:color="auto"/>
      </w:divBdr>
    </w:div>
    <w:div w:id="1667435231">
      <w:bodyDiv w:val="1"/>
      <w:marLeft w:val="0"/>
      <w:marRight w:val="0"/>
      <w:marTop w:val="0"/>
      <w:marBottom w:val="0"/>
      <w:divBdr>
        <w:top w:val="none" w:sz="0" w:space="0" w:color="auto"/>
        <w:left w:val="none" w:sz="0" w:space="0" w:color="auto"/>
        <w:bottom w:val="none" w:sz="0" w:space="0" w:color="auto"/>
        <w:right w:val="none" w:sz="0" w:space="0" w:color="auto"/>
      </w:divBdr>
    </w:div>
    <w:div w:id="1672752948">
      <w:bodyDiv w:val="1"/>
      <w:marLeft w:val="0"/>
      <w:marRight w:val="0"/>
      <w:marTop w:val="0"/>
      <w:marBottom w:val="0"/>
      <w:divBdr>
        <w:top w:val="none" w:sz="0" w:space="0" w:color="auto"/>
        <w:left w:val="none" w:sz="0" w:space="0" w:color="auto"/>
        <w:bottom w:val="none" w:sz="0" w:space="0" w:color="auto"/>
        <w:right w:val="none" w:sz="0" w:space="0" w:color="auto"/>
      </w:divBdr>
    </w:div>
    <w:div w:id="1689256877">
      <w:bodyDiv w:val="1"/>
      <w:marLeft w:val="0"/>
      <w:marRight w:val="0"/>
      <w:marTop w:val="0"/>
      <w:marBottom w:val="0"/>
      <w:divBdr>
        <w:top w:val="none" w:sz="0" w:space="0" w:color="auto"/>
        <w:left w:val="none" w:sz="0" w:space="0" w:color="auto"/>
        <w:bottom w:val="none" w:sz="0" w:space="0" w:color="auto"/>
        <w:right w:val="none" w:sz="0" w:space="0" w:color="auto"/>
      </w:divBdr>
      <w:divsChild>
        <w:div w:id="698815952">
          <w:marLeft w:val="0"/>
          <w:marRight w:val="0"/>
          <w:marTop w:val="0"/>
          <w:marBottom w:val="0"/>
          <w:divBdr>
            <w:top w:val="single" w:sz="8" w:space="1" w:color="auto"/>
            <w:left w:val="single" w:sz="8" w:space="4" w:color="auto"/>
            <w:bottom w:val="single" w:sz="8" w:space="1" w:color="auto"/>
            <w:right w:val="single" w:sz="8" w:space="4" w:color="auto"/>
          </w:divBdr>
        </w:div>
      </w:divsChild>
    </w:div>
    <w:div w:id="1728333288">
      <w:bodyDiv w:val="1"/>
      <w:marLeft w:val="0"/>
      <w:marRight w:val="0"/>
      <w:marTop w:val="0"/>
      <w:marBottom w:val="0"/>
      <w:divBdr>
        <w:top w:val="none" w:sz="0" w:space="0" w:color="auto"/>
        <w:left w:val="none" w:sz="0" w:space="0" w:color="auto"/>
        <w:bottom w:val="none" w:sz="0" w:space="0" w:color="auto"/>
        <w:right w:val="none" w:sz="0" w:space="0" w:color="auto"/>
      </w:divBdr>
    </w:div>
    <w:div w:id="1743481657">
      <w:bodyDiv w:val="1"/>
      <w:marLeft w:val="0"/>
      <w:marRight w:val="0"/>
      <w:marTop w:val="0"/>
      <w:marBottom w:val="0"/>
      <w:divBdr>
        <w:top w:val="none" w:sz="0" w:space="0" w:color="auto"/>
        <w:left w:val="none" w:sz="0" w:space="0" w:color="auto"/>
        <w:bottom w:val="none" w:sz="0" w:space="0" w:color="auto"/>
        <w:right w:val="none" w:sz="0" w:space="0" w:color="auto"/>
      </w:divBdr>
    </w:div>
    <w:div w:id="1753237603">
      <w:bodyDiv w:val="1"/>
      <w:marLeft w:val="0"/>
      <w:marRight w:val="0"/>
      <w:marTop w:val="0"/>
      <w:marBottom w:val="0"/>
      <w:divBdr>
        <w:top w:val="none" w:sz="0" w:space="0" w:color="auto"/>
        <w:left w:val="none" w:sz="0" w:space="0" w:color="auto"/>
        <w:bottom w:val="none" w:sz="0" w:space="0" w:color="auto"/>
        <w:right w:val="none" w:sz="0" w:space="0" w:color="auto"/>
      </w:divBdr>
    </w:div>
    <w:div w:id="1761753551">
      <w:bodyDiv w:val="1"/>
      <w:marLeft w:val="0"/>
      <w:marRight w:val="0"/>
      <w:marTop w:val="0"/>
      <w:marBottom w:val="0"/>
      <w:divBdr>
        <w:top w:val="none" w:sz="0" w:space="0" w:color="auto"/>
        <w:left w:val="none" w:sz="0" w:space="0" w:color="auto"/>
        <w:bottom w:val="none" w:sz="0" w:space="0" w:color="auto"/>
        <w:right w:val="none" w:sz="0" w:space="0" w:color="auto"/>
      </w:divBdr>
    </w:div>
    <w:div w:id="1783306668">
      <w:bodyDiv w:val="1"/>
      <w:marLeft w:val="0"/>
      <w:marRight w:val="0"/>
      <w:marTop w:val="0"/>
      <w:marBottom w:val="0"/>
      <w:divBdr>
        <w:top w:val="none" w:sz="0" w:space="0" w:color="auto"/>
        <w:left w:val="none" w:sz="0" w:space="0" w:color="auto"/>
        <w:bottom w:val="none" w:sz="0" w:space="0" w:color="auto"/>
        <w:right w:val="none" w:sz="0" w:space="0" w:color="auto"/>
      </w:divBdr>
    </w:div>
    <w:div w:id="1802268559">
      <w:bodyDiv w:val="1"/>
      <w:marLeft w:val="0"/>
      <w:marRight w:val="0"/>
      <w:marTop w:val="0"/>
      <w:marBottom w:val="0"/>
      <w:divBdr>
        <w:top w:val="none" w:sz="0" w:space="0" w:color="auto"/>
        <w:left w:val="none" w:sz="0" w:space="0" w:color="auto"/>
        <w:bottom w:val="none" w:sz="0" w:space="0" w:color="auto"/>
        <w:right w:val="none" w:sz="0" w:space="0" w:color="auto"/>
      </w:divBdr>
    </w:div>
    <w:div w:id="1807818239">
      <w:bodyDiv w:val="1"/>
      <w:marLeft w:val="0"/>
      <w:marRight w:val="0"/>
      <w:marTop w:val="0"/>
      <w:marBottom w:val="0"/>
      <w:divBdr>
        <w:top w:val="none" w:sz="0" w:space="0" w:color="auto"/>
        <w:left w:val="none" w:sz="0" w:space="0" w:color="auto"/>
        <w:bottom w:val="none" w:sz="0" w:space="0" w:color="auto"/>
        <w:right w:val="none" w:sz="0" w:space="0" w:color="auto"/>
      </w:divBdr>
    </w:div>
    <w:div w:id="1816414234">
      <w:bodyDiv w:val="1"/>
      <w:marLeft w:val="0"/>
      <w:marRight w:val="0"/>
      <w:marTop w:val="0"/>
      <w:marBottom w:val="0"/>
      <w:divBdr>
        <w:top w:val="none" w:sz="0" w:space="0" w:color="auto"/>
        <w:left w:val="none" w:sz="0" w:space="0" w:color="auto"/>
        <w:bottom w:val="none" w:sz="0" w:space="0" w:color="auto"/>
        <w:right w:val="none" w:sz="0" w:space="0" w:color="auto"/>
      </w:divBdr>
    </w:div>
    <w:div w:id="1829443922">
      <w:bodyDiv w:val="1"/>
      <w:marLeft w:val="0"/>
      <w:marRight w:val="0"/>
      <w:marTop w:val="0"/>
      <w:marBottom w:val="0"/>
      <w:divBdr>
        <w:top w:val="none" w:sz="0" w:space="0" w:color="auto"/>
        <w:left w:val="none" w:sz="0" w:space="0" w:color="auto"/>
        <w:bottom w:val="none" w:sz="0" w:space="0" w:color="auto"/>
        <w:right w:val="none" w:sz="0" w:space="0" w:color="auto"/>
      </w:divBdr>
    </w:div>
    <w:div w:id="1835298913">
      <w:bodyDiv w:val="1"/>
      <w:marLeft w:val="0"/>
      <w:marRight w:val="0"/>
      <w:marTop w:val="0"/>
      <w:marBottom w:val="0"/>
      <w:divBdr>
        <w:top w:val="none" w:sz="0" w:space="0" w:color="auto"/>
        <w:left w:val="none" w:sz="0" w:space="0" w:color="auto"/>
        <w:bottom w:val="none" w:sz="0" w:space="0" w:color="auto"/>
        <w:right w:val="none" w:sz="0" w:space="0" w:color="auto"/>
      </w:divBdr>
      <w:divsChild>
        <w:div w:id="977104132">
          <w:marLeft w:val="0"/>
          <w:marRight w:val="0"/>
          <w:marTop w:val="0"/>
          <w:marBottom w:val="0"/>
          <w:divBdr>
            <w:top w:val="single" w:sz="8" w:space="1" w:color="auto"/>
            <w:left w:val="single" w:sz="8" w:space="4" w:color="auto"/>
            <w:bottom w:val="single" w:sz="8" w:space="1" w:color="auto"/>
            <w:right w:val="single" w:sz="8" w:space="4"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5711236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8543689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1901284145">
      <w:bodyDiv w:val="1"/>
      <w:marLeft w:val="0"/>
      <w:marRight w:val="0"/>
      <w:marTop w:val="0"/>
      <w:marBottom w:val="0"/>
      <w:divBdr>
        <w:top w:val="none" w:sz="0" w:space="0" w:color="auto"/>
        <w:left w:val="none" w:sz="0" w:space="0" w:color="auto"/>
        <w:bottom w:val="none" w:sz="0" w:space="0" w:color="auto"/>
        <w:right w:val="none" w:sz="0" w:space="0" w:color="auto"/>
      </w:divBdr>
      <w:divsChild>
        <w:div w:id="978875026">
          <w:marLeft w:val="0"/>
          <w:marRight w:val="0"/>
          <w:marTop w:val="0"/>
          <w:marBottom w:val="0"/>
          <w:divBdr>
            <w:top w:val="none" w:sz="0" w:space="0" w:color="auto"/>
            <w:left w:val="none" w:sz="0" w:space="0" w:color="auto"/>
            <w:bottom w:val="none" w:sz="0" w:space="0" w:color="auto"/>
            <w:right w:val="none" w:sz="0" w:space="0" w:color="auto"/>
          </w:divBdr>
        </w:div>
        <w:div w:id="2030251059">
          <w:marLeft w:val="0"/>
          <w:marRight w:val="0"/>
          <w:marTop w:val="0"/>
          <w:marBottom w:val="0"/>
          <w:divBdr>
            <w:top w:val="none" w:sz="0" w:space="0" w:color="auto"/>
            <w:left w:val="none" w:sz="0" w:space="0" w:color="auto"/>
            <w:bottom w:val="none" w:sz="0" w:space="0" w:color="auto"/>
            <w:right w:val="none" w:sz="0" w:space="0" w:color="auto"/>
          </w:divBdr>
        </w:div>
        <w:div w:id="867336154">
          <w:marLeft w:val="0"/>
          <w:marRight w:val="0"/>
          <w:marTop w:val="0"/>
          <w:marBottom w:val="0"/>
          <w:divBdr>
            <w:top w:val="none" w:sz="0" w:space="0" w:color="auto"/>
            <w:left w:val="none" w:sz="0" w:space="0" w:color="auto"/>
            <w:bottom w:val="none" w:sz="0" w:space="0" w:color="auto"/>
            <w:right w:val="none" w:sz="0" w:space="0" w:color="auto"/>
          </w:divBdr>
        </w:div>
      </w:divsChild>
    </w:div>
    <w:div w:id="1913857021">
      <w:bodyDiv w:val="1"/>
      <w:marLeft w:val="0"/>
      <w:marRight w:val="0"/>
      <w:marTop w:val="0"/>
      <w:marBottom w:val="0"/>
      <w:divBdr>
        <w:top w:val="none" w:sz="0" w:space="0" w:color="auto"/>
        <w:left w:val="none" w:sz="0" w:space="0" w:color="auto"/>
        <w:bottom w:val="none" w:sz="0" w:space="0" w:color="auto"/>
        <w:right w:val="none" w:sz="0" w:space="0" w:color="auto"/>
      </w:divBdr>
    </w:div>
    <w:div w:id="1969623609">
      <w:bodyDiv w:val="1"/>
      <w:marLeft w:val="0"/>
      <w:marRight w:val="0"/>
      <w:marTop w:val="0"/>
      <w:marBottom w:val="0"/>
      <w:divBdr>
        <w:top w:val="none" w:sz="0" w:space="0" w:color="auto"/>
        <w:left w:val="none" w:sz="0" w:space="0" w:color="auto"/>
        <w:bottom w:val="none" w:sz="0" w:space="0" w:color="auto"/>
        <w:right w:val="none" w:sz="0" w:space="0" w:color="auto"/>
      </w:divBdr>
    </w:div>
    <w:div w:id="1972317523">
      <w:bodyDiv w:val="1"/>
      <w:marLeft w:val="0"/>
      <w:marRight w:val="0"/>
      <w:marTop w:val="0"/>
      <w:marBottom w:val="0"/>
      <w:divBdr>
        <w:top w:val="none" w:sz="0" w:space="0" w:color="auto"/>
        <w:left w:val="none" w:sz="0" w:space="0" w:color="auto"/>
        <w:bottom w:val="none" w:sz="0" w:space="0" w:color="auto"/>
        <w:right w:val="none" w:sz="0" w:space="0" w:color="auto"/>
      </w:divBdr>
    </w:div>
    <w:div w:id="1977296687">
      <w:bodyDiv w:val="1"/>
      <w:marLeft w:val="0"/>
      <w:marRight w:val="0"/>
      <w:marTop w:val="0"/>
      <w:marBottom w:val="0"/>
      <w:divBdr>
        <w:top w:val="none" w:sz="0" w:space="0" w:color="auto"/>
        <w:left w:val="none" w:sz="0" w:space="0" w:color="auto"/>
        <w:bottom w:val="none" w:sz="0" w:space="0" w:color="auto"/>
        <w:right w:val="none" w:sz="0" w:space="0" w:color="auto"/>
      </w:divBdr>
    </w:div>
    <w:div w:id="1994411126">
      <w:bodyDiv w:val="1"/>
      <w:marLeft w:val="0"/>
      <w:marRight w:val="0"/>
      <w:marTop w:val="0"/>
      <w:marBottom w:val="0"/>
      <w:divBdr>
        <w:top w:val="none" w:sz="0" w:space="0" w:color="auto"/>
        <w:left w:val="none" w:sz="0" w:space="0" w:color="auto"/>
        <w:bottom w:val="none" w:sz="0" w:space="0" w:color="auto"/>
        <w:right w:val="none" w:sz="0" w:space="0" w:color="auto"/>
      </w:divBdr>
    </w:div>
    <w:div w:id="2006585025">
      <w:bodyDiv w:val="1"/>
      <w:marLeft w:val="0"/>
      <w:marRight w:val="0"/>
      <w:marTop w:val="0"/>
      <w:marBottom w:val="0"/>
      <w:divBdr>
        <w:top w:val="none" w:sz="0" w:space="0" w:color="auto"/>
        <w:left w:val="none" w:sz="0" w:space="0" w:color="auto"/>
        <w:bottom w:val="none" w:sz="0" w:space="0" w:color="auto"/>
        <w:right w:val="none" w:sz="0" w:space="0" w:color="auto"/>
      </w:divBdr>
    </w:div>
    <w:div w:id="2013757323">
      <w:bodyDiv w:val="1"/>
      <w:marLeft w:val="0"/>
      <w:marRight w:val="0"/>
      <w:marTop w:val="0"/>
      <w:marBottom w:val="0"/>
      <w:divBdr>
        <w:top w:val="none" w:sz="0" w:space="0" w:color="auto"/>
        <w:left w:val="none" w:sz="0" w:space="0" w:color="auto"/>
        <w:bottom w:val="none" w:sz="0" w:space="0" w:color="auto"/>
        <w:right w:val="none" w:sz="0" w:space="0" w:color="auto"/>
      </w:divBdr>
    </w:div>
    <w:div w:id="2040424948">
      <w:bodyDiv w:val="1"/>
      <w:marLeft w:val="0"/>
      <w:marRight w:val="0"/>
      <w:marTop w:val="0"/>
      <w:marBottom w:val="0"/>
      <w:divBdr>
        <w:top w:val="none" w:sz="0" w:space="0" w:color="auto"/>
        <w:left w:val="none" w:sz="0" w:space="0" w:color="auto"/>
        <w:bottom w:val="none" w:sz="0" w:space="0" w:color="auto"/>
        <w:right w:val="none" w:sz="0" w:space="0" w:color="auto"/>
      </w:divBdr>
    </w:div>
    <w:div w:id="2042197879">
      <w:bodyDiv w:val="1"/>
      <w:marLeft w:val="0"/>
      <w:marRight w:val="0"/>
      <w:marTop w:val="0"/>
      <w:marBottom w:val="0"/>
      <w:divBdr>
        <w:top w:val="none" w:sz="0" w:space="0" w:color="auto"/>
        <w:left w:val="none" w:sz="0" w:space="0" w:color="auto"/>
        <w:bottom w:val="none" w:sz="0" w:space="0" w:color="auto"/>
        <w:right w:val="none" w:sz="0" w:space="0" w:color="auto"/>
      </w:divBdr>
    </w:div>
    <w:div w:id="2042894645">
      <w:bodyDiv w:val="1"/>
      <w:marLeft w:val="0"/>
      <w:marRight w:val="0"/>
      <w:marTop w:val="0"/>
      <w:marBottom w:val="0"/>
      <w:divBdr>
        <w:top w:val="none" w:sz="0" w:space="0" w:color="auto"/>
        <w:left w:val="none" w:sz="0" w:space="0" w:color="auto"/>
        <w:bottom w:val="none" w:sz="0" w:space="0" w:color="auto"/>
        <w:right w:val="none" w:sz="0" w:space="0" w:color="auto"/>
      </w:divBdr>
    </w:div>
    <w:div w:id="2066639692">
      <w:bodyDiv w:val="1"/>
      <w:marLeft w:val="0"/>
      <w:marRight w:val="0"/>
      <w:marTop w:val="0"/>
      <w:marBottom w:val="0"/>
      <w:divBdr>
        <w:top w:val="none" w:sz="0" w:space="0" w:color="auto"/>
        <w:left w:val="none" w:sz="0" w:space="0" w:color="auto"/>
        <w:bottom w:val="none" w:sz="0" w:space="0" w:color="auto"/>
        <w:right w:val="none" w:sz="0" w:space="0" w:color="auto"/>
      </w:divBdr>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 w:id="2127307128">
      <w:bodyDiv w:val="1"/>
      <w:marLeft w:val="0"/>
      <w:marRight w:val="0"/>
      <w:marTop w:val="0"/>
      <w:marBottom w:val="0"/>
      <w:divBdr>
        <w:top w:val="none" w:sz="0" w:space="0" w:color="auto"/>
        <w:left w:val="none" w:sz="0" w:space="0" w:color="auto"/>
        <w:bottom w:val="none" w:sz="0" w:space="0" w:color="auto"/>
        <w:right w:val="none" w:sz="0" w:space="0" w:color="auto"/>
      </w:divBdr>
    </w:div>
    <w:div w:id="214292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P="00730800" w:rsidRDefault="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P="00465A25" w:rsidRDefault="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P="00465A25" w:rsidRDefault="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P="00465A25" w:rsidRDefault="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5FC6"/>
    <w:rsid w:val="0005400A"/>
    <w:rsid w:val="001E000B"/>
    <w:rsid w:val="001E2AC0"/>
    <w:rsid w:val="001F4D6E"/>
    <w:rsid w:val="00320509"/>
    <w:rsid w:val="003770ED"/>
    <w:rsid w:val="00465A25"/>
    <w:rsid w:val="004702F4"/>
    <w:rsid w:val="00543441"/>
    <w:rsid w:val="005A5759"/>
    <w:rsid w:val="006335DA"/>
    <w:rsid w:val="006712ED"/>
    <w:rsid w:val="00685D0A"/>
    <w:rsid w:val="006D4909"/>
    <w:rsid w:val="00730800"/>
    <w:rsid w:val="007445E7"/>
    <w:rsid w:val="0078729F"/>
    <w:rsid w:val="00841FD0"/>
    <w:rsid w:val="00846F33"/>
    <w:rsid w:val="0088673C"/>
    <w:rsid w:val="008C4978"/>
    <w:rsid w:val="008E1EAF"/>
    <w:rsid w:val="00987CDD"/>
    <w:rsid w:val="009C3899"/>
    <w:rsid w:val="009C4A49"/>
    <w:rsid w:val="009C6418"/>
    <w:rsid w:val="00A61281"/>
    <w:rsid w:val="00A8549A"/>
    <w:rsid w:val="00AC65BB"/>
    <w:rsid w:val="00AD39C4"/>
    <w:rsid w:val="00AE4069"/>
    <w:rsid w:val="00BB1667"/>
    <w:rsid w:val="00BC4404"/>
    <w:rsid w:val="00C27C12"/>
    <w:rsid w:val="00C3760B"/>
    <w:rsid w:val="00C41471"/>
    <w:rsid w:val="00C5221D"/>
    <w:rsid w:val="00C86617"/>
    <w:rsid w:val="00C91009"/>
    <w:rsid w:val="00CE570B"/>
    <w:rsid w:val="00D15DFE"/>
    <w:rsid w:val="00DB0BD1"/>
    <w:rsid w:val="00DE5331"/>
    <w:rsid w:val="00E146AD"/>
    <w:rsid w:val="00E424BA"/>
    <w:rsid w:val="00E70F9E"/>
    <w:rsid w:val="00E93A8D"/>
    <w:rsid w:val="00ED129B"/>
    <w:rsid w:val="00F01B71"/>
    <w:rsid w:val="00F43756"/>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2.xml><?xml version="1.0" encoding="utf-8"?>
<ds:datastoreItem xmlns:ds="http://schemas.openxmlformats.org/officeDocument/2006/customXml" ds:itemID="{CE7C68BF-DC65-494B-A7E8-CA2BC56A7B68}">
  <ds:schemaRefs>
    <ds:schemaRef ds:uri="http://schemas.openxmlformats.org/officeDocument/2006/bibliography"/>
  </ds:schemaRefs>
</ds:datastoreItem>
</file>

<file path=customXml/itemProps3.xml><?xml version="1.0" encoding="utf-8"?>
<ds:datastoreItem xmlns:ds="http://schemas.openxmlformats.org/officeDocument/2006/customXml" ds:itemID="{A4832FCD-D7DA-47AE-BD37-24EAE669C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GDSXSR</dc:creator>
  <keywords/>
  <dc:description/>
  <lastModifiedBy>Des. Sérgio Rocha</lastModifiedBy>
  <revision>15</revision>
  <dcterms:created xsi:type="dcterms:W3CDTF">2025-02-13T17:24:00.0000000Z</dcterms:created>
  <dcterms:modified xsi:type="dcterms:W3CDTF">2025-02-18T01:02:54.9783908Z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