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95F27C1">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26738FE" w:rsidP="4107E398">
            <w:pPr>
              <w:pStyle w:val="paragraph"/>
              <w:spacing w:before="0" w:beforeAutospacing="0" w:after="0" w:afterAutospacing="0"/>
              <w:ind w:left="255"/>
              <w:jc w:val="both"/>
              <w:textAlignment w:val="baseline"/>
              <w:rPr>
                <w:rFonts w:ascii="Segoe UI" w:hAnsi="Segoe UI" w:cs="Segoe UI"/>
                <w:sz w:val="18"/>
                <w:szCs w:val="18"/>
              </w:rPr>
            </w:pPr>
            <w:r w:rsidRPr="395F27C1">
              <w:rPr>
                <w:rStyle w:val="normaltextrun"/>
                <w:rFonts w:ascii="Calibri" w:hAnsi="Calibri" w:cs="Calibri"/>
                <w:color w:val="000000" w:themeColor="text1"/>
                <w:sz w:val="20"/>
                <w:szCs w:val="20"/>
              </w:rPr>
              <w:t xml:space="preserve">Tribunal de Justiça do Distrito Federal e dos </w:t>
            </w:r>
            <w:commentRangeStart w:id="0"/>
            <w:commentRangeStart w:id="1"/>
            <w:r w:rsidRPr="395F27C1">
              <w:rPr>
                <w:rStyle w:val="normaltextrun"/>
                <w:rFonts w:ascii="Calibri" w:hAnsi="Calibri" w:cs="Calibri"/>
                <w:color w:val="000000" w:themeColor="text1"/>
                <w:sz w:val="20"/>
                <w:szCs w:val="20"/>
              </w:rPr>
              <w:t>Territóri</w:t>
            </w:r>
            <w:commentRangeStart w:id="2"/>
            <w:commentRangeStart w:id="3"/>
            <w:commentRangeStart w:id="4"/>
            <w:r w:rsidRPr="395F27C1">
              <w:rPr>
                <w:rStyle w:val="normaltextrun"/>
                <w:rFonts w:ascii="Calibri" w:hAnsi="Calibri" w:cs="Calibri"/>
                <w:color w:val="000000" w:themeColor="text1"/>
                <w:sz w:val="20"/>
                <w:szCs w:val="20"/>
              </w:rPr>
              <w:t>o</w:t>
            </w:r>
            <w:commentRangeEnd w:id="2"/>
            <w:r w:rsidR="00264107" w:rsidRPr="395F27C1">
              <w:rPr>
                <w:rStyle w:val="Refdecomentrio"/>
                <w:rFonts w:ascii="Calibri" w:hAnsi="Calibri" w:cs="Calibri"/>
                <w:color w:val="000000" w:themeColor="text1"/>
                <w:sz w:val="20"/>
                <w:szCs w:val="20"/>
              </w:rPr>
              <w:commentReference w:id="2"/>
            </w:r>
            <w:commentRangeEnd w:id="3"/>
            <w:r w:rsidRPr="395F27C1">
              <w:rPr>
                <w:rStyle w:val="Refdecomentrio"/>
                <w:rFonts w:ascii="Calibri" w:hAnsi="Calibri" w:cs="Calibri"/>
                <w:color w:val="000000" w:themeColor="text1"/>
                <w:sz w:val="20"/>
                <w:szCs w:val="20"/>
              </w:rPr>
              <w:commentReference w:id="3"/>
            </w:r>
            <w:commentRangeEnd w:id="4"/>
            <w:r w:rsidRPr="395F27C1">
              <w:rPr>
                <w:rStyle w:val="Refdecomentrio"/>
                <w:rFonts w:ascii="Calibri" w:hAnsi="Calibri" w:cs="Calibri"/>
                <w:color w:val="000000" w:themeColor="text1"/>
                <w:sz w:val="20"/>
                <w:szCs w:val="20"/>
              </w:rPr>
              <w:commentReference w:id="4"/>
            </w:r>
            <w:r w:rsidRPr="395F27C1">
              <w:rPr>
                <w:rStyle w:val="normaltextrun"/>
                <w:rFonts w:ascii="Calibri" w:hAnsi="Calibri" w:cs="Calibri"/>
                <w:color w:val="000000" w:themeColor="text1"/>
                <w:sz w:val="20"/>
                <w:szCs w:val="20"/>
              </w:rPr>
              <w:t>s</w:t>
            </w:r>
            <w:r w:rsidRPr="395F27C1">
              <w:rPr>
                <w:rStyle w:val="eop"/>
                <w:rFonts w:ascii="Calibri" w:hAnsi="Calibri" w:cs="Calibri"/>
                <w:color w:val="000000" w:themeColor="text1"/>
                <w:sz w:val="20"/>
                <w:szCs w:val="20"/>
              </w:rPr>
              <w:t> </w:t>
            </w:r>
            <w:commentRangeEnd w:id="0"/>
            <w:r w:rsidR="00264107">
              <w:rPr>
                <w:rStyle w:val="Refdecomentrio"/>
                <w:rFonts w:ascii="Segoe UI" w:hAnsi="Segoe UI" w:cs="Segoe UI"/>
                <w:sz w:val="18"/>
                <w:szCs w:val="18"/>
              </w:rPr>
              <w:commentReference w:id="0"/>
            </w:r>
            <w:commentRangeEnd w:id="1"/>
            <w:r>
              <w:rPr>
                <w:rStyle w:val="Refdecomentrio"/>
                <w:rFonts w:ascii="Segoe UI" w:hAnsi="Segoe UI" w:cs="Segoe UI"/>
                <w:sz w:val="18"/>
                <w:szCs w:val="18"/>
              </w:rPr>
              <w:commentReference w:id="1"/>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4107E398">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4107E398">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4107E398">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08F8C2C8" w:rsidR="00770E7F" w:rsidRPr="009F36E1" w:rsidRDefault="0093754A" w:rsidP="001939F3">
            <w:pPr>
              <w:ind w:right="-675"/>
              <w:rPr>
                <w:rFonts w:ascii="Arial" w:hAnsi="Arial" w:cs="Arial"/>
                <w:sz w:val="28"/>
                <w:szCs w:val="28"/>
              </w:rPr>
            </w:pPr>
            <w:r w:rsidRPr="4107E398">
              <w:rPr>
                <w:rFonts w:ascii="Arial" w:hAnsi="Arial" w:cs="Arial"/>
                <w:sz w:val="28"/>
                <w:szCs w:val="28"/>
              </w:rPr>
              <w:t>07</w:t>
            </w:r>
            <w:r w:rsidR="254F95E1" w:rsidRPr="4107E398">
              <w:rPr>
                <w:rFonts w:ascii="Arial" w:hAnsi="Arial" w:cs="Arial"/>
                <w:sz w:val="28"/>
                <w:szCs w:val="28"/>
              </w:rPr>
              <w:t>12312-91.2025.8.07.0010</w:t>
            </w:r>
          </w:p>
        </w:tc>
      </w:tr>
      <w:tr w:rsidR="00770E7F" w:rsidRPr="009F36E1" w14:paraId="48ED7BFE" w14:textId="77777777" w:rsidTr="4107E398">
        <w:trPr>
          <w:cantSplit/>
          <w:trHeight w:val="397"/>
        </w:trPr>
        <w:tc>
          <w:tcPr>
            <w:tcW w:w="3686" w:type="dxa"/>
            <w:vAlign w:val="center"/>
          </w:tcPr>
          <w:p w14:paraId="272F493B" w14:textId="1AD7452F" w:rsidR="00770E7F" w:rsidRPr="00F63CDB" w:rsidRDefault="00000000"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6E1BC328" w:rsidR="00770E7F" w:rsidRPr="009F36E1" w:rsidRDefault="32D70703" w:rsidP="001939F3">
            <w:r w:rsidRPr="4107E398">
              <w:rPr>
                <w:rFonts w:ascii="Arial" w:hAnsi="Arial" w:cs="Arial"/>
                <w:sz w:val="28"/>
                <w:szCs w:val="28"/>
              </w:rPr>
              <w:t>MARIA PEREIRA DE BRITO</w:t>
            </w:r>
          </w:p>
        </w:tc>
      </w:tr>
      <w:tr w:rsidR="00AF1BFD" w:rsidRPr="009F36E1" w14:paraId="5F861094" w14:textId="77777777" w:rsidTr="4107E398">
        <w:trPr>
          <w:cantSplit/>
          <w:trHeight w:val="397"/>
        </w:trPr>
        <w:tc>
          <w:tcPr>
            <w:tcW w:w="3686" w:type="dxa"/>
            <w:vAlign w:val="center"/>
          </w:tcPr>
          <w:p w14:paraId="52EB426A" w14:textId="77777777" w:rsidR="00AF1BFD" w:rsidRPr="009F36E1" w:rsidRDefault="00000000"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3FA9C586" w:rsidR="00AF1BFD" w:rsidRPr="009F36E1" w:rsidRDefault="04EEDBD3" w:rsidP="001939F3">
            <w:pPr>
              <w:ind w:right="-74"/>
            </w:pPr>
            <w:r w:rsidRPr="4107E398">
              <w:rPr>
                <w:rFonts w:ascii="Arial" w:hAnsi="Arial" w:cs="Arial"/>
                <w:sz w:val="28"/>
                <w:szCs w:val="28"/>
              </w:rPr>
              <w:t>COMPANHIA DE SANEAMENTO AMBIENTAL DO DISTRITO FEDERAL</w:t>
            </w:r>
            <w:r w:rsidR="004C148F">
              <w:rPr>
                <w:rFonts w:ascii="Arial" w:hAnsi="Arial" w:cs="Arial"/>
                <w:sz w:val="28"/>
                <w:szCs w:val="28"/>
              </w:rPr>
              <w:t xml:space="preserve"> - CAESB </w:t>
            </w:r>
          </w:p>
        </w:tc>
      </w:tr>
      <w:tr w:rsidR="00770E7F" w:rsidRPr="009F36E1" w14:paraId="640EA867" w14:textId="77777777" w:rsidTr="4107E398">
        <w:trPr>
          <w:cantSplit/>
          <w:trHeight w:val="397"/>
        </w:trPr>
        <w:tc>
          <w:tcPr>
            <w:tcW w:w="3686" w:type="dxa"/>
            <w:vAlign w:val="center"/>
          </w:tcPr>
          <w:p w14:paraId="34627CFC" w14:textId="77777777" w:rsidR="00770E7F" w:rsidRPr="009F36E1" w:rsidRDefault="00770E7F" w:rsidP="001939F3">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366B6134" w:rsidR="00886ABA" w:rsidRDefault="00886ABA" w:rsidP="00A56326">
      <w:pPr>
        <w:spacing w:after="0" w:line="360" w:lineRule="auto"/>
        <w:rPr>
          <w:rFonts w:ascii="Arial" w:hAnsi="Arial" w:cs="Arial"/>
          <w:sz w:val="28"/>
          <w:szCs w:val="28"/>
        </w:rPr>
      </w:pPr>
      <w:commentRangeStart w:id="5"/>
      <w:r w:rsidRPr="4107E398">
        <w:rPr>
          <w:rFonts w:ascii="Arial" w:hAnsi="Arial" w:cs="Arial"/>
          <w:b/>
          <w:bCs/>
          <w:sz w:val="28"/>
          <w:szCs w:val="28"/>
        </w:rPr>
        <w:t>EMENT</w:t>
      </w:r>
      <w:r w:rsidR="004556F2" w:rsidRPr="4107E398">
        <w:rPr>
          <w:rFonts w:ascii="Arial" w:hAnsi="Arial" w:cs="Arial"/>
          <w:b/>
          <w:bCs/>
          <w:sz w:val="28"/>
          <w:szCs w:val="28"/>
        </w:rPr>
        <w:t>A</w:t>
      </w:r>
      <w:commentRangeEnd w:id="5"/>
      <w:r>
        <w:rPr>
          <w:rStyle w:val="Refdecomentrio"/>
          <w:rFonts w:ascii="Arial" w:hAnsi="Arial" w:cs="Arial"/>
          <w:sz w:val="28"/>
          <w:szCs w:val="28"/>
        </w:rPr>
        <w:commentReference w:id="5"/>
      </w:r>
    </w:p>
    <w:p w14:paraId="6BF92DBC" w14:textId="446A7F04" w:rsidR="00886ABA" w:rsidRDefault="004556F2" w:rsidP="00886ABA">
      <w:pPr>
        <w:spacing w:after="0" w:line="360" w:lineRule="auto"/>
        <w:jc w:val="both"/>
        <w:rPr>
          <w:rFonts w:ascii="Arial" w:hAnsi="Arial" w:cs="Arial"/>
          <w:sz w:val="28"/>
          <w:szCs w:val="28"/>
        </w:rPr>
      </w:pPr>
      <w:r>
        <w:rPr>
          <w:rFonts w:ascii="Arial" w:hAnsi="Arial" w:cs="Arial"/>
          <w:sz w:val="28"/>
          <w:szCs w:val="28"/>
        </w:rPr>
        <w:t xml:space="preserve">APELAÇÃO CÍVEL. DIREITO DO CONSUMIDOR. DECLARAÇÃO DE INEXIGIBILIDADE DE DÉBITO. CAESB. FATURA DE ÁGUA. OBRIGAÇÃO DE NATUREZA PESSOAL. DÉBITO PRETÉRITO. CONDIÇÃO DE USUÁRIA DA AUTORA NO PERÍODO COBRADO. ÔNUS DA PROVA DA CONCESSIONÁRIA. NÃO DEMONSTRAÇÃO. INEXIGIBILIDADE DO DÉBITO. RECURSO PROVIDO.  </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0DEE3D18" w14:textId="77777777" w:rsidR="000F7187" w:rsidRDefault="00000000">
      <w:pPr>
        <w:spacing w:after="0" w:line="360" w:lineRule="auto"/>
        <w:jc w:val="both"/>
      </w:pPr>
      <w:commentRangeStart w:id="6"/>
      <w:r>
        <w:rPr>
          <w:rFonts w:ascii="Arial" w:eastAsia="Arial" w:hAnsi="Arial" w:cs="Arial"/>
          <w:sz w:val="28"/>
          <w:szCs w:val="28"/>
        </w:rPr>
        <w:t xml:space="preserve">1. </w:t>
      </w:r>
      <w:r>
        <w:rPr>
          <w:rFonts w:ascii="Arial" w:eastAsia="Arial" w:hAnsi="Arial" w:cs="Arial"/>
          <w:color w:val="808080"/>
          <w:sz w:val="28"/>
          <w:szCs w:val="28"/>
        </w:rPr>
        <w:t>Ação</w:t>
      </w:r>
      <w:r>
        <w:rPr>
          <w:rFonts w:ascii="Arial" w:eastAsia="Arial" w:hAnsi="Arial" w:cs="Arial"/>
          <w:sz w:val="28"/>
          <w:szCs w:val="28"/>
        </w:rPr>
        <w:t xml:space="preserve"> </w:t>
      </w:r>
      <w:r>
        <w:rPr>
          <w:rFonts w:ascii="Arial" w:eastAsia="Arial" w:hAnsi="Arial" w:cs="Arial"/>
          <w:color w:val="808080"/>
          <w:sz w:val="28"/>
          <w:szCs w:val="28"/>
        </w:rPr>
        <w:t>de declaração de inexigibilidade de débito de fornecimento de água proposta por pessoa natural, assistida</w:t>
      </w:r>
      <w:r>
        <w:rPr>
          <w:rFonts w:ascii="Arial" w:eastAsia="Arial" w:hAnsi="Arial" w:cs="Arial"/>
          <w:sz w:val="28"/>
          <w:szCs w:val="28"/>
        </w:rPr>
        <w:t xml:space="preserve"> pela </w:t>
      </w:r>
      <w:r>
        <w:rPr>
          <w:rFonts w:ascii="Arial" w:eastAsia="Arial" w:hAnsi="Arial" w:cs="Arial"/>
          <w:color w:val="808080"/>
          <w:sz w:val="28"/>
          <w:szCs w:val="28"/>
        </w:rPr>
        <w:t>Defensoria Pública do Distrito Federal,</w:t>
      </w:r>
      <w:r>
        <w:rPr>
          <w:rFonts w:ascii="Arial" w:eastAsia="Arial" w:hAnsi="Arial" w:cs="Arial"/>
          <w:sz w:val="28"/>
          <w:szCs w:val="28"/>
        </w:rPr>
        <w:t xml:space="preserve"> contra </w:t>
      </w:r>
      <w:r>
        <w:rPr>
          <w:rFonts w:ascii="Arial" w:eastAsia="Arial" w:hAnsi="Arial" w:cs="Arial"/>
          <w:color w:val="808080"/>
          <w:sz w:val="28"/>
          <w:szCs w:val="28"/>
        </w:rPr>
        <w:t>a Companhia de Saneamento Ambiental do Distrito Federal – CAESB,</w:t>
      </w:r>
      <w:r>
        <w:rPr>
          <w:rFonts w:ascii="Arial" w:eastAsia="Arial" w:hAnsi="Arial" w:cs="Arial"/>
          <w:sz w:val="28"/>
          <w:szCs w:val="28"/>
        </w:rPr>
        <w:t xml:space="preserve"> que</w:t>
      </w:r>
      <w:r>
        <w:rPr>
          <w:rFonts w:ascii="Arial" w:eastAsia="Arial" w:hAnsi="Arial" w:cs="Arial"/>
          <w:color w:val="808080"/>
          <w:sz w:val="28"/>
          <w:szCs w:val="28"/>
        </w:rPr>
        <w:t xml:space="preserve"> vinculou ao CPF da autora, irmã da antiga usuária falecida, débitos pretéritos da unidade consumidora (R$ 1.765,64).</w:t>
      </w:r>
    </w:p>
    <w:p w14:paraId="07AA6FCE" w14:textId="77777777" w:rsidR="000F7187" w:rsidRDefault="00000000">
      <w:pPr>
        <w:spacing w:after="0" w:line="360" w:lineRule="auto"/>
        <w:jc w:val="both"/>
      </w:pPr>
      <w:r>
        <w:rPr>
          <w:rFonts w:ascii="Arial" w:eastAsia="Arial" w:hAnsi="Arial" w:cs="Arial"/>
          <w:color w:val="808080"/>
          <w:sz w:val="28"/>
          <w:szCs w:val="28"/>
        </w:rPr>
        <w:t>2. A sentença</w:t>
      </w:r>
      <w:r>
        <w:rPr>
          <w:rFonts w:ascii="Arial" w:eastAsia="Arial" w:hAnsi="Arial" w:cs="Arial"/>
          <w:sz w:val="28"/>
          <w:szCs w:val="28"/>
        </w:rPr>
        <w:t xml:space="preserve"> julgou parcialmente procedentes os pedidos para declarar a inexigibilidade de parte dos débitos cobrados, manter a </w:t>
      </w:r>
      <w:r>
        <w:rPr>
          <w:rFonts w:ascii="Arial" w:eastAsia="Arial" w:hAnsi="Arial" w:cs="Arial"/>
          <w:sz w:val="28"/>
          <w:szCs w:val="28"/>
        </w:rPr>
        <w:lastRenderedPageBreak/>
        <w:t>exigibilidade da fatura de dezembro de 2020, determinar a exclusão dos apontamentos e protestos relativos aos débitos reconhecidos como inexigíveis, vedar a suspensão do serviço com fundamento nessas cobranças, fixar multas para eventual descumprimento das obrigações impostas e reconhecer a sucumbência recíproca.</w:t>
      </w:r>
    </w:p>
    <w:p w14:paraId="42D9006B" w14:textId="26B29A08" w:rsidR="0A299346" w:rsidRDefault="0A299346" w:rsidP="395F27C1">
      <w:pPr>
        <w:spacing w:after="0" w:line="360" w:lineRule="auto"/>
        <w:jc w:val="both"/>
        <w:rPr>
          <w:rFonts w:ascii="Arial" w:eastAsia="Arial" w:hAnsi="Arial" w:cs="Arial"/>
          <w:sz w:val="28"/>
          <w:szCs w:val="28"/>
        </w:rPr>
      </w:pPr>
      <w:r>
        <w:rPr>
          <w:rFonts w:ascii="Arial" w:eastAsia="Arial" w:hAnsi="Arial" w:cs="Arial"/>
          <w:color w:val="808080"/>
          <w:sz w:val="28"/>
          <w:szCs w:val="28"/>
        </w:rPr>
        <w:t>3.</w:t>
      </w:r>
      <w:r>
        <w:rPr>
          <w:rFonts w:ascii="Arial" w:eastAsia="Arial" w:hAnsi="Arial" w:cs="Arial"/>
          <w:sz w:val="28"/>
          <w:szCs w:val="28"/>
        </w:rPr>
        <w:t xml:space="preserve"> A autora </w:t>
      </w:r>
      <w:r>
        <w:rPr>
          <w:rFonts w:ascii="Arial" w:eastAsia="Arial" w:hAnsi="Arial" w:cs="Arial"/>
          <w:color w:val="808080"/>
          <w:sz w:val="28"/>
          <w:szCs w:val="28"/>
        </w:rPr>
        <w:t>apela para</w:t>
      </w:r>
      <w:r>
        <w:rPr>
          <w:rFonts w:ascii="Arial" w:eastAsia="Arial" w:hAnsi="Arial" w:cs="Arial"/>
          <w:sz w:val="28"/>
          <w:szCs w:val="28"/>
        </w:rPr>
        <w:t xml:space="preserve"> que a cobrança referente a dezembro de 2020 </w:t>
      </w:r>
      <w:r>
        <w:rPr>
          <w:rFonts w:ascii="Arial" w:eastAsia="Arial" w:hAnsi="Arial" w:cs="Arial"/>
          <w:color w:val="808080"/>
          <w:sz w:val="28"/>
          <w:szCs w:val="28"/>
        </w:rPr>
        <w:t>também seja declarada inexigível, por ser pessoal</w:t>
      </w:r>
      <w:r>
        <w:rPr>
          <w:rFonts w:ascii="Arial" w:eastAsia="Arial" w:hAnsi="Arial" w:cs="Arial"/>
          <w:sz w:val="28"/>
          <w:szCs w:val="28"/>
        </w:rPr>
        <w:t xml:space="preserve"> a </w:t>
      </w:r>
      <w:r>
        <w:rPr>
          <w:rFonts w:ascii="Arial" w:eastAsia="Arial" w:hAnsi="Arial" w:cs="Arial"/>
          <w:color w:val="808080"/>
          <w:sz w:val="28"/>
          <w:szCs w:val="28"/>
        </w:rPr>
        <w:t>obrigação</w:t>
      </w:r>
      <w:r>
        <w:rPr>
          <w:rFonts w:ascii="Arial" w:eastAsia="Arial" w:hAnsi="Arial" w:cs="Arial"/>
          <w:sz w:val="28"/>
          <w:szCs w:val="28"/>
        </w:rPr>
        <w:t xml:space="preserve"> </w:t>
      </w:r>
      <w:r>
        <w:rPr>
          <w:rFonts w:ascii="Arial" w:eastAsia="Arial" w:hAnsi="Arial" w:cs="Arial"/>
          <w:color w:val="808080"/>
          <w:sz w:val="28"/>
          <w:szCs w:val="28"/>
        </w:rPr>
        <w:t>decorrente do fornecimento de água, e para que os</w:t>
      </w:r>
      <w:r>
        <w:rPr>
          <w:rFonts w:ascii="Arial" w:eastAsia="Arial" w:hAnsi="Arial" w:cs="Arial"/>
          <w:sz w:val="28"/>
          <w:szCs w:val="28"/>
        </w:rPr>
        <w:t xml:space="preserve"> ônus sucumbenciais </w:t>
      </w:r>
      <w:r>
        <w:rPr>
          <w:rFonts w:ascii="Arial" w:eastAsia="Arial" w:hAnsi="Arial" w:cs="Arial"/>
          <w:color w:val="808080"/>
          <w:sz w:val="28"/>
          <w:szCs w:val="28"/>
        </w:rPr>
        <w:t>sejam atribuídos</w:t>
      </w:r>
      <w:r>
        <w:rPr>
          <w:rFonts w:ascii="Arial" w:eastAsia="Arial" w:hAnsi="Arial" w:cs="Arial"/>
          <w:sz w:val="28"/>
          <w:szCs w:val="28"/>
        </w:rPr>
        <w:t xml:space="preserve"> apenas </w:t>
      </w:r>
      <w:r>
        <w:rPr>
          <w:rFonts w:ascii="Arial" w:eastAsia="Arial" w:hAnsi="Arial" w:cs="Arial"/>
          <w:color w:val="808080"/>
          <w:sz w:val="28"/>
          <w:szCs w:val="28"/>
        </w:rPr>
        <w:t>à</w:t>
      </w:r>
      <w:r>
        <w:rPr>
          <w:rFonts w:ascii="Arial" w:eastAsia="Arial" w:hAnsi="Arial" w:cs="Arial"/>
          <w:sz w:val="28"/>
          <w:szCs w:val="28"/>
        </w:rPr>
        <w:t xml:space="preserve"> </w:t>
      </w:r>
      <w:r>
        <w:rPr>
          <w:rFonts w:ascii="Arial" w:eastAsia="Arial" w:hAnsi="Arial" w:cs="Arial"/>
          <w:color w:val="808080"/>
          <w:sz w:val="28"/>
          <w:szCs w:val="28"/>
        </w:rPr>
        <w:t>ré</w:t>
      </w:r>
      <w:r>
        <w:rPr>
          <w:rFonts w:ascii="Arial" w:eastAsia="Arial" w:hAnsi="Arial" w:cs="Arial"/>
          <w:sz w:val="28"/>
          <w:szCs w:val="28"/>
        </w:rPr>
        <w:t>.</w:t>
      </w:r>
      <w:commentRangeEnd w:id="6"/>
      <w:r>
        <w:rPr>
          <w:rStyle w:val="Refdecomentrio"/>
          <w:rFonts w:ascii="Arial" w:eastAsia="Arial" w:hAnsi="Arial" w:cs="Arial"/>
          <w:sz w:val="28"/>
          <w:szCs w:val="28"/>
        </w:rPr>
        <w:commentReference w:id="6"/>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001B8062" w14:textId="2BF96BC0" w:rsidR="2A569C3D" w:rsidRDefault="2A569C3D" w:rsidP="395F27C1">
      <w:pPr>
        <w:spacing w:after="0" w:line="360" w:lineRule="auto"/>
        <w:jc w:val="both"/>
        <w:rPr>
          <w:rFonts w:ascii="Arial" w:eastAsia="Arial" w:hAnsi="Arial" w:cs="Arial"/>
          <w:sz w:val="28"/>
          <w:szCs w:val="28"/>
        </w:rPr>
      </w:pPr>
      <w:r>
        <w:rPr>
          <w:rFonts w:ascii="Arial" w:eastAsia="Arial" w:hAnsi="Arial" w:cs="Arial"/>
          <w:color w:val="808080"/>
          <w:sz w:val="28"/>
          <w:szCs w:val="28"/>
        </w:rPr>
        <w:t>4</w:t>
      </w:r>
      <w:r>
        <w:rPr>
          <w:rFonts w:ascii="Arial" w:eastAsia="Arial" w:hAnsi="Arial" w:cs="Arial"/>
          <w:sz w:val="28"/>
          <w:szCs w:val="28"/>
        </w:rPr>
        <w:t xml:space="preserve">. </w:t>
      </w:r>
      <w:r>
        <w:rPr>
          <w:rFonts w:ascii="Arial" w:eastAsia="Arial" w:hAnsi="Arial" w:cs="Arial"/>
          <w:color w:val="808080"/>
          <w:sz w:val="28"/>
          <w:szCs w:val="28"/>
        </w:rPr>
        <w:t>A</w:t>
      </w:r>
      <w:r>
        <w:rPr>
          <w:rFonts w:ascii="Arial" w:eastAsia="Arial" w:hAnsi="Arial" w:cs="Arial"/>
          <w:sz w:val="28"/>
          <w:szCs w:val="28"/>
        </w:rPr>
        <w:t xml:space="preserve"> </w:t>
      </w:r>
      <w:r>
        <w:rPr>
          <w:rFonts w:ascii="Arial" w:eastAsia="Arial" w:hAnsi="Arial" w:cs="Arial"/>
          <w:color w:val="808080"/>
          <w:sz w:val="28"/>
          <w:szCs w:val="28"/>
        </w:rPr>
        <w:t>questão</w:t>
      </w:r>
      <w:r>
        <w:rPr>
          <w:rFonts w:ascii="Arial" w:eastAsia="Arial" w:hAnsi="Arial" w:cs="Arial"/>
          <w:sz w:val="28"/>
          <w:szCs w:val="28"/>
        </w:rPr>
        <w:t xml:space="preserve"> em discussão </w:t>
      </w:r>
      <w:r>
        <w:rPr>
          <w:rFonts w:ascii="Arial" w:eastAsia="Arial" w:hAnsi="Arial" w:cs="Arial"/>
          <w:color w:val="808080"/>
          <w:sz w:val="28"/>
          <w:szCs w:val="28"/>
        </w:rPr>
        <w:t>consiste em</w:t>
      </w:r>
      <w:r>
        <w:rPr>
          <w:rFonts w:ascii="Arial" w:eastAsia="Arial" w:hAnsi="Arial" w:cs="Arial"/>
          <w:sz w:val="28"/>
          <w:szCs w:val="28"/>
        </w:rPr>
        <w:t xml:space="preserve"> saber se a autora pode ser responsabilizada pelo débito referente </w:t>
      </w:r>
      <w:r>
        <w:rPr>
          <w:rFonts w:ascii="Arial" w:eastAsia="Arial" w:hAnsi="Arial" w:cs="Arial"/>
          <w:color w:val="808080"/>
          <w:sz w:val="28"/>
          <w:szCs w:val="28"/>
        </w:rPr>
        <w:t>a</w:t>
      </w:r>
      <w:r>
        <w:rPr>
          <w:rFonts w:ascii="Arial" w:eastAsia="Arial" w:hAnsi="Arial" w:cs="Arial"/>
          <w:sz w:val="28"/>
          <w:szCs w:val="28"/>
        </w:rPr>
        <w:t xml:space="preserve"> dezembro de 2020, à luz da natureza pessoal da obrigação decorrente do fornecimento de água e das provas produzidas nos autos.</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40DD0581" w14:textId="71802766" w:rsidR="32857CBF" w:rsidRDefault="32857CBF" w:rsidP="395F27C1">
      <w:pPr>
        <w:spacing w:after="0" w:line="360" w:lineRule="auto"/>
        <w:jc w:val="both"/>
        <w:rPr>
          <w:rFonts w:ascii="Arial" w:eastAsia="Arial" w:hAnsi="Arial" w:cs="Arial"/>
          <w:sz w:val="28"/>
          <w:szCs w:val="28"/>
        </w:rPr>
      </w:pPr>
      <w:r>
        <w:rPr>
          <w:rFonts w:ascii="Arial" w:eastAsia="Arial" w:hAnsi="Arial" w:cs="Arial"/>
          <w:color w:val="808080"/>
          <w:sz w:val="28"/>
          <w:szCs w:val="28"/>
        </w:rPr>
        <w:t>5</w:t>
      </w:r>
      <w:r>
        <w:rPr>
          <w:rFonts w:ascii="Arial" w:eastAsia="Arial" w:hAnsi="Arial" w:cs="Arial"/>
          <w:sz w:val="28"/>
          <w:szCs w:val="28"/>
        </w:rPr>
        <w:t>. Os débitos decorrentes do fornecimento de água possuem natureza pessoal, devendo a cobrança ser direcionada à pessoa que efetivamente usufruiu do serviço.</w:t>
      </w:r>
    </w:p>
    <w:p w14:paraId="5E45D9CD" w14:textId="7B46D49F" w:rsidR="10F69169" w:rsidRDefault="10F69169" w:rsidP="395F27C1">
      <w:pPr>
        <w:spacing w:after="0" w:line="360" w:lineRule="auto"/>
        <w:jc w:val="both"/>
      </w:pPr>
      <w:commentRangeStart w:id="7"/>
      <w:r>
        <w:rPr>
          <w:rFonts w:ascii="Arial" w:eastAsia="Arial" w:hAnsi="Arial" w:cs="Arial"/>
          <w:color w:val="808080"/>
          <w:sz w:val="28"/>
          <w:szCs w:val="28"/>
        </w:rPr>
        <w:t>6</w:t>
      </w:r>
      <w:r>
        <w:rPr>
          <w:rFonts w:ascii="Arial" w:eastAsia="Arial" w:hAnsi="Arial" w:cs="Arial"/>
          <w:sz w:val="28"/>
          <w:szCs w:val="28"/>
        </w:rPr>
        <w:t xml:space="preserve">. A imputação da cobrança exige demonstração de que o destinatário efetivamente usufruiu do serviço, </w:t>
      </w:r>
      <w:r>
        <w:rPr>
          <w:rFonts w:ascii="Arial" w:eastAsia="Arial" w:hAnsi="Arial" w:cs="Arial"/>
          <w:color w:val="808080"/>
          <w:sz w:val="28"/>
          <w:szCs w:val="28"/>
        </w:rPr>
        <w:t>e</w:t>
      </w:r>
      <w:r>
        <w:rPr>
          <w:rFonts w:ascii="Arial" w:eastAsia="Arial" w:hAnsi="Arial" w:cs="Arial"/>
          <w:sz w:val="28"/>
          <w:szCs w:val="28"/>
        </w:rPr>
        <w:t xml:space="preserve"> </w:t>
      </w:r>
      <w:r>
        <w:rPr>
          <w:rFonts w:ascii="Arial" w:eastAsia="Arial" w:hAnsi="Arial" w:cs="Arial"/>
          <w:color w:val="808080"/>
          <w:sz w:val="28"/>
          <w:szCs w:val="28"/>
        </w:rPr>
        <w:t>a</w:t>
      </w:r>
      <w:r>
        <w:rPr>
          <w:rFonts w:ascii="Arial" w:eastAsia="Arial" w:hAnsi="Arial" w:cs="Arial"/>
          <w:sz w:val="28"/>
          <w:szCs w:val="28"/>
        </w:rPr>
        <w:t xml:space="preserve"> concessionária</w:t>
      </w:r>
      <w:r>
        <w:rPr>
          <w:rFonts w:ascii="Arial" w:eastAsia="Arial" w:hAnsi="Arial" w:cs="Arial"/>
          <w:color w:val="808080"/>
          <w:sz w:val="28"/>
          <w:szCs w:val="28"/>
        </w:rPr>
        <w:t xml:space="preserve"> deve</w:t>
      </w:r>
      <w:r>
        <w:rPr>
          <w:rFonts w:ascii="Arial" w:eastAsia="Arial" w:hAnsi="Arial" w:cs="Arial"/>
          <w:sz w:val="28"/>
          <w:szCs w:val="28"/>
        </w:rPr>
        <w:t xml:space="preserve"> comprovar os fatos </w:t>
      </w:r>
      <w:r>
        <w:rPr>
          <w:rFonts w:ascii="Arial" w:eastAsia="Arial" w:hAnsi="Arial" w:cs="Arial"/>
          <w:color w:val="808080"/>
          <w:sz w:val="28"/>
          <w:szCs w:val="28"/>
        </w:rPr>
        <w:t>que</w:t>
      </w:r>
      <w:r>
        <w:rPr>
          <w:rFonts w:ascii="Arial" w:eastAsia="Arial" w:hAnsi="Arial" w:cs="Arial"/>
          <w:sz w:val="28"/>
          <w:szCs w:val="28"/>
        </w:rPr>
        <w:t xml:space="preserve"> </w:t>
      </w:r>
      <w:r>
        <w:rPr>
          <w:rFonts w:ascii="Arial" w:eastAsia="Arial" w:hAnsi="Arial" w:cs="Arial"/>
          <w:color w:val="808080"/>
          <w:sz w:val="28"/>
          <w:szCs w:val="28"/>
        </w:rPr>
        <w:t>legitimam</w:t>
      </w:r>
      <w:r>
        <w:rPr>
          <w:rFonts w:ascii="Arial" w:eastAsia="Arial" w:hAnsi="Arial" w:cs="Arial"/>
          <w:sz w:val="28"/>
          <w:szCs w:val="28"/>
        </w:rPr>
        <w:t xml:space="preserve"> </w:t>
      </w:r>
      <w:r>
        <w:rPr>
          <w:rFonts w:ascii="Arial" w:eastAsia="Arial" w:hAnsi="Arial" w:cs="Arial"/>
          <w:color w:val="808080"/>
          <w:sz w:val="28"/>
          <w:szCs w:val="28"/>
        </w:rPr>
        <w:t>a</w:t>
      </w:r>
      <w:r>
        <w:rPr>
          <w:rFonts w:ascii="Arial" w:eastAsia="Arial" w:hAnsi="Arial" w:cs="Arial"/>
          <w:sz w:val="28"/>
          <w:szCs w:val="28"/>
        </w:rPr>
        <w:t xml:space="preserve"> </w:t>
      </w:r>
      <w:r>
        <w:rPr>
          <w:rFonts w:ascii="Arial" w:eastAsia="Arial" w:hAnsi="Arial" w:cs="Arial"/>
          <w:color w:val="808080"/>
          <w:sz w:val="28"/>
          <w:szCs w:val="28"/>
        </w:rPr>
        <w:t>cobrança</w:t>
      </w:r>
      <w:r>
        <w:rPr>
          <w:rFonts w:ascii="Arial" w:eastAsia="Arial" w:hAnsi="Arial" w:cs="Arial"/>
          <w:sz w:val="28"/>
          <w:szCs w:val="28"/>
        </w:rPr>
        <w:t xml:space="preserve"> </w:t>
      </w:r>
      <w:r>
        <w:rPr>
          <w:rFonts w:ascii="Arial" w:eastAsia="Arial" w:hAnsi="Arial" w:cs="Arial"/>
          <w:color w:val="808080"/>
          <w:sz w:val="28"/>
          <w:szCs w:val="28"/>
        </w:rPr>
        <w:t>(CPC</w:t>
      </w:r>
      <w:r>
        <w:rPr>
          <w:rFonts w:ascii="Arial" w:eastAsia="Arial" w:hAnsi="Arial" w:cs="Arial"/>
          <w:sz w:val="28"/>
          <w:szCs w:val="28"/>
        </w:rPr>
        <w:t xml:space="preserve"> 373 II</w:t>
      </w:r>
      <w:r>
        <w:rPr>
          <w:rFonts w:ascii="Arial" w:eastAsia="Arial" w:hAnsi="Arial" w:cs="Arial"/>
          <w:color w:val="808080"/>
          <w:sz w:val="28"/>
          <w:szCs w:val="28"/>
        </w:rPr>
        <w:t>)</w:t>
      </w:r>
      <w:r>
        <w:rPr>
          <w:rFonts w:ascii="Arial" w:eastAsia="Arial" w:hAnsi="Arial" w:cs="Arial"/>
          <w:sz w:val="28"/>
          <w:szCs w:val="28"/>
        </w:rPr>
        <w:t>. A ausência dessa comprovação impede o reconhecimento da responsabilidade pelo débito.</w:t>
      </w:r>
      <w:commentRangeEnd w:id="7"/>
      <w:r>
        <w:rPr>
          <w:rStyle w:val="Refdecomentrio"/>
          <w:sz w:val="22"/>
          <w:szCs w:val="22"/>
        </w:rPr>
        <w:commentReference w:id="7"/>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6EDEC3" w14:textId="04CC055E" w:rsidR="3CAA4798" w:rsidRDefault="3CAA4798" w:rsidP="395F27C1">
      <w:pPr>
        <w:spacing w:after="0" w:line="360" w:lineRule="auto"/>
        <w:jc w:val="both"/>
      </w:pPr>
      <w:commentRangeStart w:id="8"/>
      <w:r>
        <w:rPr>
          <w:rFonts w:ascii="Arial" w:hAnsi="Arial" w:cs="Arial"/>
          <w:color w:val="808080"/>
          <w:sz w:val="28"/>
          <w:szCs w:val="28"/>
        </w:rPr>
        <w:t>7</w:t>
      </w:r>
      <w:r>
        <w:rPr>
          <w:rFonts w:ascii="Arial" w:hAnsi="Arial" w:cs="Arial"/>
          <w:sz w:val="28"/>
          <w:szCs w:val="28"/>
        </w:rPr>
        <w:t>. Deu-se provimento ao apelo da autora par</w:t>
      </w:r>
      <w:r>
        <w:rPr>
          <w:rFonts w:ascii="Arial" w:eastAsia="Arial" w:hAnsi="Arial" w:cs="Arial"/>
          <w:sz w:val="28"/>
          <w:szCs w:val="28"/>
        </w:rPr>
        <w:t>a declarar a inexigibilidade do débito referente ao mês de dezembro de 2020 e redistribuir integralmente os ônus sucumbenciais em desfavor da ré.</w:t>
      </w:r>
      <w:commentRangeEnd w:id="8"/>
      <w:r>
        <w:rPr>
          <w:rStyle w:val="Refdecomentrio"/>
          <w:sz w:val="22"/>
          <w:szCs w:val="22"/>
        </w:rPr>
        <w:commentReference w:id="8"/>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1BF1C359" w:rsidR="00382DC8" w:rsidRPr="00382DC8" w:rsidRDefault="00886ABA" w:rsidP="395F27C1">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CPC 85</w:t>
      </w:r>
      <w:r>
        <w:rPr>
          <w:rFonts w:ascii="Arial" w:eastAsia="Arial" w:hAnsi="Arial" w:cs="Arial"/>
          <w:color w:val="808080"/>
          <w:sz w:val="26"/>
          <w:szCs w:val="26"/>
        </w:rPr>
        <w:t>;</w:t>
      </w:r>
      <w:r>
        <w:rPr>
          <w:rFonts w:ascii="Arial" w:eastAsia="Arial" w:hAnsi="Arial" w:cs="Arial"/>
          <w:color w:val="000000" w:themeColor="text1"/>
          <w:sz w:val="26"/>
          <w:szCs w:val="26"/>
        </w:rPr>
        <w:t xml:space="preserve"> </w:t>
      </w:r>
      <w:r>
        <w:rPr>
          <w:rFonts w:ascii="Arial" w:eastAsia="Arial" w:hAnsi="Arial" w:cs="Arial"/>
          <w:color w:val="808080"/>
          <w:sz w:val="26"/>
          <w:szCs w:val="26"/>
        </w:rPr>
        <w:t>CPC</w:t>
      </w:r>
      <w:r>
        <w:rPr>
          <w:rFonts w:ascii="Arial" w:eastAsia="Arial" w:hAnsi="Arial" w:cs="Arial"/>
          <w:color w:val="000000" w:themeColor="text1"/>
          <w:sz w:val="26"/>
          <w:szCs w:val="26"/>
        </w:rPr>
        <w:t xml:space="preserve"> 86</w:t>
      </w:r>
      <w:r>
        <w:rPr>
          <w:rFonts w:ascii="Arial" w:eastAsia="Arial" w:hAnsi="Arial" w:cs="Arial"/>
          <w:color w:val="808080"/>
          <w:sz w:val="26"/>
          <w:szCs w:val="26"/>
        </w:rPr>
        <w:t>; CPC 373 II</w:t>
      </w:r>
      <w:r>
        <w:rPr>
          <w:rFonts w:ascii="Arial" w:eastAsia="Arial" w:hAnsi="Arial" w:cs="Arial"/>
          <w:color w:val="000000" w:themeColor="text1"/>
          <w:sz w:val="26"/>
          <w:szCs w:val="26"/>
        </w:rPr>
        <w:t>.</w:t>
      </w:r>
    </w:p>
    <w:p w14:paraId="43D43365" w14:textId="21514C48" w:rsidR="00886ABA" w:rsidRPr="00764A80" w:rsidRDefault="00886ABA" w:rsidP="395F27C1">
      <w:pPr>
        <w:spacing w:after="0" w:line="360" w:lineRule="auto"/>
        <w:jc w:val="both"/>
        <w:rPr>
          <w:rFonts w:ascii="Arial" w:eastAsia="Arial" w:hAnsi="Arial" w:cs="Arial"/>
          <w:sz w:val="26"/>
          <w:szCs w:val="26"/>
        </w:rPr>
      </w:pPr>
      <w:commentRangeStart w:id="9"/>
      <w:commentRangeStart w:id="20"/>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TJDFT, </w:t>
      </w:r>
      <w:del w:id="1020" w:author="Assessor GDSXSR" w:date="2026-10-29T20:29:44Z">
        <w:r>
          <w:rPr>
            <w:rFonts w:ascii="Arial" w:eastAsia="Arial" w:hAnsi="Arial" w:cs="Arial"/>
            <w:sz w:val="26"/>
            <w:szCs w:val="26"/>
          </w:rPr>
          <w:delText xml:space="preserve">Acórdão 2167028, 0738186</w:delText>
        </w:r>
      </w:del>
      <w:ins w:id="1021" w:author="Assessor GDSXSR" w:date="2026-10-29T20:29:44Z">
        <w:r>
          <w:rPr>
            <w:rFonts w:ascii="Arial" w:eastAsia="Arial" w:hAnsi="Arial" w:cs="Arial"/>
            <w:color w:val="808080"/>
            <w:sz w:val="26"/>
            <w:szCs w:val="26"/>
          </w:rPr>
          <w:t xml:space="preserve">0702875</w:t>
        </w:r>
      </w:ins>
      <w:r>
        <w:rPr>
          <w:rFonts w:ascii="Arial" w:eastAsia="Arial" w:hAnsi="Arial" w:cs="Arial"/>
          <w:sz w:val="26"/>
          <w:szCs w:val="26"/>
        </w:rPr>
        <w:t xml:space="preserve">-</w:t>
      </w:r>
      <w:del w:id="1022" w:author="Assessor GDSXSR" w:date="2026-10-29T20:29:44Z">
        <w:r>
          <w:rPr>
            <w:rFonts w:ascii="Arial" w:eastAsia="Arial" w:hAnsi="Arial" w:cs="Arial"/>
            <w:sz w:val="26"/>
            <w:szCs w:val="26"/>
          </w:rPr>
          <w:delText xml:space="preserve">08</w:delText>
        </w:r>
      </w:del>
      <w:ins w:id="1023" w:author="Assessor GDSXSR" w:date="2026-10-29T20:29:44Z">
        <w:r>
          <w:rPr>
            <w:rFonts w:ascii="Arial" w:eastAsia="Arial" w:hAnsi="Arial" w:cs="Arial"/>
            <w:color w:val="808080"/>
            <w:sz w:val="26"/>
            <w:szCs w:val="26"/>
          </w:rPr>
          <w:t xml:space="preserve">02</w:t>
        </w:r>
      </w:ins>
      <w:r>
        <w:rPr>
          <w:rFonts w:ascii="Arial" w:eastAsia="Arial" w:hAnsi="Arial" w:cs="Arial"/>
          <w:sz w:val="26"/>
          <w:szCs w:val="26"/>
        </w:rPr>
        <w:t xml:space="preserve">.2025.8.07.</w:t>
      </w:r>
      <w:del w:id="1024" w:author="Assessor GDSXSR" w:date="2026-10-29T20:29:44Z">
        <w:r>
          <w:rPr>
            <w:rFonts w:ascii="Arial" w:eastAsia="Arial" w:hAnsi="Arial" w:cs="Arial"/>
            <w:sz w:val="26"/>
            <w:szCs w:val="26"/>
          </w:rPr>
          <w:delText xml:space="preserve">0001</w:delText>
        </w:r>
      </w:del>
      <w:ins w:id="1025" w:author="Assessor GDSXSR" w:date="2026-10-29T20:29:44Z">
        <w:r>
          <w:rPr>
            <w:rFonts w:ascii="Arial" w:eastAsia="Arial" w:hAnsi="Arial" w:cs="Arial"/>
            <w:color w:val="808080"/>
            <w:sz w:val="26"/>
            <w:szCs w:val="26"/>
          </w:rPr>
          <w:t xml:space="preserve">0018</w:t>
        </w:r>
      </w:ins>
      <w:r>
        <w:rPr>
          <w:rFonts w:ascii="Arial" w:eastAsia="Arial" w:hAnsi="Arial" w:cs="Arial"/>
          <w:sz w:val="26"/>
          <w:szCs w:val="26"/>
        </w:rPr>
        <w:t xml:space="preserve">, Rel. Des. Aiston Henrique de Sousa, 4ª Turma Cível, j. </w:t>
      </w:r>
      <w:del w:id="1026" w:author="Assessor GDSXSR" w:date="2026-10-29T20:29:44Z">
        <w:r>
          <w:rPr>
            <w:rFonts w:ascii="Arial" w:eastAsia="Arial" w:hAnsi="Arial" w:cs="Arial"/>
            <w:sz w:val="26"/>
            <w:szCs w:val="26"/>
          </w:rPr>
          <w:delText xml:space="preserve">19</w:delText>
        </w:r>
      </w:del>
      <w:ins w:id="1027" w:author="Assessor GDSXSR" w:date="2026-10-29T20:29:44Z">
        <w:r>
          <w:rPr>
            <w:rFonts w:ascii="Arial" w:eastAsia="Arial" w:hAnsi="Arial" w:cs="Arial"/>
            <w:color w:val="808080"/>
            <w:sz w:val="26"/>
            <w:szCs w:val="26"/>
          </w:rPr>
          <w:t xml:space="preserve">11</w:t>
        </w:r>
      </w:ins>
      <w:r>
        <w:rPr>
          <w:rFonts w:ascii="Arial" w:eastAsia="Arial" w:hAnsi="Arial" w:cs="Arial"/>
          <w:sz w:val="26"/>
          <w:szCs w:val="26"/>
        </w:rPr>
        <w:t xml:space="preserve">/</w:t>
      </w:r>
      <w:del w:id="1028" w:author="Assessor GDSXSR" w:date="2026-10-29T20:29:44Z">
        <w:r>
          <w:rPr>
            <w:rFonts w:ascii="Arial" w:eastAsia="Arial" w:hAnsi="Arial" w:cs="Arial"/>
            <w:sz w:val="26"/>
            <w:szCs w:val="26"/>
          </w:rPr>
          <w:delText xml:space="preserve">08</w:delText>
        </w:r>
      </w:del>
      <w:ins w:id="1029" w:author="Assessor GDSXSR" w:date="2026-10-29T20:29:44Z">
        <w:r>
          <w:rPr>
            <w:rFonts w:ascii="Arial" w:eastAsia="Arial" w:hAnsi="Arial" w:cs="Arial"/>
            <w:color w:val="808080"/>
            <w:sz w:val="26"/>
            <w:szCs w:val="26"/>
          </w:rPr>
          <w:t xml:space="preserve">03</w:t>
        </w:r>
      </w:ins>
      <w:r>
        <w:rPr>
          <w:rFonts w:ascii="Arial" w:eastAsia="Arial" w:hAnsi="Arial" w:cs="Arial"/>
          <w:sz w:val="26"/>
          <w:szCs w:val="26"/>
        </w:rPr>
        <w:t xml:space="preserve">/2026</w:t>
      </w:r>
      <w:ins w:id="1030" w:author="Assessor GDSXSR" w:date="2026-10-29T20:29:44Z">
        <w:r>
          <w:rPr>
            <w:rFonts w:ascii="Arial" w:eastAsia="Arial" w:hAnsi="Arial" w:cs="Arial"/>
            <w:color w:val="808080"/>
            <w:sz w:val="26"/>
            <w:szCs w:val="26"/>
          </w:rPr>
          <w:t xml:space="preserve">; TJDFT</w:t>
        </w:r>
      </w:ins>
      <w:r>
        <w:rPr>
          <w:rFonts w:ascii="Arial" w:eastAsia="Arial" w:hAnsi="Arial" w:cs="Arial"/>
          <w:sz w:val="26"/>
          <w:szCs w:val="26"/>
        </w:rPr>
        <w:t xml:space="preserve">, </w:t>
      </w:r>
      <w:del w:id="1031" w:author="Assessor GDSXSR" w:date="2026-10-29T20:29:44Z">
        <w:r>
          <w:rPr>
            <w:rFonts w:ascii="Arial" w:eastAsia="Arial" w:hAnsi="Arial" w:cs="Arial"/>
            <w:sz w:val="26"/>
            <w:szCs w:val="26"/>
          </w:rPr>
          <w:delText xml:space="preserve">DJe:</w:delText>
        </w:r>
      </w:del>
      <w:ins w:id="1032" w:author="Assessor GDSXSR" w:date="2026-10-29T20:29:44Z">
        <w:r>
          <w:rPr>
            <w:rFonts w:ascii="Arial" w:eastAsia="Arial" w:hAnsi="Arial" w:cs="Arial"/>
            <w:color w:val="808080"/>
            <w:sz w:val="26"/>
            <w:szCs w:val="26"/>
          </w:rPr>
          <w:t xml:space="preserve">0704095-32.2020.8.07.0011, Rel. Des. James Eduardo Oliveira, 4ª Turma Cível, j.</w:t>
        </w:r>
      </w:ins>
      <w:r>
        <w:rPr>
          <w:rFonts w:ascii="Arial" w:eastAsia="Arial" w:hAnsi="Arial" w:cs="Arial"/>
          <w:sz w:val="26"/>
          <w:szCs w:val="26"/>
        </w:rPr>
        <w:t xml:space="preserve"> 03/</w:t>
      </w:r>
      <w:del w:id="1033" w:author="Assessor GDSXSR" w:date="2026-10-29T20:29:44Z">
        <w:r>
          <w:rPr>
            <w:rFonts w:ascii="Arial" w:eastAsia="Arial" w:hAnsi="Arial" w:cs="Arial"/>
            <w:sz w:val="26"/>
            <w:szCs w:val="26"/>
          </w:rPr>
          <w:delText xml:space="preserve">09</w:delText>
        </w:r>
      </w:del>
      <w:ins w:id="1034" w:author="Assessor GDSXSR" w:date="2026-10-29T20:29:44Z">
        <w:r>
          <w:rPr>
            <w:rFonts w:ascii="Arial" w:eastAsia="Arial" w:hAnsi="Arial" w:cs="Arial"/>
            <w:color w:val="808080"/>
            <w:sz w:val="26"/>
            <w:szCs w:val="26"/>
          </w:rPr>
          <w:t xml:space="preserve">12</w:t>
        </w:r>
      </w:ins>
      <w:r>
        <w:rPr>
          <w:rFonts w:ascii="Arial" w:eastAsia="Arial" w:hAnsi="Arial" w:cs="Arial"/>
          <w:sz w:val="26"/>
          <w:szCs w:val="26"/>
        </w:rPr>
        <w:t xml:space="preserve">/</w:t>
      </w:r>
      <w:del w:id="1035" w:author="Assessor GDSXSR" w:date="2026-10-29T20:29:44Z">
        <w:r>
          <w:rPr>
            <w:rFonts w:ascii="Arial" w:eastAsia="Arial" w:hAnsi="Arial" w:cs="Arial"/>
            <w:sz w:val="26"/>
            <w:szCs w:val="26"/>
          </w:rPr>
          <w:delText xml:space="preserve">2026</w:delText>
        </w:r>
      </w:del>
      <w:ins w:id="1036" w:author="Assessor GDSXSR" w:date="2026-10-29T20:29:44Z">
        <w:r>
          <w:rPr>
            <w:rFonts w:ascii="Arial" w:eastAsia="Arial" w:hAnsi="Arial" w:cs="Arial"/>
            <w:color w:val="808080"/>
            <w:sz w:val="26"/>
            <w:szCs w:val="26"/>
          </w:rPr>
          <w:t xml:space="preserve">2025</w:t>
        </w:r>
      </w:ins>
      <w:r>
        <w:rPr>
          <w:rFonts w:ascii="Arial" w:eastAsia="Arial" w:hAnsi="Arial" w:cs="Arial"/>
          <w:sz w:val="26"/>
          <w:szCs w:val="26"/>
        </w:rPr>
        <w:t xml:space="preserve">.</w:t>
      </w:r>
      <w:commentRangeEnd w:id="9"/>
      <w:commentRangeEnd w:id="20"/>
      <w:r w:rsidRPr="00764A80">
        <w:rPr>
          <w:rStyle w:val="Refdecomentrio"/>
          <w:rFonts w:ascii="Arial" w:eastAsia="Arial" w:hAnsi="Arial" w:cs="Arial"/>
          <w:sz w:val="26"/>
          <w:szCs w:val="26"/>
        </w:rPr>
        <w:commentReference w:id="9"/>
      </w:r>
      <w:r>
        <w:rPr>
          <w:rStyle w:val="CommentReference"/>
        </w:rPr>
        <w:commentReference w:id="20"/>
      </w:r>
    </w:p>
    <w:p w14:paraId="58E96891" w14:textId="77777777" w:rsidR="00886ABA" w:rsidRDefault="00886ABA" w:rsidP="00DB1301">
      <w:pPr>
        <w:spacing w:after="0" w:line="360" w:lineRule="auto"/>
        <w:rPr>
          <w:rFonts w:ascii="Arial" w:hAnsi="Arial" w:cs="Arial"/>
          <w:sz w:val="28"/>
          <w:szCs w:val="28"/>
        </w:rPr>
      </w:pPr>
    </w:p>
    <w:p w14:paraId="32B1CE20" w14:textId="77777777" w:rsidR="00C93912" w:rsidRDefault="00C93912" w:rsidP="00DB1301">
      <w:pPr>
        <w:spacing w:after="0" w:line="360" w:lineRule="auto"/>
        <w:rPr>
          <w:rFonts w:ascii="Arial" w:hAnsi="Arial" w:cs="Arial"/>
          <w:sz w:val="28"/>
          <w:szCs w:val="28"/>
        </w:rPr>
      </w:pPr>
    </w:p>
    <w:p w14:paraId="5C27BAD6" w14:textId="33DDE3E0" w:rsidR="008766F4" w:rsidRPr="00C93912" w:rsidRDefault="20E4CE1C" w:rsidP="395F27C1">
      <w:pPr>
        <w:pStyle w:val="Ttulo1"/>
        <w:spacing w:before="281" w:after="281" w:line="300" w:lineRule="auto"/>
        <w:rPr>
          <w:rFonts w:asciiTheme="minorHAnsi" w:eastAsia="Segoe UI" w:hAnsiTheme="minorHAnsi" w:cstheme="minorHAnsi"/>
          <w:bCs/>
          <w:color w:val="FF0000"/>
          <w:sz w:val="22"/>
          <w:szCs w:val="22"/>
        </w:rPr>
      </w:pPr>
      <w:r w:rsidRPr="00C93912">
        <w:rPr>
          <w:rFonts w:asciiTheme="minorHAnsi" w:eastAsia="Segoe UI" w:hAnsiTheme="minorHAnsi" w:cstheme="minorHAnsi"/>
          <w:bCs/>
          <w:color w:val="FF0000"/>
          <w:sz w:val="22"/>
          <w:szCs w:val="22"/>
        </w:rPr>
        <w:t>RESUMO DA SENTENÇA</w:t>
      </w:r>
    </w:p>
    <w:p w14:paraId="7E185D23" w14:textId="0BADD871" w:rsidR="008766F4" w:rsidRPr="00C93912" w:rsidRDefault="20E4CE1C" w:rsidP="395F27C1">
      <w:pPr>
        <w:pStyle w:val="Ttulo2"/>
        <w:spacing w:before="261" w:after="261" w:line="300" w:lineRule="auto"/>
        <w:rPr>
          <w:rFonts w:asciiTheme="minorHAnsi" w:eastAsia="Segoe UI" w:hAnsiTheme="minorHAnsi" w:cstheme="minorHAnsi"/>
          <w:b/>
          <w:bCs/>
          <w:color w:val="FF0000"/>
          <w:sz w:val="22"/>
          <w:szCs w:val="22"/>
        </w:rPr>
      </w:pPr>
      <w:r w:rsidRPr="00C93912">
        <w:rPr>
          <w:rFonts w:asciiTheme="minorHAnsi" w:eastAsia="Segoe UI" w:hAnsiTheme="minorHAnsi" w:cstheme="minorHAnsi"/>
          <w:b/>
          <w:bCs/>
          <w:color w:val="FF0000"/>
          <w:sz w:val="22"/>
          <w:szCs w:val="22"/>
        </w:rPr>
        <w:t>I. RAZÕES DE DECIDIR</w:t>
      </w:r>
    </w:p>
    <w:p w14:paraId="3CF4F5C7" w14:textId="1E5E77F8"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Julgamento antecipado do mérito</w:t>
      </w:r>
    </w:p>
    <w:p w14:paraId="5D18ECF8" w14:textId="596E21C8" w:rsidR="008766F4" w:rsidRPr="00C93912" w:rsidRDefault="20E4CE1C" w:rsidP="395F27C1">
      <w:pPr>
        <w:pStyle w:val="PargrafodaLista"/>
        <w:numPr>
          <w:ilvl w:val="0"/>
          <w:numId w:val="6"/>
        </w:numPr>
        <w:spacing w:after="0" w:line="300" w:lineRule="auto"/>
        <w:rPr>
          <w:rFonts w:eastAsia="Segoe UI" w:cstheme="minorHAnsi"/>
          <w:color w:val="FF0000"/>
        </w:rPr>
      </w:pPr>
      <w:r w:rsidRPr="00C93912">
        <w:rPr>
          <w:rFonts w:eastAsia="Segoe UI" w:cstheme="minorHAnsi"/>
          <w:color w:val="FF0000"/>
        </w:rPr>
        <w:t>O feito foi julgado antecipadamente, nos termos do art. 355, I, do CPC, por se tratar de matéria essencialmente documental, sem necessidade de dilação probatória.</w:t>
      </w:r>
    </w:p>
    <w:p w14:paraId="110549FD" w14:textId="43DA969D"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Natureza pessoal da obrigação decorrente do fornecimento de água</w:t>
      </w:r>
    </w:p>
    <w:p w14:paraId="5D1066FF" w14:textId="516901D3" w:rsidR="008766F4" w:rsidRPr="00C93912" w:rsidRDefault="20E4CE1C" w:rsidP="395F27C1">
      <w:pPr>
        <w:pStyle w:val="PargrafodaLista"/>
        <w:numPr>
          <w:ilvl w:val="0"/>
          <w:numId w:val="5"/>
        </w:numPr>
        <w:spacing w:after="0" w:line="300" w:lineRule="auto"/>
        <w:rPr>
          <w:rFonts w:eastAsia="Segoe UI" w:cstheme="minorHAnsi"/>
          <w:color w:val="FF0000"/>
        </w:rPr>
      </w:pPr>
      <w:r w:rsidRPr="00C93912">
        <w:rPr>
          <w:rFonts w:eastAsia="Segoe UI" w:cstheme="minorHAnsi"/>
          <w:color w:val="FF0000"/>
        </w:rPr>
        <w:t>A sentença reconheceu que a obrigação pelo pagamento dos serviços de abastecimento de água possui natureza pessoal e contratual, não se vinculando ao imóvel nem se transmitindo automaticamente a terceiros, inexistindo solidariedade presumida entre usuários, nos termos do art. 265 do Código Civil.</w:t>
      </w:r>
    </w:p>
    <w:p w14:paraId="7622E3D4" w14:textId="3C1F07A3"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Inexigibilidade dos débitos anteriores ao falecimento da antiga usuária</w:t>
      </w:r>
    </w:p>
    <w:p w14:paraId="6D3CC909" w14:textId="2C97F5C1" w:rsidR="008766F4" w:rsidRPr="00C93912" w:rsidRDefault="20E4CE1C" w:rsidP="395F27C1">
      <w:pPr>
        <w:pStyle w:val="PargrafodaLista"/>
        <w:numPr>
          <w:ilvl w:val="0"/>
          <w:numId w:val="4"/>
        </w:numPr>
        <w:spacing w:before="210" w:after="210" w:line="300" w:lineRule="auto"/>
        <w:rPr>
          <w:rFonts w:eastAsia="Segoe UI" w:cstheme="minorHAnsi"/>
          <w:color w:val="FF0000"/>
        </w:rPr>
      </w:pPr>
      <w:r w:rsidRPr="00C93912">
        <w:rPr>
          <w:rFonts w:eastAsia="Segoe UI" w:cstheme="minorHAnsi"/>
          <w:color w:val="FF0000"/>
        </w:rPr>
        <w:t>Os débitos referentes aos períodos de 07/2015, 09/2015, 11/2017 e 03/2018 foram considerados inexigíveis em relação à autora, por terem sido gerados quando a unidade consumidora estava vinculada exclusivamente à antiga usuária, Terezinha Pereira de Brito, falecida em 14/02/2019.</w:t>
      </w:r>
    </w:p>
    <w:p w14:paraId="45285AA7" w14:textId="343164BB" w:rsidR="008766F4" w:rsidRPr="00C93912" w:rsidRDefault="20E4CE1C" w:rsidP="395F27C1">
      <w:pPr>
        <w:pStyle w:val="PargrafodaLista"/>
        <w:numPr>
          <w:ilvl w:val="0"/>
          <w:numId w:val="4"/>
        </w:numPr>
        <w:spacing w:before="210" w:after="210" w:line="300" w:lineRule="auto"/>
        <w:rPr>
          <w:rFonts w:eastAsia="Segoe UI" w:cstheme="minorHAnsi"/>
          <w:color w:val="FF0000"/>
        </w:rPr>
      </w:pPr>
      <w:r w:rsidRPr="00C93912">
        <w:rPr>
          <w:rFonts w:eastAsia="Segoe UI" w:cstheme="minorHAnsi"/>
          <w:color w:val="FF0000"/>
        </w:rPr>
        <w:t>A alegação da CAESB de que a autora teria assumido a condição de herdeira não foi acolhida, pois o imóvel integrava área pública objeto de autorização de ocupação, posteriormente alienada pela TERRACAP mediante licitação, inexistindo sucessão patrimonial apta a transferir os débitos.</w:t>
      </w:r>
    </w:p>
    <w:p w14:paraId="5765EE98" w14:textId="5E01B6D8" w:rsidR="008766F4" w:rsidRPr="00C93912" w:rsidRDefault="20E4CE1C" w:rsidP="395F27C1">
      <w:pPr>
        <w:pStyle w:val="PargrafodaLista"/>
        <w:numPr>
          <w:ilvl w:val="0"/>
          <w:numId w:val="4"/>
        </w:numPr>
        <w:spacing w:before="210" w:after="210" w:line="300" w:lineRule="auto"/>
        <w:rPr>
          <w:rFonts w:eastAsia="Segoe UI" w:cstheme="minorHAnsi"/>
          <w:color w:val="FF0000"/>
        </w:rPr>
      </w:pPr>
      <w:r w:rsidRPr="00C93912">
        <w:rPr>
          <w:rFonts w:eastAsia="Segoe UI" w:cstheme="minorHAnsi"/>
          <w:color w:val="FF0000"/>
        </w:rPr>
        <w:t>Ainda que houvesse sucessão hereditária, a eventual responsabilidade pelos débitos dependeria das regras do art. 1.997 do Código Civil e de via judicial adequada, não sendo legítima a mera vinculação administrativa do CPF da autora às dívidas da falecida.</w:t>
      </w:r>
    </w:p>
    <w:p w14:paraId="2616BFC1" w14:textId="1C445F90"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Exigibilidade do débito de dezembro de 2020</w:t>
      </w:r>
    </w:p>
    <w:p w14:paraId="7A2D2E6D" w14:textId="16EA62AB" w:rsidR="008766F4" w:rsidRPr="00C93912" w:rsidRDefault="20E4CE1C" w:rsidP="395F27C1">
      <w:pPr>
        <w:pStyle w:val="PargrafodaLista"/>
        <w:numPr>
          <w:ilvl w:val="0"/>
          <w:numId w:val="3"/>
        </w:numPr>
        <w:spacing w:before="210" w:after="210" w:line="300" w:lineRule="auto"/>
        <w:rPr>
          <w:rFonts w:eastAsia="Segoe UI" w:cstheme="minorHAnsi"/>
          <w:color w:val="FF0000"/>
        </w:rPr>
      </w:pPr>
      <w:r w:rsidRPr="00C93912">
        <w:rPr>
          <w:rFonts w:eastAsia="Segoe UI" w:cstheme="minorHAnsi"/>
          <w:color w:val="FF0000"/>
        </w:rPr>
        <w:t>A sentença concluiu pela legitimidade da cobrança da fatura referente a dezembro de 2020, pois, após o falecimento da antiga usuária, a autora permaneceu na posse do imóvel e usufruiu efetivamente do serviço de abastecimento de água.</w:t>
      </w:r>
    </w:p>
    <w:p w14:paraId="3C9A3AD5" w14:textId="611064B9" w:rsidR="008766F4" w:rsidRPr="00C93912" w:rsidRDefault="20E4CE1C" w:rsidP="395F27C1">
      <w:pPr>
        <w:pStyle w:val="PargrafodaLista"/>
        <w:numPr>
          <w:ilvl w:val="0"/>
          <w:numId w:val="3"/>
        </w:numPr>
        <w:spacing w:before="210" w:after="210" w:line="300" w:lineRule="auto"/>
        <w:rPr>
          <w:rFonts w:eastAsia="Segoe UI" w:cstheme="minorHAnsi"/>
          <w:color w:val="FF0000"/>
        </w:rPr>
      </w:pPr>
      <w:r w:rsidRPr="00C93912">
        <w:rPr>
          <w:rFonts w:eastAsia="Segoe UI" w:cstheme="minorHAnsi"/>
          <w:color w:val="FF0000"/>
        </w:rPr>
        <w:lastRenderedPageBreak/>
        <w:t>Entendeu-se que a obrigação de pagar decorre do consumo efetivo do serviço, independentemente da formalização da titularidade cadastral, sendo aplicável o princípio da vedação ao enriquecimento sem causa.</w:t>
      </w:r>
    </w:p>
    <w:p w14:paraId="6B80297C" w14:textId="61664685"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Medidas de tutela específica</w:t>
      </w:r>
    </w:p>
    <w:p w14:paraId="68CFBFD7" w14:textId="43F94396" w:rsidR="008766F4" w:rsidRPr="00C93912" w:rsidRDefault="20E4CE1C" w:rsidP="395F27C1">
      <w:pPr>
        <w:pStyle w:val="PargrafodaLista"/>
        <w:numPr>
          <w:ilvl w:val="0"/>
          <w:numId w:val="2"/>
        </w:numPr>
        <w:spacing w:after="0" w:line="300" w:lineRule="auto"/>
        <w:rPr>
          <w:rFonts w:eastAsia="Segoe UI" w:cstheme="minorHAnsi"/>
          <w:color w:val="FF0000"/>
        </w:rPr>
      </w:pPr>
      <w:r w:rsidRPr="00C93912">
        <w:rPr>
          <w:rFonts w:eastAsia="Segoe UI" w:cstheme="minorHAnsi"/>
          <w:color w:val="FF0000"/>
        </w:rPr>
        <w:t>Reconhecida a inexigibilidade dos débitos anteriores ao óbito da usuária, a sentença determinou a retirada dos apontamentos negativos, protestos e demais restrições deles decorrentes, bem como proibiu a suspensão do fornecimento de água com fundamento nessas dívidas.</w:t>
      </w:r>
    </w:p>
    <w:p w14:paraId="5B2EF7D7" w14:textId="384F65BD" w:rsidR="008766F4" w:rsidRPr="00C93912" w:rsidRDefault="20E4CE1C" w:rsidP="395F27C1">
      <w:pPr>
        <w:pStyle w:val="Ttulo2"/>
        <w:spacing w:before="261" w:after="261" w:line="300" w:lineRule="auto"/>
        <w:rPr>
          <w:rFonts w:asciiTheme="minorHAnsi" w:eastAsia="Segoe UI" w:hAnsiTheme="minorHAnsi" w:cstheme="minorHAnsi"/>
          <w:b/>
          <w:bCs/>
          <w:color w:val="FF0000"/>
          <w:sz w:val="22"/>
          <w:szCs w:val="22"/>
        </w:rPr>
      </w:pPr>
      <w:r w:rsidRPr="00C93912">
        <w:rPr>
          <w:rFonts w:asciiTheme="minorHAnsi" w:eastAsia="Segoe UI" w:hAnsiTheme="minorHAnsi" w:cstheme="minorHAnsi"/>
          <w:b/>
          <w:bCs/>
          <w:color w:val="FF0000"/>
          <w:sz w:val="22"/>
          <w:szCs w:val="22"/>
        </w:rPr>
        <w:t>II. DISPOSITIVO DA SENTENÇA</w:t>
      </w:r>
    </w:p>
    <w:p w14:paraId="5A361871" w14:textId="4E348412" w:rsidR="008766F4" w:rsidRPr="00C93912" w:rsidRDefault="20E4CE1C" w:rsidP="395F27C1">
      <w:pPr>
        <w:pStyle w:val="PargrafodaLista"/>
        <w:numPr>
          <w:ilvl w:val="0"/>
          <w:numId w:val="1"/>
        </w:numPr>
        <w:spacing w:before="210" w:after="210" w:line="300" w:lineRule="auto"/>
        <w:rPr>
          <w:rFonts w:eastAsia="Segoe UI" w:cstheme="minorHAnsi"/>
          <w:color w:val="FF0000"/>
        </w:rPr>
      </w:pPr>
      <w:r w:rsidRPr="00C93912">
        <w:rPr>
          <w:rFonts w:eastAsia="Segoe UI" w:cstheme="minorHAnsi"/>
          <w:color w:val="FF0000"/>
        </w:rPr>
        <w:t>Julgou parcialmente procedentes os pedidos para:</w:t>
      </w:r>
    </w:p>
    <w:p w14:paraId="00A004E8" w14:textId="1563839A"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a) declarar inexigíveis os débitos referentes aos períodos de 07/2015, 09/2015, 11/2017 e 03/2018, vinculados à unidade consumidora nº 446317-1;</w:t>
      </w:r>
    </w:p>
    <w:p w14:paraId="157C1FF7" w14:textId="56E3F6AA"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b) manter a exigibilidade do débito referente ao período de dezembro de 2020;</w:t>
      </w:r>
    </w:p>
    <w:p w14:paraId="6BC7C31C" w14:textId="3BB13805"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c) determinar à CAESB, no prazo de 10 dias, a desvinculação dos débitos inexigíveis do CPF da autora, o cancelamento dos protestos e apontamentos negativos correspondentes e a comunicação aos órgãos competentes;</w:t>
      </w:r>
    </w:p>
    <w:p w14:paraId="7CCE9D8A" w14:textId="2C8EBA06"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d) determinar que a CAESB se abstenha de suspender o fornecimento de água em razão dos débitos declarados inexigíveis;</w:t>
      </w:r>
    </w:p>
    <w:p w14:paraId="5F48F999" w14:textId="5B376B2C"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e) fixar multa diária de R$ 500,00, limitada a R$ 15.000,00, para descumprimento das obrigações de retirada de restrições e desvinculação cadastral;</w:t>
      </w:r>
    </w:p>
    <w:p w14:paraId="102227B5" w14:textId="6234CFB2"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f) fixar multa única de R$ 5.000,00 em caso de suspensão do fornecimento de água fundada nos débitos inexigíveis;</w:t>
      </w:r>
    </w:p>
    <w:p w14:paraId="56A2736F" w14:textId="71F057D9"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g) reconhecer sucumbência recíproca, distribuindo as custas processuais na proporção de 80% para a CAESB e 20% para a autora;</w:t>
      </w:r>
    </w:p>
    <w:p w14:paraId="09638EC5" w14:textId="335AB35C"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h) arbitrar honorários de sucumbência em favor da Defensoria Pública no valor de R$ 1.000,00 e em favor da CAESB no valor de R$ 300,00, com exigibilidade suspensa em razão da gratuidade de justiça.</w:t>
      </w:r>
    </w:p>
    <w:p w14:paraId="4660DF7A" w14:textId="79398D4B" w:rsidR="008766F4" w:rsidRPr="00C93912" w:rsidRDefault="008766F4" w:rsidP="395F27C1">
      <w:pPr>
        <w:spacing w:after="0" w:line="240" w:lineRule="auto"/>
        <w:rPr>
          <w:rFonts w:cstheme="minorHAnsi"/>
          <w:b/>
          <w:bCs/>
          <w:color w:val="FF0000"/>
        </w:rPr>
      </w:pPr>
    </w:p>
    <w:p w14:paraId="27C08013" w14:textId="279B1497" w:rsidR="6FA9F512" w:rsidRPr="00AD7F36" w:rsidRDefault="6FA9F512" w:rsidP="70C49520">
      <w:pPr>
        <w:spacing w:after="0" w:line="240" w:lineRule="auto"/>
        <w:rPr>
          <w:color w:val="FF0000"/>
        </w:rPr>
      </w:pP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lastRenderedPageBreak/>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04698576" w14:textId="46A05AC2" w:rsidR="00F63CDB" w:rsidRDefault="00F63CDB"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w:t>
      </w:r>
      <w:r w:rsidR="16E4F0D0" w:rsidRPr="4107E398">
        <w:rPr>
          <w:rFonts w:ascii="Arial" w:hAnsi="Arial" w:cs="Arial"/>
          <w:i/>
          <w:iCs/>
          <w:sz w:val="26"/>
          <w:szCs w:val="26"/>
        </w:rPr>
        <w:t>Trata-se de ação sob procedimento comum ajuizada por Maria Pereira de Brito, assistida pela Defensoria Pública do Distrito Federal, contra Companhia de Saneamento Ambiental do Distrito Federal – CAESB.</w:t>
      </w:r>
    </w:p>
    <w:p w14:paraId="184DC515" w14:textId="5EBC5AA1"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Na petição inicial, a demandante afirmou que o imóvel situado na Área Complementar 200, conjunto F, lote 05, em Santa Maria/DF, correspondente à unidade consumidora nº 446317-1, era ocupado por sua irmã, Terezinha Pereira de Brito, falecida. Sustentou que, após o óbito, permaneceu na posse do imóvel e, em seguida, adquiriu-o por licitação pública promovida pela Terracap, tornando-se titular da unidade consumidora em 11 de abril de 2023.</w:t>
      </w:r>
    </w:p>
    <w:p w14:paraId="72D6E735" w14:textId="6B6BFAFA"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Relatou que, ao solicitar a transferência de titularidade, a concessionária vinculou ao seu CPF débitos pretéritos atribuídos à antiga usuária, referentes aos períodos 07/2015, 09/2015,</w:t>
      </w:r>
      <w:r w:rsidR="40700CFE" w:rsidRPr="4107E398">
        <w:rPr>
          <w:rFonts w:ascii="Arial" w:hAnsi="Arial" w:cs="Arial"/>
          <w:i/>
          <w:iCs/>
          <w:sz w:val="26"/>
          <w:szCs w:val="26"/>
        </w:rPr>
        <w:t xml:space="preserve"> </w:t>
      </w:r>
      <w:r w:rsidRPr="4107E398">
        <w:rPr>
          <w:rFonts w:ascii="Arial" w:hAnsi="Arial" w:cs="Arial"/>
          <w:i/>
          <w:iCs/>
          <w:sz w:val="26"/>
          <w:szCs w:val="26"/>
        </w:rPr>
        <w:t>11/2017, 03/2018 e 12/2020, com apontamento em cartório de protesto.</w:t>
      </w:r>
    </w:p>
    <w:p w14:paraId="26D66E0D" w14:textId="713491D9"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Em razão disso, pediu a declaração de inexigibilidade dos débitos anteriores, com</w:t>
      </w:r>
      <w:r w:rsidR="6EA8014D" w:rsidRPr="4107E398">
        <w:rPr>
          <w:rFonts w:ascii="Arial" w:hAnsi="Arial" w:cs="Arial"/>
          <w:i/>
          <w:iCs/>
          <w:sz w:val="26"/>
          <w:szCs w:val="26"/>
        </w:rPr>
        <w:t xml:space="preserve"> </w:t>
      </w:r>
      <w:r w:rsidRPr="4107E398">
        <w:rPr>
          <w:rFonts w:ascii="Arial" w:hAnsi="Arial" w:cs="Arial"/>
          <w:i/>
          <w:iCs/>
          <w:sz w:val="26"/>
          <w:szCs w:val="26"/>
        </w:rPr>
        <w:t>determinação para que a requerida se abstenha de cobrá-los, retire seu nome dos apontamentos</w:t>
      </w:r>
      <w:r w:rsidR="3B040AF5" w:rsidRPr="4107E398">
        <w:rPr>
          <w:rFonts w:ascii="Arial" w:hAnsi="Arial" w:cs="Arial"/>
          <w:i/>
          <w:iCs/>
          <w:sz w:val="26"/>
          <w:szCs w:val="26"/>
        </w:rPr>
        <w:t xml:space="preserve"> </w:t>
      </w:r>
      <w:r w:rsidRPr="4107E398">
        <w:rPr>
          <w:rFonts w:ascii="Arial" w:hAnsi="Arial" w:cs="Arial"/>
          <w:i/>
          <w:iCs/>
          <w:sz w:val="26"/>
          <w:szCs w:val="26"/>
        </w:rPr>
        <w:t>negativos e não suspenda o fornecimento de água em razão deles, sob pena de multa.</w:t>
      </w:r>
    </w:p>
    <w:p w14:paraId="65DC3345" w14:textId="2B54F7F9" w:rsidR="00F63CDB" w:rsidRDefault="16E4F0D0" w:rsidP="4107E398">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A inicial foi emendada nos IDs 258956926 e 275361896, para consolidação dos pedidos </w:t>
      </w:r>
      <w:r>
        <w:rPr>
          <w:rFonts w:ascii="Arial" w:hAnsi="Arial" w:cs="Arial"/>
          <w:i/>
          <w:iCs/>
          <w:color w:val="808080"/>
          <w:sz w:val="26"/>
          <w:szCs w:val="26"/>
        </w:rPr>
        <w:t>e esclarecimento</w:t>
      </w:r>
      <w:r>
        <w:rPr>
          <w:rFonts w:ascii="Arial" w:hAnsi="Arial" w:cs="Arial"/>
          <w:i/>
          <w:iCs/>
          <w:sz w:val="26"/>
          <w:szCs w:val="26"/>
        </w:rPr>
        <w:t xml:space="preserve"> dos fatos, com juntada da declaração </w:t>
      </w:r>
      <w:r>
        <w:rPr>
          <w:rFonts w:ascii="Arial" w:hAnsi="Arial" w:cs="Arial"/>
          <w:i/>
          <w:iCs/>
          <w:sz w:val="26"/>
          <w:szCs w:val="26"/>
        </w:rPr>
        <w:lastRenderedPageBreak/>
        <w:t>da Administração Regional de Santa Maria (ID 263135441) e do Edital de Licitação nº 10/2022 (ID 263135442).</w:t>
      </w:r>
    </w:p>
    <w:p w14:paraId="582D77ED" w14:textId="2F13CAAE"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A parte demandada apresentou contestação nos IDs 265959931 e 277534378, sustentando</w:t>
      </w:r>
      <w:r w:rsidR="21580751" w:rsidRPr="4107E398">
        <w:rPr>
          <w:rFonts w:ascii="Arial" w:hAnsi="Arial" w:cs="Arial"/>
          <w:i/>
          <w:iCs/>
          <w:sz w:val="26"/>
          <w:szCs w:val="26"/>
        </w:rPr>
        <w:t xml:space="preserve"> </w:t>
      </w:r>
      <w:r w:rsidRPr="4107E398">
        <w:rPr>
          <w:rFonts w:ascii="Arial" w:hAnsi="Arial" w:cs="Arial"/>
          <w:i/>
          <w:iCs/>
          <w:sz w:val="26"/>
          <w:szCs w:val="26"/>
        </w:rPr>
        <w:t>a legitimidade da cobrança pela assinatura do Termo de Solicitação de Serviços, no qual a</w:t>
      </w:r>
      <w:r w:rsidR="6079F161" w:rsidRPr="4107E398">
        <w:rPr>
          <w:rFonts w:ascii="Arial" w:hAnsi="Arial" w:cs="Arial"/>
          <w:i/>
          <w:iCs/>
          <w:sz w:val="26"/>
          <w:szCs w:val="26"/>
        </w:rPr>
        <w:t xml:space="preserve"> requerente teria assumido as dívidas pretéritas na condição declarada de herdeira da antiga usuária.</w:t>
      </w:r>
    </w:p>
    <w:p w14:paraId="561DBFA8" w14:textId="2B416BE4" w:rsidR="00F63CDB" w:rsidRDefault="6079F161"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As partes não requereram outras provas.</w:t>
      </w:r>
    </w:p>
    <w:p w14:paraId="2A1367AB" w14:textId="55586C89" w:rsidR="00F63CDB" w:rsidRDefault="6079F161"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É o que importa relatar</w:t>
      </w:r>
      <w:r w:rsidR="007637D5">
        <w:rPr>
          <w:rFonts w:ascii="Arial" w:hAnsi="Arial" w:cs="Arial"/>
          <w:i/>
          <w:iCs/>
          <w:sz w:val="26"/>
          <w:szCs w:val="26"/>
        </w:rPr>
        <w:t>.</w:t>
      </w:r>
      <w:r w:rsidR="0061262D" w:rsidRPr="4107E398">
        <w:rPr>
          <w:rFonts w:ascii="Arial" w:hAnsi="Arial" w:cs="Arial"/>
          <w:i/>
          <w:iCs/>
          <w:sz w:val="26"/>
          <w:szCs w:val="26"/>
        </w:rPr>
        <w:t xml:space="preserve">” (ID </w:t>
      </w:r>
      <w:r w:rsidR="00120BBB" w:rsidRPr="4107E398">
        <w:rPr>
          <w:rFonts w:ascii="Arial" w:hAnsi="Arial" w:cs="Arial"/>
          <w:i/>
          <w:iCs/>
          <w:sz w:val="26"/>
          <w:szCs w:val="26"/>
        </w:rPr>
        <w:t>8</w:t>
      </w:r>
      <w:r w:rsidR="5D7B9C4D" w:rsidRPr="4107E398">
        <w:rPr>
          <w:rFonts w:ascii="Arial" w:hAnsi="Arial" w:cs="Arial"/>
          <w:i/>
          <w:iCs/>
          <w:sz w:val="26"/>
          <w:szCs w:val="26"/>
        </w:rPr>
        <w:t>9370577</w:t>
      </w:r>
      <w:r w:rsidR="0061262D" w:rsidRPr="4107E398">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17068C89" w:rsidR="0061262D" w:rsidRDefault="0061262D" w:rsidP="00DB1301">
      <w:pPr>
        <w:spacing w:after="0" w:line="360" w:lineRule="auto"/>
        <w:ind w:firstLine="2268"/>
        <w:jc w:val="both"/>
        <w:rPr>
          <w:rFonts w:ascii="Arial" w:hAnsi="Arial" w:cs="Arial"/>
          <w:sz w:val="28"/>
          <w:szCs w:val="28"/>
        </w:rPr>
      </w:pPr>
      <w:r w:rsidRPr="4107E398">
        <w:rPr>
          <w:rFonts w:ascii="Arial" w:hAnsi="Arial" w:cs="Arial"/>
          <w:sz w:val="28"/>
          <w:szCs w:val="28"/>
        </w:rPr>
        <w:t>O MM. Juiz sentenciante</w:t>
      </w:r>
      <w:r w:rsidR="008235A6" w:rsidRPr="4107E398">
        <w:rPr>
          <w:rFonts w:ascii="Arial" w:hAnsi="Arial" w:cs="Arial"/>
          <w:sz w:val="28"/>
          <w:szCs w:val="28"/>
        </w:rPr>
        <w:t>, Dr.</w:t>
      </w:r>
      <w:r w:rsidR="00120BBB" w:rsidRPr="4107E398">
        <w:rPr>
          <w:rFonts w:ascii="Arial" w:hAnsi="Arial" w:cs="Arial"/>
          <w:sz w:val="28"/>
          <w:szCs w:val="28"/>
        </w:rPr>
        <w:t xml:space="preserve"> </w:t>
      </w:r>
      <w:r w:rsidR="63CADAAF" w:rsidRPr="4107E398">
        <w:rPr>
          <w:rFonts w:ascii="Arial" w:hAnsi="Arial" w:cs="Arial"/>
          <w:sz w:val="28"/>
          <w:szCs w:val="28"/>
        </w:rPr>
        <w:t>Pedro Matos de Arruda</w:t>
      </w:r>
      <w:r w:rsidR="003524E5" w:rsidRPr="4107E398">
        <w:rPr>
          <w:rFonts w:ascii="Arial" w:hAnsi="Arial" w:cs="Arial"/>
          <w:sz w:val="28"/>
          <w:szCs w:val="28"/>
        </w:rPr>
        <w:t>, da</w:t>
      </w:r>
      <w:r w:rsidR="00120BBB" w:rsidRPr="4107E398">
        <w:rPr>
          <w:rFonts w:ascii="Arial" w:hAnsi="Arial" w:cs="Arial"/>
          <w:sz w:val="28"/>
          <w:szCs w:val="28"/>
        </w:rPr>
        <w:t xml:space="preserve"> </w:t>
      </w:r>
      <w:r w:rsidR="536D684C" w:rsidRPr="4107E398">
        <w:rPr>
          <w:rFonts w:ascii="Arial" w:hAnsi="Arial" w:cs="Arial"/>
          <w:sz w:val="28"/>
          <w:szCs w:val="28"/>
        </w:rPr>
        <w:t xml:space="preserve">1ª </w:t>
      </w:r>
      <w:r w:rsidR="00120BBB" w:rsidRPr="4107E398">
        <w:rPr>
          <w:rFonts w:ascii="Arial" w:hAnsi="Arial" w:cs="Arial"/>
          <w:sz w:val="28"/>
          <w:szCs w:val="28"/>
        </w:rPr>
        <w:t>Vara Cível</w:t>
      </w:r>
      <w:r w:rsidR="03E4A558" w:rsidRPr="4107E398">
        <w:rPr>
          <w:rFonts w:ascii="Arial" w:hAnsi="Arial" w:cs="Arial"/>
          <w:sz w:val="28"/>
          <w:szCs w:val="28"/>
        </w:rPr>
        <w:t>, de Família e de Órfãos e Sucessões de Santa Maria</w:t>
      </w:r>
      <w:r w:rsidR="003524E5" w:rsidRPr="4107E398">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3D9B26B2" w14:textId="1E20F0B0" w:rsidR="0006080C" w:rsidRPr="000A7009" w:rsidRDefault="0006080C" w:rsidP="00120BBB">
      <w:pPr>
        <w:spacing w:after="0" w:line="360" w:lineRule="auto"/>
        <w:ind w:left="2268" w:firstLine="1134"/>
        <w:jc w:val="both"/>
      </w:pPr>
      <w:r w:rsidRPr="4107E398">
        <w:rPr>
          <w:rFonts w:ascii="Arial" w:hAnsi="Arial" w:cs="Arial"/>
          <w:i/>
          <w:iCs/>
          <w:sz w:val="26"/>
          <w:szCs w:val="26"/>
        </w:rPr>
        <w:t>“</w:t>
      </w:r>
      <w:r w:rsidR="05BB4403" w:rsidRPr="4107E398">
        <w:rPr>
          <w:rFonts w:ascii="Arial" w:hAnsi="Arial" w:cs="Arial"/>
          <w:i/>
          <w:iCs/>
          <w:sz w:val="26"/>
          <w:szCs w:val="26"/>
        </w:rPr>
        <w:t>Diante do exposto, com fundamento no art. 487, I, do Código de Processo Civil, julgo parcialmente procedentes os pedidos, para:</w:t>
      </w:r>
      <w:r w:rsidR="457B5DF7" w:rsidRPr="4107E398">
        <w:rPr>
          <w:rFonts w:ascii="Arial" w:hAnsi="Arial" w:cs="Arial"/>
          <w:i/>
          <w:iCs/>
          <w:sz w:val="26"/>
          <w:szCs w:val="26"/>
        </w:rPr>
        <w:t xml:space="preserve"> </w:t>
      </w:r>
    </w:p>
    <w:p w14:paraId="23D149E4" w14:textId="49405A19" w:rsidR="0006080C" w:rsidRPr="000A7009" w:rsidRDefault="457B5DF7"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 xml:space="preserve">a) </w:t>
      </w:r>
      <w:r w:rsidR="05BB4403" w:rsidRPr="4107E398">
        <w:rPr>
          <w:rFonts w:ascii="Arial" w:hAnsi="Arial" w:cs="Arial"/>
          <w:i/>
          <w:iCs/>
          <w:sz w:val="26"/>
          <w:szCs w:val="26"/>
        </w:rPr>
        <w:t>declarar inexigíveis, em face de Maria Pereira de Brito, os débitos vinculados à</w:t>
      </w:r>
      <w:r w:rsidR="4A704416" w:rsidRPr="4107E398">
        <w:rPr>
          <w:rFonts w:ascii="Arial" w:hAnsi="Arial" w:cs="Arial"/>
          <w:i/>
          <w:iCs/>
          <w:sz w:val="26"/>
          <w:szCs w:val="26"/>
        </w:rPr>
        <w:t xml:space="preserve"> </w:t>
      </w:r>
      <w:r w:rsidR="05BB4403" w:rsidRPr="4107E398">
        <w:rPr>
          <w:rFonts w:ascii="Arial" w:hAnsi="Arial" w:cs="Arial"/>
          <w:i/>
          <w:iCs/>
          <w:sz w:val="26"/>
          <w:szCs w:val="26"/>
        </w:rPr>
        <w:t>unidade consumidora nº 446317-1 referentes aos períodos 07/2015, 09/2015, 11/2017 e</w:t>
      </w:r>
      <w:r w:rsidR="600B56EE" w:rsidRPr="4107E398">
        <w:rPr>
          <w:rFonts w:ascii="Arial" w:hAnsi="Arial" w:cs="Arial"/>
          <w:i/>
          <w:iCs/>
          <w:sz w:val="26"/>
          <w:szCs w:val="26"/>
        </w:rPr>
        <w:t xml:space="preserve"> </w:t>
      </w:r>
      <w:r w:rsidR="05BB4403" w:rsidRPr="4107E398">
        <w:rPr>
          <w:rFonts w:ascii="Arial" w:hAnsi="Arial" w:cs="Arial"/>
          <w:i/>
          <w:iCs/>
          <w:sz w:val="26"/>
          <w:szCs w:val="26"/>
        </w:rPr>
        <w:t>03/2018, discriminados no ID 255030308, por corresponderem a consumo anterior ao</w:t>
      </w:r>
      <w:r w:rsidR="0C5C0DC5" w:rsidRPr="4107E398">
        <w:rPr>
          <w:rFonts w:ascii="Arial" w:hAnsi="Arial" w:cs="Arial"/>
          <w:i/>
          <w:iCs/>
          <w:sz w:val="26"/>
          <w:szCs w:val="26"/>
        </w:rPr>
        <w:t xml:space="preserve"> </w:t>
      </w:r>
      <w:r w:rsidR="05BB4403" w:rsidRPr="4107E398">
        <w:rPr>
          <w:rFonts w:ascii="Arial" w:hAnsi="Arial" w:cs="Arial"/>
          <w:i/>
          <w:iCs/>
          <w:sz w:val="26"/>
          <w:szCs w:val="26"/>
        </w:rPr>
        <w:t>óbito da antiga usuária, ocorrido em 14 de fevereiro de 2019;</w:t>
      </w:r>
    </w:p>
    <w:p w14:paraId="43EACC26" w14:textId="477D216C"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b) manter íntegra a exigibilidade do débito referente ao período de dezembro de 2020,</w:t>
      </w:r>
      <w:r w:rsidR="7766C009" w:rsidRPr="4107E398">
        <w:rPr>
          <w:rFonts w:ascii="Arial" w:hAnsi="Arial" w:cs="Arial"/>
          <w:i/>
          <w:iCs/>
          <w:sz w:val="26"/>
          <w:szCs w:val="26"/>
        </w:rPr>
        <w:t xml:space="preserve"> </w:t>
      </w:r>
      <w:r w:rsidRPr="4107E398">
        <w:rPr>
          <w:rFonts w:ascii="Arial" w:hAnsi="Arial" w:cs="Arial"/>
          <w:i/>
          <w:iCs/>
          <w:sz w:val="26"/>
          <w:szCs w:val="26"/>
        </w:rPr>
        <w:t>também discriminado no ID 255030308, por corresponder a consumo prestado em</w:t>
      </w:r>
      <w:r w:rsidR="5BEB51D7" w:rsidRPr="4107E398">
        <w:rPr>
          <w:rFonts w:ascii="Arial" w:hAnsi="Arial" w:cs="Arial"/>
          <w:i/>
          <w:iCs/>
          <w:sz w:val="26"/>
          <w:szCs w:val="26"/>
        </w:rPr>
        <w:t xml:space="preserve"> </w:t>
      </w:r>
      <w:r w:rsidRPr="4107E398">
        <w:rPr>
          <w:rFonts w:ascii="Arial" w:hAnsi="Arial" w:cs="Arial"/>
          <w:i/>
          <w:iCs/>
          <w:sz w:val="26"/>
          <w:szCs w:val="26"/>
        </w:rPr>
        <w:t xml:space="preserve">benefício da posse já exercida </w:t>
      </w:r>
      <w:r w:rsidRPr="4107E398">
        <w:rPr>
          <w:rFonts w:ascii="Arial" w:hAnsi="Arial" w:cs="Arial"/>
          <w:i/>
          <w:iCs/>
          <w:sz w:val="26"/>
          <w:szCs w:val="26"/>
        </w:rPr>
        <w:lastRenderedPageBreak/>
        <w:t>pela demandante, a quem cabe adimpli-lo pelas vias</w:t>
      </w:r>
      <w:r w:rsidR="1FFBAAF2" w:rsidRPr="4107E398">
        <w:rPr>
          <w:rFonts w:ascii="Arial" w:hAnsi="Arial" w:cs="Arial"/>
          <w:i/>
          <w:iCs/>
          <w:sz w:val="26"/>
          <w:szCs w:val="26"/>
        </w:rPr>
        <w:t xml:space="preserve"> </w:t>
      </w:r>
      <w:r w:rsidRPr="4107E398">
        <w:rPr>
          <w:rFonts w:ascii="Arial" w:hAnsi="Arial" w:cs="Arial"/>
          <w:i/>
          <w:iCs/>
          <w:sz w:val="26"/>
          <w:szCs w:val="26"/>
        </w:rPr>
        <w:t>administrativas próprias;</w:t>
      </w:r>
    </w:p>
    <w:p w14:paraId="552B1386" w14:textId="049322F0"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c) determinar à CAESB que, no prazo de 10 (dez) dias contados da intimação desta</w:t>
      </w:r>
      <w:r w:rsidR="5001B09C" w:rsidRPr="4107E398">
        <w:rPr>
          <w:rFonts w:ascii="Arial" w:hAnsi="Arial" w:cs="Arial"/>
          <w:i/>
          <w:iCs/>
          <w:sz w:val="26"/>
          <w:szCs w:val="26"/>
        </w:rPr>
        <w:t xml:space="preserve"> </w:t>
      </w:r>
      <w:r w:rsidRPr="4107E398">
        <w:rPr>
          <w:rFonts w:ascii="Arial" w:hAnsi="Arial" w:cs="Arial"/>
          <w:i/>
          <w:iCs/>
          <w:sz w:val="26"/>
          <w:szCs w:val="26"/>
        </w:rPr>
        <w:t>sentença, promova a desvinculação dos débitos declarados inexigíveis do CPF da</w:t>
      </w:r>
      <w:r w:rsidR="3A8F7D11" w:rsidRPr="4107E398">
        <w:rPr>
          <w:rFonts w:ascii="Arial" w:hAnsi="Arial" w:cs="Arial"/>
          <w:i/>
          <w:iCs/>
          <w:sz w:val="26"/>
          <w:szCs w:val="26"/>
        </w:rPr>
        <w:t xml:space="preserve"> </w:t>
      </w:r>
      <w:r w:rsidRPr="4107E398">
        <w:rPr>
          <w:rFonts w:ascii="Arial" w:hAnsi="Arial" w:cs="Arial"/>
          <w:i/>
          <w:iCs/>
          <w:sz w:val="26"/>
          <w:szCs w:val="26"/>
        </w:rPr>
        <w:t>requerente, cancele os apontamentos e o protesto deles decorrentes e comunique aos</w:t>
      </w:r>
      <w:r w:rsidR="5A8EEF6C" w:rsidRPr="4107E398">
        <w:rPr>
          <w:rFonts w:ascii="Arial" w:hAnsi="Arial" w:cs="Arial"/>
          <w:i/>
          <w:iCs/>
          <w:sz w:val="26"/>
          <w:szCs w:val="26"/>
        </w:rPr>
        <w:t xml:space="preserve"> </w:t>
      </w:r>
      <w:r w:rsidRPr="4107E398">
        <w:rPr>
          <w:rFonts w:ascii="Arial" w:hAnsi="Arial" w:cs="Arial"/>
          <w:i/>
          <w:iCs/>
          <w:sz w:val="26"/>
          <w:szCs w:val="26"/>
        </w:rPr>
        <w:t>órgãos de proteção ao crédito e ao cartório respectivo a retirada das restrições</w:t>
      </w:r>
      <w:r w:rsidR="49620232" w:rsidRPr="4107E398">
        <w:rPr>
          <w:rFonts w:ascii="Arial" w:hAnsi="Arial" w:cs="Arial"/>
          <w:i/>
          <w:iCs/>
          <w:sz w:val="26"/>
          <w:szCs w:val="26"/>
        </w:rPr>
        <w:t xml:space="preserve"> </w:t>
      </w:r>
      <w:r w:rsidRPr="4107E398">
        <w:rPr>
          <w:rFonts w:ascii="Arial" w:hAnsi="Arial" w:cs="Arial"/>
          <w:i/>
          <w:iCs/>
          <w:sz w:val="26"/>
          <w:szCs w:val="26"/>
        </w:rPr>
        <w:t>correspondentes, mantendo, se o caso, apenas os apontamentos relativos ao débito de</w:t>
      </w:r>
      <w:r w:rsidR="1BD880F9" w:rsidRPr="4107E398">
        <w:rPr>
          <w:rFonts w:ascii="Arial" w:hAnsi="Arial" w:cs="Arial"/>
          <w:i/>
          <w:iCs/>
          <w:sz w:val="26"/>
          <w:szCs w:val="26"/>
        </w:rPr>
        <w:t xml:space="preserve"> </w:t>
      </w:r>
      <w:r w:rsidRPr="4107E398">
        <w:rPr>
          <w:rFonts w:ascii="Arial" w:hAnsi="Arial" w:cs="Arial"/>
          <w:i/>
          <w:iCs/>
          <w:sz w:val="26"/>
          <w:szCs w:val="26"/>
        </w:rPr>
        <w:t>dezembro de 2020;</w:t>
      </w:r>
    </w:p>
    <w:p w14:paraId="4CC7D162" w14:textId="5FDB02EE"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d) determinar à CAESB que se abstenha de suspender o fornecimento de água à</w:t>
      </w:r>
      <w:r w:rsidR="13EA022D" w:rsidRPr="4107E398">
        <w:rPr>
          <w:rFonts w:ascii="Arial" w:hAnsi="Arial" w:cs="Arial"/>
          <w:i/>
          <w:iCs/>
          <w:sz w:val="26"/>
          <w:szCs w:val="26"/>
        </w:rPr>
        <w:t xml:space="preserve"> </w:t>
      </w:r>
      <w:r w:rsidRPr="4107E398">
        <w:rPr>
          <w:rFonts w:ascii="Arial" w:hAnsi="Arial" w:cs="Arial"/>
          <w:i/>
          <w:iCs/>
          <w:sz w:val="26"/>
          <w:szCs w:val="26"/>
        </w:rPr>
        <w:t>unidade consumidora nº 446317-1 com fundamento nos débitos declarados inexigíveis</w:t>
      </w:r>
      <w:r w:rsidR="483F857C" w:rsidRPr="4107E398">
        <w:rPr>
          <w:rFonts w:ascii="Arial" w:hAnsi="Arial" w:cs="Arial"/>
          <w:i/>
          <w:iCs/>
          <w:sz w:val="26"/>
          <w:szCs w:val="26"/>
        </w:rPr>
        <w:t xml:space="preserve"> </w:t>
      </w:r>
      <w:r w:rsidRPr="4107E398">
        <w:rPr>
          <w:rFonts w:ascii="Arial" w:hAnsi="Arial" w:cs="Arial"/>
          <w:i/>
          <w:iCs/>
          <w:sz w:val="26"/>
          <w:szCs w:val="26"/>
        </w:rPr>
        <w:t>nesta sentença;</w:t>
      </w:r>
    </w:p>
    <w:p w14:paraId="6F6C532A" w14:textId="7B5A8D3D"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e) fixar multa diária de R$ 500,00 (quinhentos reais), limitada a R$ 15.000,00 (quinze</w:t>
      </w:r>
      <w:r w:rsidR="79A6ABFC" w:rsidRPr="4107E398">
        <w:rPr>
          <w:rFonts w:ascii="Arial" w:hAnsi="Arial" w:cs="Arial"/>
          <w:i/>
          <w:iCs/>
          <w:sz w:val="26"/>
          <w:szCs w:val="26"/>
        </w:rPr>
        <w:t xml:space="preserve"> </w:t>
      </w:r>
      <w:r w:rsidRPr="4107E398">
        <w:rPr>
          <w:rFonts w:ascii="Arial" w:hAnsi="Arial" w:cs="Arial"/>
          <w:i/>
          <w:iCs/>
          <w:sz w:val="26"/>
          <w:szCs w:val="26"/>
        </w:rPr>
        <w:t>mil reais), para o caso de descumprimento das obrigações de retirada de apontamentos,</w:t>
      </w:r>
      <w:r w:rsidR="036D5F26" w:rsidRPr="4107E398">
        <w:rPr>
          <w:rFonts w:ascii="Arial" w:hAnsi="Arial" w:cs="Arial"/>
          <w:i/>
          <w:iCs/>
          <w:sz w:val="26"/>
          <w:szCs w:val="26"/>
        </w:rPr>
        <w:t xml:space="preserve"> </w:t>
      </w:r>
      <w:r w:rsidRPr="4107E398">
        <w:rPr>
          <w:rFonts w:ascii="Arial" w:hAnsi="Arial" w:cs="Arial"/>
          <w:i/>
          <w:iCs/>
          <w:sz w:val="26"/>
          <w:szCs w:val="26"/>
        </w:rPr>
        <w:t>cancelamento de protesto e desvinculação cadastral referentes aos débitos declarados</w:t>
      </w:r>
      <w:r w:rsidR="1BCA8EF2" w:rsidRPr="4107E398">
        <w:rPr>
          <w:rFonts w:ascii="Arial" w:hAnsi="Arial" w:cs="Arial"/>
          <w:i/>
          <w:iCs/>
          <w:sz w:val="26"/>
          <w:szCs w:val="26"/>
        </w:rPr>
        <w:t xml:space="preserve"> </w:t>
      </w:r>
      <w:r w:rsidRPr="4107E398">
        <w:rPr>
          <w:rFonts w:ascii="Arial" w:hAnsi="Arial" w:cs="Arial"/>
          <w:i/>
          <w:iCs/>
          <w:sz w:val="26"/>
          <w:szCs w:val="26"/>
        </w:rPr>
        <w:t>inexigíveis;</w:t>
      </w:r>
    </w:p>
    <w:p w14:paraId="4CA47CE1" w14:textId="6A8FACC6"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f) fixar multa única de R$ 5.000,00 (cinco mil reais) por eventual suspensão do</w:t>
      </w:r>
      <w:r w:rsidR="28790C6B" w:rsidRPr="4107E398">
        <w:rPr>
          <w:rFonts w:ascii="Arial" w:hAnsi="Arial" w:cs="Arial"/>
          <w:i/>
          <w:iCs/>
          <w:sz w:val="26"/>
          <w:szCs w:val="26"/>
        </w:rPr>
        <w:t xml:space="preserve"> </w:t>
      </w:r>
      <w:r w:rsidRPr="4107E398">
        <w:rPr>
          <w:rFonts w:ascii="Arial" w:hAnsi="Arial" w:cs="Arial"/>
          <w:i/>
          <w:iCs/>
          <w:sz w:val="26"/>
          <w:szCs w:val="26"/>
        </w:rPr>
        <w:t>fornecimento de água à unidade consumidora nº 446317-1 fundada nos débitos declarados</w:t>
      </w:r>
      <w:r w:rsidR="70226657" w:rsidRPr="4107E398">
        <w:rPr>
          <w:rFonts w:ascii="Arial" w:hAnsi="Arial" w:cs="Arial"/>
          <w:i/>
          <w:iCs/>
          <w:sz w:val="26"/>
          <w:szCs w:val="26"/>
        </w:rPr>
        <w:t xml:space="preserve"> </w:t>
      </w:r>
      <w:r w:rsidRPr="4107E398">
        <w:rPr>
          <w:rFonts w:ascii="Arial" w:hAnsi="Arial" w:cs="Arial"/>
          <w:i/>
          <w:iCs/>
          <w:sz w:val="26"/>
          <w:szCs w:val="26"/>
        </w:rPr>
        <w:t>inexigíveis, sem prejuízo do imediato restabelecimento do serviço.</w:t>
      </w:r>
    </w:p>
    <w:p w14:paraId="49F91EA9" w14:textId="06C12DEE" w:rsidR="0006080C" w:rsidRPr="000A7009" w:rsidRDefault="05BB4403" w:rsidP="4107E398">
      <w:pPr>
        <w:spacing w:after="0" w:line="360" w:lineRule="auto"/>
        <w:ind w:left="2268" w:firstLine="1134"/>
        <w:jc w:val="both"/>
      </w:pPr>
      <w:r w:rsidRPr="4107E398">
        <w:rPr>
          <w:rFonts w:ascii="Arial" w:hAnsi="Arial" w:cs="Arial"/>
          <w:i/>
          <w:iCs/>
          <w:sz w:val="26"/>
          <w:szCs w:val="26"/>
        </w:rPr>
        <w:t>Mantenho a gratuidade de justiça deferida à demandante.</w:t>
      </w:r>
      <w:r w:rsidR="1B6F770A" w:rsidRPr="4107E398">
        <w:rPr>
          <w:rFonts w:ascii="Arial" w:hAnsi="Arial" w:cs="Arial"/>
          <w:i/>
          <w:iCs/>
          <w:sz w:val="26"/>
          <w:szCs w:val="26"/>
        </w:rPr>
        <w:t xml:space="preserve"> </w:t>
      </w:r>
    </w:p>
    <w:p w14:paraId="5B1FCFB2" w14:textId="6630C52E"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Reconheço a sucumbência recíproca. Quatro das cinco parcelas impugnadas foram</w:t>
      </w:r>
      <w:r w:rsidR="5C0A4B1B" w:rsidRPr="4107E398">
        <w:rPr>
          <w:rFonts w:ascii="Arial" w:hAnsi="Arial" w:cs="Arial"/>
          <w:i/>
          <w:iCs/>
          <w:sz w:val="26"/>
          <w:szCs w:val="26"/>
        </w:rPr>
        <w:t xml:space="preserve"> </w:t>
      </w:r>
      <w:r w:rsidRPr="4107E398">
        <w:rPr>
          <w:rFonts w:ascii="Arial" w:hAnsi="Arial" w:cs="Arial"/>
          <w:i/>
          <w:iCs/>
          <w:sz w:val="26"/>
          <w:szCs w:val="26"/>
        </w:rPr>
        <w:lastRenderedPageBreak/>
        <w:t>acolhidas em favor da requerente, e uma foi mantida em favor da requerida. Distribuo a</w:t>
      </w:r>
      <w:r w:rsidR="017FE440" w:rsidRPr="4107E398">
        <w:rPr>
          <w:rFonts w:ascii="Arial" w:hAnsi="Arial" w:cs="Arial"/>
          <w:i/>
          <w:iCs/>
          <w:sz w:val="26"/>
          <w:szCs w:val="26"/>
        </w:rPr>
        <w:t xml:space="preserve"> </w:t>
      </w:r>
      <w:r w:rsidRPr="4107E398">
        <w:rPr>
          <w:rFonts w:ascii="Arial" w:hAnsi="Arial" w:cs="Arial"/>
          <w:i/>
          <w:iCs/>
          <w:sz w:val="26"/>
          <w:szCs w:val="26"/>
        </w:rPr>
        <w:t>responsabilidade pelas custas processuais na proporção de 80% para a CAESB e 20% para a</w:t>
      </w:r>
      <w:r w:rsidR="3066990F" w:rsidRPr="4107E398">
        <w:rPr>
          <w:rFonts w:ascii="Arial" w:hAnsi="Arial" w:cs="Arial"/>
          <w:i/>
          <w:iCs/>
          <w:sz w:val="26"/>
          <w:szCs w:val="26"/>
        </w:rPr>
        <w:t xml:space="preserve"> </w:t>
      </w:r>
      <w:r w:rsidRPr="4107E398">
        <w:rPr>
          <w:rFonts w:ascii="Arial" w:hAnsi="Arial" w:cs="Arial"/>
          <w:i/>
          <w:iCs/>
          <w:sz w:val="26"/>
          <w:szCs w:val="26"/>
        </w:rPr>
        <w:t>autora.</w:t>
      </w:r>
    </w:p>
    <w:p w14:paraId="7AE77A21" w14:textId="319E2D9A" w:rsidR="0006080C" w:rsidRPr="000A7009" w:rsidRDefault="05BB4403" w:rsidP="4107E398">
      <w:pPr>
        <w:spacing w:after="0" w:line="360" w:lineRule="auto"/>
        <w:ind w:left="2268" w:firstLine="1134"/>
        <w:jc w:val="both"/>
        <w:rPr>
          <w:rFonts w:ascii="Arial" w:hAnsi="Arial" w:cs="Arial"/>
          <w:i/>
          <w:iCs/>
          <w:sz w:val="26"/>
          <w:szCs w:val="26"/>
        </w:rPr>
      </w:pPr>
      <w:commentRangeStart w:id="10"/>
      <w:r>
        <w:rPr>
          <w:rFonts w:ascii="Arial" w:hAnsi="Arial" w:cs="Arial"/>
          <w:i/>
          <w:iCs/>
          <w:sz w:val="26"/>
          <w:szCs w:val="26"/>
        </w:rPr>
        <w:t>Fixo, em favor da parte autora, honorários advocatícios de sucumbência, os quais, considerando o baixo valor da causa (R$ 1.765,64), a natureza da demanda, o trabalho desempenhado pela Defensoria Pública e o extenso trâmite processual, arbitro por equidade em R$ 1.000,00 (mil reais), com fundamento no art. 85, § 8º, do Código de Processo Civil.</w:t>
      </w:r>
      <w:r>
        <w:rPr>
          <w:rFonts w:ascii="Arial" w:hAnsi="Arial" w:cs="Arial"/>
          <w:i/>
          <w:iCs/>
          <w:color w:val="808080"/>
          <w:sz w:val="26"/>
          <w:szCs w:val="26"/>
        </w:rPr>
        <w:t xml:space="preserve"> (...)</w:t>
      </w:r>
      <w:commentRangeEnd w:id="10"/>
      <w:r w:rsidRPr="000A7009">
        <w:rPr>
          <w:rStyle w:val="Refdecomentrio"/>
          <w:rFonts w:ascii="Arial" w:hAnsi="Arial" w:cs="Arial"/>
          <w:i/>
          <w:iCs/>
          <w:sz w:val="26"/>
          <w:szCs w:val="26"/>
        </w:rPr>
        <w:commentReference w:id="10"/>
      </w:r>
    </w:p>
    <w:p w14:paraId="4184BF0B" w14:textId="5E2A109F" w:rsidR="0006080C" w:rsidRPr="000A7009" w:rsidRDefault="05BB4403" w:rsidP="4107E398">
      <w:pPr>
        <w:spacing w:after="0" w:line="360" w:lineRule="auto"/>
        <w:ind w:left="2268" w:firstLine="1134"/>
        <w:jc w:val="both"/>
        <w:rPr>
          <w:rFonts w:ascii="Arial" w:hAnsi="Arial" w:cs="Arial"/>
          <w:i/>
          <w:iCs/>
          <w:sz w:val="26"/>
          <w:szCs w:val="26"/>
        </w:rPr>
      </w:pPr>
      <w:r>
        <w:rPr>
          <w:rFonts w:ascii="Arial" w:hAnsi="Arial" w:cs="Arial"/>
          <w:i/>
          <w:iCs/>
          <w:sz w:val="26"/>
          <w:szCs w:val="26"/>
        </w:rPr>
        <w:t>Fixo, em favor da parte requerida, honorários advocatícios de sucumbência, também por</w:t>
      </w:r>
      <w:r>
        <w:rPr>
          <w:rFonts w:ascii="Arial" w:hAnsi="Arial" w:cs="Arial"/>
          <w:i/>
          <w:iCs/>
          <w:color w:val="808080"/>
          <w:sz w:val="26"/>
          <w:szCs w:val="26"/>
        </w:rPr>
        <w:t xml:space="preserve"> equidade, no valor de R$ 300,00 (trezentos reais), com fundamento no art. 85, § 8º, do Código de Processo Civil, cuja exigibilidade fica suspensa em razão da gratuidade de justiça, nos termos do art. 98, § 3º, do mesmo diploma.</w:t>
      </w:r>
    </w:p>
    <w:p w14:paraId="163354A9" w14:textId="3EEE2A5A" w:rsidR="0006080C" w:rsidRPr="000A7009" w:rsidRDefault="05BB4403" w:rsidP="4107E398">
      <w:pPr>
        <w:spacing w:after="0" w:line="360" w:lineRule="auto"/>
        <w:ind w:left="2268" w:firstLine="1134"/>
        <w:jc w:val="both"/>
        <w:rPr>
          <w:rFonts w:ascii="Arial" w:hAnsi="Arial" w:cs="Arial"/>
          <w:i/>
          <w:iCs/>
          <w:sz w:val="26"/>
          <w:szCs w:val="26"/>
        </w:rPr>
      </w:pPr>
      <w:r>
        <w:rPr>
          <w:rFonts w:ascii="Arial" w:hAnsi="Arial" w:cs="Arial"/>
          <w:i/>
          <w:iCs/>
          <w:sz w:val="26"/>
          <w:szCs w:val="26"/>
        </w:rPr>
        <w:t>As verbas de sucumbência serão corrigidas pelo IPCA a partir desta data. Os juros de mora, pela SELIC deduzido o IPCA no período, com piso zero se o resultado for negativo, incidirão a partir do trânsito em julgado.”</w:t>
      </w:r>
      <w:r>
        <w:rPr>
          <w:rFonts w:ascii="Arial" w:hAnsi="Arial" w:cs="Arial"/>
          <w:i/>
          <w:iCs/>
          <w:color w:val="808080"/>
          <w:sz w:val="26"/>
          <w:szCs w:val="26"/>
        </w:rPr>
        <w:t xml:space="preserve"> (ID 89370577).</w:t>
      </w:r>
    </w:p>
    <w:p w14:paraId="41F018EC" w14:textId="77777777" w:rsidR="0061262D" w:rsidRDefault="0061262D" w:rsidP="00DB1301">
      <w:pPr>
        <w:spacing w:after="0" w:line="360" w:lineRule="auto"/>
        <w:ind w:firstLine="2268"/>
        <w:jc w:val="both"/>
        <w:rPr>
          <w:rFonts w:ascii="Arial" w:hAnsi="Arial" w:cs="Arial"/>
          <w:sz w:val="28"/>
          <w:szCs w:val="28"/>
        </w:rPr>
      </w:pPr>
    </w:p>
    <w:p w14:paraId="43031BE0" w14:textId="01CC2615" w:rsidR="3D4C00F3" w:rsidRDefault="3D4C00F3" w:rsidP="4107E398">
      <w:pPr>
        <w:pStyle w:val="PargrafodaLista"/>
        <w:spacing w:after="0" w:line="360" w:lineRule="auto"/>
        <w:ind w:left="0" w:firstLine="2268"/>
        <w:jc w:val="both"/>
      </w:pPr>
      <w:r>
        <w:rPr>
          <w:rFonts w:ascii="Arial" w:eastAsia="Arial" w:hAnsi="Arial" w:cs="Arial"/>
          <w:sz w:val="28"/>
          <w:szCs w:val="28"/>
        </w:rPr>
        <w:t>A ré/apelada opôs embargos de declaração (ID 89370579</w:t>
      </w:r>
      <w:r>
        <w:rPr>
          <w:rFonts w:ascii="Arial" w:eastAsia="Arial" w:hAnsi="Arial" w:cs="Arial"/>
          <w:color w:val="808080"/>
          <w:sz w:val="28"/>
          <w:szCs w:val="28"/>
        </w:rPr>
        <w:t>)</w:t>
      </w:r>
      <w:r>
        <w:rPr>
          <w:rFonts w:ascii="Arial" w:eastAsia="Arial" w:hAnsi="Arial" w:cs="Arial"/>
          <w:sz w:val="28"/>
          <w:szCs w:val="28"/>
        </w:rPr>
        <w:t>, os quais foram rejeitados (ID 89370585).</w:t>
      </w:r>
    </w:p>
    <w:p w14:paraId="1971E262" w14:textId="44E38EF1" w:rsidR="4107E398" w:rsidRDefault="4107E398" w:rsidP="4107E398">
      <w:pPr>
        <w:pStyle w:val="PargrafodaLista"/>
        <w:spacing w:after="0" w:line="360" w:lineRule="auto"/>
        <w:ind w:left="0" w:firstLine="2268"/>
        <w:jc w:val="both"/>
        <w:rPr>
          <w:rFonts w:ascii="Arial" w:eastAsia="Arial" w:hAnsi="Arial" w:cs="Arial"/>
          <w:sz w:val="28"/>
          <w:szCs w:val="28"/>
        </w:rPr>
      </w:pPr>
    </w:p>
    <w:p w14:paraId="57FA5E4A" w14:textId="2681E534" w:rsidR="005071AF" w:rsidRDefault="00BE29E8" w:rsidP="4107E398">
      <w:pPr>
        <w:pStyle w:val="PargrafodaLista"/>
        <w:spacing w:after="0" w:line="360" w:lineRule="auto"/>
        <w:ind w:left="0" w:firstLine="2268"/>
        <w:jc w:val="both"/>
        <w:rPr>
          <w:rFonts w:ascii="Arial" w:eastAsia="Arial" w:hAnsi="Arial" w:cs="Arial"/>
          <w:sz w:val="28"/>
          <w:szCs w:val="28"/>
        </w:rPr>
      </w:pPr>
      <w:commentRangeStart w:id="11"/>
      <w:r>
        <w:rPr>
          <w:rFonts w:ascii="Arial" w:eastAsia="Arial" w:hAnsi="Arial" w:cs="Arial"/>
          <w:sz w:val="28"/>
          <w:szCs w:val="28"/>
        </w:rPr>
        <w:t xml:space="preserve">Apelo </w:t>
      </w:r>
      <w:r>
        <w:rPr>
          <w:rFonts w:ascii="Arial" w:eastAsia="Arial" w:hAnsi="Arial" w:cs="Arial"/>
          <w:color w:val="808080"/>
          <w:sz w:val="28"/>
          <w:szCs w:val="28"/>
        </w:rPr>
        <w:t>da</w:t>
      </w:r>
      <w:r>
        <w:rPr>
          <w:rFonts w:ascii="Arial" w:eastAsia="Arial" w:hAnsi="Arial" w:cs="Arial"/>
          <w:sz w:val="28"/>
          <w:szCs w:val="28"/>
        </w:rPr>
        <w:t xml:space="preserve"> autora, Maria Pereira de Brito (ID 89370589), em que alega, em síntese, que: </w:t>
      </w:r>
      <w:r>
        <w:rPr>
          <w:rFonts w:ascii="Arial" w:eastAsia="Arial" w:hAnsi="Arial" w:cs="Arial"/>
          <w:b/>
          <w:bCs/>
          <w:sz w:val="28"/>
          <w:szCs w:val="28"/>
        </w:rPr>
        <w:t xml:space="preserve">1) </w:t>
      </w:r>
      <w:r>
        <w:rPr>
          <w:rFonts w:ascii="Arial" w:eastAsia="Arial" w:hAnsi="Arial" w:cs="Arial"/>
          <w:sz w:val="28"/>
          <w:szCs w:val="28"/>
        </w:rPr>
        <w:t xml:space="preserve">o débito referente a dezembro de 2020 também deve ser declarado inexigível, pois a </w:t>
      </w:r>
      <w:r>
        <w:rPr>
          <w:rFonts w:ascii="Arial" w:eastAsia="Arial" w:hAnsi="Arial" w:cs="Arial"/>
          <w:sz w:val="28"/>
          <w:szCs w:val="28"/>
        </w:rPr>
        <w:lastRenderedPageBreak/>
        <w:t xml:space="preserve">obrigação decorrente do fornecimento de água possui natureza pessoal e não acompanha o imóvel, sendo indevida a imputação da dívida à apelante com fundamento na condição de mera possuidora ou "consumidora de fato"; </w:t>
      </w:r>
      <w:r>
        <w:rPr>
          <w:rFonts w:ascii="Arial" w:eastAsia="Arial" w:hAnsi="Arial" w:cs="Arial"/>
          <w:b/>
          <w:bCs/>
          <w:sz w:val="28"/>
          <w:szCs w:val="28"/>
        </w:rPr>
        <w:t>2)</w:t>
      </w:r>
      <w:r>
        <w:rPr>
          <w:rFonts w:ascii="Arial" w:eastAsia="Arial" w:hAnsi="Arial" w:cs="Arial"/>
          <w:sz w:val="28"/>
          <w:szCs w:val="28"/>
        </w:rPr>
        <w:t xml:space="preserve"> com o falecimento da titular da unidade consumidora, eventual responsabilidade pelos débitos remanescentes passou a recair sobre o espólio, nos termos do art. 1.997 do Código Civil</w:t>
      </w:r>
      <w:r>
        <w:rPr>
          <w:rFonts w:ascii="Arial" w:eastAsia="Arial" w:hAnsi="Arial" w:cs="Arial"/>
          <w:color w:val="808080"/>
          <w:sz w:val="28"/>
          <w:szCs w:val="28"/>
        </w:rPr>
        <w:t>, e a jurisprudência do TJSP e do STJ veda a cobrança direta de herdeiros ou novos possuidores</w:t>
      </w:r>
      <w:r>
        <w:rPr>
          <w:rFonts w:ascii="Arial" w:eastAsia="Arial" w:hAnsi="Arial" w:cs="Arial"/>
          <w:sz w:val="28"/>
          <w:szCs w:val="28"/>
        </w:rPr>
        <w:t xml:space="preserve">; </w:t>
      </w:r>
      <w:r>
        <w:rPr>
          <w:rFonts w:ascii="Arial" w:eastAsia="Arial" w:hAnsi="Arial" w:cs="Arial"/>
          <w:b/>
          <w:bCs/>
          <w:sz w:val="28"/>
          <w:szCs w:val="28"/>
        </w:rPr>
        <w:t>3)</w:t>
      </w:r>
      <w:r>
        <w:rPr>
          <w:rFonts w:ascii="Arial" w:eastAsia="Arial" w:hAnsi="Arial" w:cs="Arial"/>
          <w:sz w:val="28"/>
          <w:szCs w:val="28"/>
        </w:rPr>
        <w:t xml:space="preserve"> a </w:t>
      </w:r>
      <w:r>
        <w:rPr>
          <w:rFonts w:ascii="Arial" w:eastAsia="Arial" w:hAnsi="Arial" w:cs="Arial"/>
          <w:color w:val="808080"/>
          <w:sz w:val="28"/>
          <w:szCs w:val="28"/>
        </w:rPr>
        <w:t>tese</w:t>
      </w:r>
      <w:r>
        <w:rPr>
          <w:rFonts w:ascii="Arial" w:eastAsia="Arial" w:hAnsi="Arial" w:cs="Arial"/>
          <w:sz w:val="28"/>
          <w:szCs w:val="28"/>
        </w:rPr>
        <w:t xml:space="preserve"> </w:t>
      </w:r>
      <w:r>
        <w:rPr>
          <w:rFonts w:ascii="Arial" w:eastAsia="Arial" w:hAnsi="Arial" w:cs="Arial"/>
          <w:color w:val="808080"/>
          <w:sz w:val="28"/>
          <w:szCs w:val="28"/>
        </w:rPr>
        <w:t>do</w:t>
      </w:r>
      <w:r>
        <w:rPr>
          <w:rFonts w:ascii="Arial" w:eastAsia="Arial" w:hAnsi="Arial" w:cs="Arial"/>
          <w:sz w:val="28"/>
          <w:szCs w:val="28"/>
        </w:rPr>
        <w:t xml:space="preserve"> enriquecimento sem causa</w:t>
      </w:r>
      <w:r>
        <w:rPr>
          <w:rFonts w:ascii="Arial" w:eastAsia="Arial" w:hAnsi="Arial" w:cs="Arial"/>
          <w:color w:val="808080"/>
          <w:sz w:val="28"/>
          <w:szCs w:val="28"/>
        </w:rPr>
        <w:t xml:space="preserve"> deve ser rechaçada</w:t>
      </w:r>
      <w:r>
        <w:rPr>
          <w:rFonts w:ascii="Arial" w:eastAsia="Arial" w:hAnsi="Arial" w:cs="Arial"/>
          <w:sz w:val="28"/>
          <w:szCs w:val="28"/>
        </w:rPr>
        <w:t xml:space="preserve">, </w:t>
      </w:r>
      <w:r>
        <w:rPr>
          <w:rFonts w:ascii="Arial" w:eastAsia="Arial" w:hAnsi="Arial" w:cs="Arial"/>
          <w:color w:val="808080"/>
          <w:sz w:val="28"/>
          <w:szCs w:val="28"/>
        </w:rPr>
        <w:t>pois</w:t>
      </w:r>
      <w:r>
        <w:rPr>
          <w:rFonts w:ascii="Arial" w:eastAsia="Arial" w:hAnsi="Arial" w:cs="Arial"/>
          <w:sz w:val="28"/>
          <w:szCs w:val="28"/>
        </w:rPr>
        <w:t xml:space="preserve"> </w:t>
      </w:r>
      <w:r>
        <w:rPr>
          <w:rFonts w:ascii="Arial" w:eastAsia="Arial" w:hAnsi="Arial" w:cs="Arial"/>
          <w:color w:val="808080"/>
          <w:sz w:val="28"/>
          <w:szCs w:val="28"/>
        </w:rPr>
        <w:t>o</w:t>
      </w:r>
      <w:r>
        <w:rPr>
          <w:rFonts w:ascii="Arial" w:eastAsia="Arial" w:hAnsi="Arial" w:cs="Arial"/>
          <w:sz w:val="28"/>
          <w:szCs w:val="28"/>
        </w:rPr>
        <w:t xml:space="preserve"> </w:t>
      </w:r>
      <w:r>
        <w:rPr>
          <w:rFonts w:ascii="Arial" w:eastAsia="Arial" w:hAnsi="Arial" w:cs="Arial"/>
          <w:color w:val="808080"/>
          <w:sz w:val="28"/>
          <w:szCs w:val="28"/>
        </w:rPr>
        <w:t>enriquecimento</w:t>
      </w:r>
      <w:r>
        <w:rPr>
          <w:rFonts w:ascii="Arial" w:eastAsia="Arial" w:hAnsi="Arial" w:cs="Arial"/>
          <w:sz w:val="28"/>
          <w:szCs w:val="28"/>
        </w:rPr>
        <w:t xml:space="preserve"> </w:t>
      </w:r>
      <w:r>
        <w:rPr>
          <w:rFonts w:ascii="Arial" w:eastAsia="Arial" w:hAnsi="Arial" w:cs="Arial"/>
          <w:color w:val="808080"/>
          <w:sz w:val="28"/>
          <w:szCs w:val="28"/>
        </w:rPr>
        <w:t>ilícito</w:t>
      </w:r>
      <w:r>
        <w:rPr>
          <w:rFonts w:ascii="Arial" w:eastAsia="Arial" w:hAnsi="Arial" w:cs="Arial"/>
          <w:sz w:val="28"/>
          <w:szCs w:val="28"/>
        </w:rPr>
        <w:t xml:space="preserve"> </w:t>
      </w:r>
      <w:r>
        <w:rPr>
          <w:rFonts w:ascii="Arial" w:eastAsia="Arial" w:hAnsi="Arial" w:cs="Arial"/>
          <w:color w:val="808080"/>
          <w:sz w:val="28"/>
          <w:szCs w:val="28"/>
        </w:rPr>
        <w:t>seria</w:t>
      </w:r>
      <w:r>
        <w:rPr>
          <w:rFonts w:ascii="Arial" w:eastAsia="Arial" w:hAnsi="Arial" w:cs="Arial"/>
          <w:sz w:val="28"/>
          <w:szCs w:val="28"/>
        </w:rPr>
        <w:t xml:space="preserve"> </w:t>
      </w:r>
      <w:r>
        <w:rPr>
          <w:rFonts w:ascii="Arial" w:eastAsia="Arial" w:hAnsi="Arial" w:cs="Arial"/>
          <w:color w:val="808080"/>
          <w:sz w:val="28"/>
          <w:szCs w:val="28"/>
        </w:rPr>
        <w:t>da</w:t>
      </w:r>
      <w:r>
        <w:rPr>
          <w:rFonts w:ascii="Arial" w:eastAsia="Arial" w:hAnsi="Arial" w:cs="Arial"/>
          <w:sz w:val="28"/>
          <w:szCs w:val="28"/>
        </w:rPr>
        <w:t xml:space="preserve"> </w:t>
      </w:r>
      <w:r>
        <w:rPr>
          <w:rFonts w:ascii="Arial" w:eastAsia="Arial" w:hAnsi="Arial" w:cs="Arial"/>
          <w:color w:val="808080"/>
          <w:sz w:val="28"/>
          <w:szCs w:val="28"/>
        </w:rPr>
        <w:t>concessionária,</w:t>
      </w:r>
      <w:r>
        <w:rPr>
          <w:rFonts w:ascii="Arial" w:eastAsia="Arial" w:hAnsi="Arial" w:cs="Arial"/>
          <w:sz w:val="28"/>
          <w:szCs w:val="28"/>
        </w:rPr>
        <w:t xml:space="preserve"> </w:t>
      </w:r>
      <w:r>
        <w:rPr>
          <w:rFonts w:ascii="Arial" w:eastAsia="Arial" w:hAnsi="Arial" w:cs="Arial"/>
          <w:color w:val="808080"/>
          <w:sz w:val="28"/>
          <w:szCs w:val="28"/>
        </w:rPr>
        <w:t>que</w:t>
      </w:r>
      <w:r>
        <w:rPr>
          <w:rFonts w:ascii="Arial" w:eastAsia="Arial" w:hAnsi="Arial" w:cs="Arial"/>
          <w:sz w:val="28"/>
          <w:szCs w:val="28"/>
        </w:rPr>
        <w:t xml:space="preserve"> </w:t>
      </w:r>
      <w:r>
        <w:rPr>
          <w:rFonts w:ascii="Arial" w:eastAsia="Arial" w:hAnsi="Arial" w:cs="Arial"/>
          <w:color w:val="808080"/>
          <w:sz w:val="28"/>
          <w:szCs w:val="28"/>
        </w:rPr>
        <w:t>cobra da apelante dívida do espólio em vez</w:t>
      </w:r>
      <w:r>
        <w:rPr>
          <w:rFonts w:ascii="Arial" w:eastAsia="Arial" w:hAnsi="Arial" w:cs="Arial"/>
          <w:sz w:val="28"/>
          <w:szCs w:val="28"/>
        </w:rPr>
        <w:t xml:space="preserve"> de </w:t>
      </w:r>
      <w:r>
        <w:rPr>
          <w:rFonts w:ascii="Arial" w:eastAsia="Arial" w:hAnsi="Arial" w:cs="Arial"/>
          <w:color w:val="808080"/>
          <w:sz w:val="28"/>
          <w:szCs w:val="28"/>
        </w:rPr>
        <w:t>adotar</w:t>
      </w:r>
      <w:r>
        <w:rPr>
          <w:rFonts w:ascii="Arial" w:eastAsia="Arial" w:hAnsi="Arial" w:cs="Arial"/>
          <w:sz w:val="28"/>
          <w:szCs w:val="28"/>
        </w:rPr>
        <w:t xml:space="preserve"> </w:t>
      </w:r>
      <w:r>
        <w:rPr>
          <w:rFonts w:ascii="Arial" w:eastAsia="Arial" w:hAnsi="Arial" w:cs="Arial"/>
          <w:color w:val="808080"/>
          <w:sz w:val="28"/>
          <w:szCs w:val="28"/>
        </w:rPr>
        <w:t>os</w:t>
      </w:r>
      <w:r>
        <w:rPr>
          <w:rFonts w:ascii="Arial" w:eastAsia="Arial" w:hAnsi="Arial" w:cs="Arial"/>
          <w:sz w:val="28"/>
          <w:szCs w:val="28"/>
        </w:rPr>
        <w:t xml:space="preserve"> </w:t>
      </w:r>
      <w:r>
        <w:rPr>
          <w:rFonts w:ascii="Arial" w:eastAsia="Arial" w:hAnsi="Arial" w:cs="Arial"/>
          <w:color w:val="808080"/>
          <w:sz w:val="28"/>
          <w:szCs w:val="28"/>
        </w:rPr>
        <w:t>procedimentos</w:t>
      </w:r>
      <w:r>
        <w:rPr>
          <w:rFonts w:ascii="Arial" w:eastAsia="Arial" w:hAnsi="Arial" w:cs="Arial"/>
          <w:sz w:val="28"/>
          <w:szCs w:val="28"/>
        </w:rPr>
        <w:t xml:space="preserve"> </w:t>
      </w:r>
      <w:r>
        <w:rPr>
          <w:rFonts w:ascii="Arial" w:eastAsia="Arial" w:hAnsi="Arial" w:cs="Arial"/>
          <w:color w:val="808080"/>
          <w:sz w:val="28"/>
          <w:szCs w:val="28"/>
        </w:rPr>
        <w:t>corretos de cobrança</w:t>
      </w:r>
      <w:r>
        <w:rPr>
          <w:rFonts w:ascii="Arial" w:eastAsia="Arial" w:hAnsi="Arial" w:cs="Arial"/>
          <w:sz w:val="28"/>
          <w:szCs w:val="28"/>
        </w:rPr>
        <w:t xml:space="preserve">; e </w:t>
      </w:r>
      <w:r>
        <w:rPr>
          <w:rFonts w:ascii="Arial" w:eastAsia="Arial" w:hAnsi="Arial" w:cs="Arial"/>
          <w:b/>
          <w:bCs/>
          <w:sz w:val="28"/>
          <w:szCs w:val="28"/>
        </w:rPr>
        <w:t>4)</w:t>
      </w:r>
      <w:r>
        <w:rPr>
          <w:rFonts w:ascii="Arial" w:eastAsia="Arial" w:hAnsi="Arial" w:cs="Arial"/>
          <w:sz w:val="28"/>
          <w:szCs w:val="28"/>
        </w:rPr>
        <w:t xml:space="preserve"> a verba sucumbencial deve ser atribuída integralmente à ré.</w:t>
      </w:r>
      <w:commentRangeEnd w:id="11"/>
      <w:r>
        <w:rPr>
          <w:rStyle w:val="Refdecomentrio"/>
          <w:rFonts w:ascii="Arial" w:eastAsia="Arial" w:hAnsi="Arial" w:cs="Arial"/>
          <w:sz w:val="28"/>
          <w:szCs w:val="28"/>
        </w:rPr>
        <w:commentReference w:id="11"/>
      </w:r>
    </w:p>
    <w:p w14:paraId="2BC1AEF8" w14:textId="78B22667" w:rsidR="00BE29E8" w:rsidRDefault="00BE29E8" w:rsidP="00B1523D">
      <w:pPr>
        <w:spacing w:after="0" w:line="360" w:lineRule="auto"/>
        <w:jc w:val="both"/>
        <w:rPr>
          <w:rFonts w:ascii="Arial" w:hAnsi="Arial" w:cs="Arial"/>
          <w:sz w:val="28"/>
          <w:szCs w:val="28"/>
        </w:rPr>
      </w:pPr>
      <w:r w:rsidRPr="00BE29E8">
        <w:rPr>
          <w:rFonts w:ascii="Arial" w:hAnsi="Arial" w:cs="Arial"/>
          <w:sz w:val="28"/>
          <w:szCs w:val="28"/>
        </w:rPr>
        <w:t xml:space="preserve"> </w:t>
      </w:r>
    </w:p>
    <w:p w14:paraId="16C70832" w14:textId="0BB5F734" w:rsidR="00BE29E8" w:rsidRPr="00BE29E8" w:rsidRDefault="00BE29E8" w:rsidP="00BE29E8">
      <w:pPr>
        <w:spacing w:after="0" w:line="360" w:lineRule="auto"/>
        <w:ind w:firstLine="2268"/>
        <w:jc w:val="both"/>
        <w:rPr>
          <w:rFonts w:ascii="Arial" w:hAnsi="Arial" w:cs="Arial"/>
          <w:sz w:val="28"/>
          <w:szCs w:val="28"/>
        </w:rPr>
      </w:pPr>
      <w:r>
        <w:rPr>
          <w:rFonts w:ascii="Arial" w:hAnsi="Arial" w:cs="Arial"/>
          <w:sz w:val="28"/>
          <w:szCs w:val="28"/>
        </w:rPr>
        <w:t xml:space="preserve">Requer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provimento</w:t>
      </w:r>
      <w:r>
        <w:rPr>
          <w:rFonts w:ascii="Arial" w:hAnsi="Arial" w:cs="Arial"/>
          <w:sz w:val="28"/>
          <w:szCs w:val="28"/>
        </w:rPr>
        <w:t xml:space="preserve">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apelo</w:t>
      </w:r>
      <w:r>
        <w:rPr>
          <w:rFonts w:ascii="Arial" w:hAnsi="Arial" w:cs="Arial"/>
          <w:sz w:val="28"/>
          <w:szCs w:val="28"/>
        </w:rPr>
        <w:t xml:space="preserve"> para declarar a inexigibilidade do débito relativo a dezembro de 2020, com a inversão </w:t>
      </w:r>
      <w:r>
        <w:rPr>
          <w:rFonts w:ascii="Arial" w:hAnsi="Arial" w:cs="Arial"/>
          <w:color w:val="808080"/>
          <w:sz w:val="28"/>
          <w:szCs w:val="28"/>
        </w:rPr>
        <w:t>do</w:t>
      </w:r>
      <w:r>
        <w:rPr>
          <w:rFonts w:ascii="Arial" w:hAnsi="Arial" w:cs="Arial"/>
          <w:sz w:val="28"/>
          <w:szCs w:val="28"/>
        </w:rPr>
        <w:t xml:space="preserve"> ônus de sucumbência</w:t>
      </w:r>
      <w:r>
        <w:rPr>
          <w:rFonts w:ascii="Arial" w:hAnsi="Arial" w:cs="Arial"/>
          <w:color w:val="808080"/>
          <w:sz w:val="28"/>
          <w:szCs w:val="28"/>
        </w:rPr>
        <w:t xml:space="preserve"> e a majoração dos honorários em grau recursal (CPC 85 § 11)</w:t>
      </w:r>
      <w:r>
        <w:rPr>
          <w:rFonts w:ascii="Arial" w:hAnsi="Arial" w:cs="Arial"/>
          <w:sz w:val="28"/>
          <w:szCs w:val="28"/>
        </w:rPr>
        <w:t xml:space="preserve">. </w:t>
      </w:r>
    </w:p>
    <w:p w14:paraId="5A305CFD" w14:textId="77777777" w:rsidR="00BE29E8" w:rsidRDefault="00BE29E8" w:rsidP="00882188">
      <w:pPr>
        <w:spacing w:after="0" w:line="360" w:lineRule="auto"/>
        <w:ind w:firstLine="2268"/>
        <w:jc w:val="both"/>
        <w:rPr>
          <w:rFonts w:ascii="Arial" w:hAnsi="Arial" w:cs="Arial"/>
          <w:sz w:val="28"/>
          <w:szCs w:val="28"/>
        </w:rPr>
      </w:pPr>
    </w:p>
    <w:p w14:paraId="4999A7C5" w14:textId="24213B70" w:rsidR="763E3645" w:rsidRDefault="763E3645" w:rsidP="4107E398">
      <w:pPr>
        <w:pStyle w:val="PargrafodaLista"/>
        <w:spacing w:after="0" w:line="360" w:lineRule="auto"/>
        <w:ind w:left="0" w:firstLine="2268"/>
        <w:jc w:val="both"/>
        <w:rPr>
          <w:rFonts w:ascii="Arial" w:eastAsia="Arial" w:hAnsi="Arial" w:cs="Arial"/>
          <w:sz w:val="28"/>
          <w:szCs w:val="28"/>
        </w:rPr>
      </w:pPr>
      <w:r>
        <w:rPr>
          <w:rFonts w:ascii="Arial" w:eastAsia="Arial" w:hAnsi="Arial" w:cs="Arial"/>
          <w:sz w:val="28"/>
          <w:szCs w:val="28"/>
        </w:rPr>
        <w:t xml:space="preserve">Contrarrazões (ID 89370593), em que a ré/apelada </w:t>
      </w:r>
      <w:r>
        <w:rPr>
          <w:rFonts w:ascii="Arial" w:eastAsia="Arial" w:hAnsi="Arial" w:cs="Arial"/>
          <w:color w:val="808080"/>
          <w:sz w:val="28"/>
          <w:szCs w:val="28"/>
        </w:rPr>
        <w:t>alega</w:t>
      </w:r>
      <w:r>
        <w:rPr>
          <w:rFonts w:ascii="Arial" w:eastAsia="Arial" w:hAnsi="Arial" w:cs="Arial"/>
          <w:sz w:val="28"/>
          <w:szCs w:val="28"/>
        </w:rPr>
        <w:t xml:space="preserve"> que</w:t>
      </w:r>
      <w:r>
        <w:rPr>
          <w:rFonts w:ascii="Arial" w:eastAsia="Arial" w:hAnsi="Arial" w:cs="Arial"/>
          <w:color w:val="808080"/>
          <w:sz w:val="28"/>
          <w:szCs w:val="28"/>
        </w:rPr>
        <w:t xml:space="preserve">: </w:t>
      </w:r>
      <w:r>
        <w:rPr>
          <w:rFonts w:ascii="Arial" w:eastAsia="Arial" w:hAnsi="Arial" w:cs="Arial"/>
          <w:b/>
          <w:color w:val="808080"/>
          <w:sz w:val="28"/>
          <w:szCs w:val="28"/>
        </w:rPr>
        <w:t>1)</w:t>
      </w:r>
      <w:r>
        <w:rPr>
          <w:rFonts w:ascii="Arial" w:eastAsia="Arial" w:hAnsi="Arial" w:cs="Arial"/>
          <w:sz w:val="28"/>
          <w:szCs w:val="28"/>
        </w:rPr>
        <w:t xml:space="preserve"> o débito referente a dezembro de 2020 é de responsabilidade da autora, que </w:t>
      </w:r>
      <w:r>
        <w:rPr>
          <w:rFonts w:ascii="Arial" w:eastAsia="Arial" w:hAnsi="Arial" w:cs="Arial"/>
          <w:color w:val="808080"/>
          <w:sz w:val="28"/>
          <w:szCs w:val="28"/>
        </w:rPr>
        <w:t>afirma</w:t>
      </w:r>
      <w:r>
        <w:rPr>
          <w:rFonts w:ascii="Arial" w:eastAsia="Arial" w:hAnsi="Arial" w:cs="Arial"/>
          <w:sz w:val="28"/>
          <w:szCs w:val="28"/>
        </w:rPr>
        <w:t xml:space="preserve"> </w:t>
      </w:r>
      <w:r>
        <w:rPr>
          <w:rFonts w:ascii="Arial" w:eastAsia="Arial" w:hAnsi="Arial" w:cs="Arial"/>
          <w:color w:val="808080"/>
          <w:sz w:val="28"/>
          <w:szCs w:val="28"/>
        </w:rPr>
        <w:t>ter estado no</w:t>
      </w:r>
      <w:r>
        <w:rPr>
          <w:rFonts w:ascii="Arial" w:eastAsia="Arial" w:hAnsi="Arial" w:cs="Arial"/>
          <w:sz w:val="28"/>
          <w:szCs w:val="28"/>
        </w:rPr>
        <w:t xml:space="preserve"> imóvel no período</w:t>
      </w:r>
      <w:r>
        <w:rPr>
          <w:rFonts w:ascii="Arial" w:eastAsia="Arial" w:hAnsi="Arial" w:cs="Arial"/>
          <w:color w:val="808080"/>
          <w:sz w:val="28"/>
          <w:szCs w:val="28"/>
        </w:rPr>
        <w:t xml:space="preserve">; e </w:t>
      </w:r>
      <w:r>
        <w:rPr>
          <w:rFonts w:ascii="Arial" w:eastAsia="Arial" w:hAnsi="Arial" w:cs="Arial"/>
          <w:b/>
          <w:color w:val="808080"/>
          <w:sz w:val="28"/>
          <w:szCs w:val="28"/>
        </w:rPr>
        <w:t>2)</w:t>
      </w:r>
      <w:r>
        <w:rPr>
          <w:rFonts w:ascii="Arial" w:eastAsia="Arial" w:hAnsi="Arial" w:cs="Arial"/>
          <w:color w:val="808080"/>
          <w:sz w:val="28"/>
          <w:szCs w:val="28"/>
        </w:rPr>
        <w:t xml:space="preserve"> a sucumbência é recíproca, por critério objetivo</w:t>
      </w:r>
      <w:r>
        <w:rPr>
          <w:rFonts w:ascii="Arial" w:eastAsia="Arial" w:hAnsi="Arial" w:cs="Arial"/>
          <w:sz w:val="28"/>
          <w:szCs w:val="28"/>
        </w:rPr>
        <w:t>.</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5A5C960D" w14:textId="3A298C37" w:rsidR="00882188" w:rsidRDefault="00882188" w:rsidP="00F8450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507A45CD" w14:textId="77777777" w:rsidR="00A56326" w:rsidRDefault="00A56326" w:rsidP="00F8450D">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EE4F9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EE4F9E">
      <w:pPr>
        <w:spacing w:after="0" w:line="360" w:lineRule="auto"/>
        <w:ind w:firstLine="2268"/>
        <w:jc w:val="both"/>
        <w:rPr>
          <w:rFonts w:ascii="Arial" w:hAnsi="Arial" w:cs="Arial"/>
          <w:sz w:val="28"/>
          <w:szCs w:val="28"/>
        </w:rPr>
      </w:pPr>
    </w:p>
    <w:p w14:paraId="61AE6B8E" w14:textId="1EDAD045" w:rsidR="00355C73" w:rsidRDefault="00A72414" w:rsidP="00EE4F9E">
      <w:pPr>
        <w:spacing w:after="0" w:line="360" w:lineRule="auto"/>
        <w:ind w:firstLine="2268"/>
        <w:jc w:val="both"/>
        <w:rPr>
          <w:rFonts w:ascii="Arial" w:hAnsi="Arial" w:cs="Arial"/>
          <w:sz w:val="28"/>
          <w:szCs w:val="28"/>
        </w:rPr>
      </w:pPr>
      <w:r>
        <w:rPr>
          <w:rFonts w:ascii="Arial" w:hAnsi="Arial" w:cs="Arial"/>
          <w:sz w:val="28"/>
          <w:szCs w:val="28"/>
        </w:rPr>
        <w:t>Ação ajuizada em 28/10/2025. Sentença proferida em 08/07</w:t>
      </w:r>
      <w:r>
        <w:rPr>
          <w:rFonts w:ascii="Arial" w:hAnsi="Arial" w:cs="Arial"/>
          <w:color w:val="808080"/>
          <w:sz w:val="28"/>
          <w:szCs w:val="28"/>
        </w:rPr>
        <w:t>/2026. Sentença em embargos de declaração proferida em 12/08</w:t>
      </w:r>
      <w:r>
        <w:rPr>
          <w:rFonts w:ascii="Arial" w:hAnsi="Arial" w:cs="Arial"/>
          <w:sz w:val="28"/>
          <w:szCs w:val="28"/>
        </w:rPr>
        <w:t>/2026. Apelo interposto em 14/08/2026. Valor da causa: R$ 1.765,64.</w:t>
      </w:r>
    </w:p>
    <w:p w14:paraId="58BDE931" w14:textId="77777777" w:rsidR="00355C73" w:rsidRDefault="00355C73" w:rsidP="00EE4F9E">
      <w:pPr>
        <w:spacing w:after="0" w:line="360" w:lineRule="auto"/>
        <w:ind w:firstLine="2268"/>
        <w:jc w:val="both"/>
        <w:rPr>
          <w:rFonts w:ascii="Arial" w:hAnsi="Arial" w:cs="Arial"/>
          <w:sz w:val="28"/>
          <w:szCs w:val="28"/>
        </w:rPr>
      </w:pPr>
    </w:p>
    <w:p w14:paraId="6DD4E06C" w14:textId="3A34E75F" w:rsidR="00A72414" w:rsidRPr="00944F7C" w:rsidRDefault="00A72414" w:rsidP="00EE4F9E">
      <w:pPr>
        <w:spacing w:after="0" w:line="360" w:lineRule="auto"/>
        <w:jc w:val="center"/>
        <w:rPr>
          <w:rFonts w:ascii="Arial" w:hAnsi="Arial" w:cs="Arial"/>
          <w:b/>
          <w:bCs/>
          <w:color w:val="000000" w:themeColor="text1"/>
          <w:sz w:val="28"/>
          <w:szCs w:val="28"/>
        </w:rPr>
      </w:pPr>
      <w:r w:rsidRPr="4107E398">
        <w:rPr>
          <w:rFonts w:ascii="Arial" w:hAnsi="Arial" w:cs="Arial"/>
          <w:b/>
          <w:bCs/>
          <w:color w:val="000000" w:themeColor="text1"/>
          <w:sz w:val="28"/>
          <w:szCs w:val="28"/>
        </w:rPr>
        <w:t>APELO D</w:t>
      </w:r>
      <w:r w:rsidR="63EC5803" w:rsidRPr="4107E398">
        <w:rPr>
          <w:rFonts w:ascii="Arial" w:hAnsi="Arial" w:cs="Arial"/>
          <w:b/>
          <w:bCs/>
          <w:color w:val="000000" w:themeColor="text1"/>
          <w:sz w:val="28"/>
          <w:szCs w:val="28"/>
        </w:rPr>
        <w:t>A</w:t>
      </w:r>
      <w:r w:rsidRPr="4107E398">
        <w:rPr>
          <w:rFonts w:ascii="Arial" w:hAnsi="Arial" w:cs="Arial"/>
          <w:b/>
          <w:bCs/>
          <w:color w:val="000000" w:themeColor="text1"/>
          <w:sz w:val="28"/>
          <w:szCs w:val="28"/>
        </w:rPr>
        <w:t xml:space="preserve"> AUTOR</w:t>
      </w:r>
      <w:r w:rsidR="4EC7DD80" w:rsidRPr="4107E398">
        <w:rPr>
          <w:rFonts w:ascii="Arial" w:hAnsi="Arial" w:cs="Arial"/>
          <w:b/>
          <w:bCs/>
          <w:color w:val="000000" w:themeColor="text1"/>
          <w:sz w:val="28"/>
          <w:szCs w:val="28"/>
        </w:rPr>
        <w:t>A</w:t>
      </w:r>
      <w:r w:rsidRPr="4107E398">
        <w:rPr>
          <w:rFonts w:ascii="Arial" w:hAnsi="Arial" w:cs="Arial"/>
          <w:b/>
          <w:bCs/>
          <w:color w:val="000000" w:themeColor="text1"/>
          <w:sz w:val="28"/>
          <w:szCs w:val="28"/>
        </w:rPr>
        <w:t xml:space="preserve">, </w:t>
      </w:r>
      <w:r w:rsidR="7153BFE0" w:rsidRPr="4107E398">
        <w:rPr>
          <w:rFonts w:ascii="Arial" w:hAnsi="Arial" w:cs="Arial"/>
          <w:b/>
          <w:bCs/>
          <w:color w:val="000000" w:themeColor="text1"/>
          <w:sz w:val="28"/>
          <w:szCs w:val="28"/>
        </w:rPr>
        <w:t>MARIA PEREIRA DE BRITO</w:t>
      </w:r>
    </w:p>
    <w:p w14:paraId="13AD960C" w14:textId="77777777" w:rsidR="000F7187" w:rsidRDefault="000F7187">
      <w:pPr>
        <w:spacing w:after="0" w:line="360" w:lineRule="auto"/>
        <w:jc w:val="center"/>
        <w:rPr>
          <w:rFonts w:ascii="Arial" w:hAnsi="Arial" w:cs="Arial"/>
          <w:b/>
          <w:bCs/>
          <w:color w:val="000000" w:themeColor="text1"/>
          <w:sz w:val="28"/>
          <w:szCs w:val="28"/>
        </w:rPr>
      </w:pPr>
    </w:p>
    <w:p w14:paraId="0562076E" w14:textId="77777777" w:rsidR="000F7187" w:rsidRDefault="00000000">
      <w:pPr>
        <w:spacing w:after="0" w:line="360" w:lineRule="auto"/>
        <w:ind w:firstLine="2268"/>
        <w:jc w:val="both"/>
        <w:rPr>
          <w:rFonts w:ascii="Arial" w:hAnsi="Arial" w:cs="Arial"/>
          <w:b/>
          <w:bCs/>
          <w:color w:val="000000" w:themeColor="text1"/>
          <w:sz w:val="28"/>
          <w:szCs w:val="28"/>
        </w:rPr>
      </w:pPr>
      <w:r>
        <w:rPr>
          <w:rFonts w:ascii="Arial" w:hAnsi="Arial" w:cs="Arial"/>
          <w:bCs/>
          <w:color w:val="808080"/>
          <w:sz w:val="28"/>
          <w:szCs w:val="28"/>
        </w:rPr>
        <w:t>Presentes os pressupostos de admissibilidade, conheço do apelo.</w:t>
      </w:r>
    </w:p>
    <w:p w14:paraId="5B5F0A2E" w14:textId="77777777" w:rsidR="00EB3378" w:rsidRPr="007E1C8C" w:rsidRDefault="00EB3378" w:rsidP="00EE4F9E">
      <w:pPr>
        <w:spacing w:after="0" w:line="360" w:lineRule="auto"/>
        <w:ind w:firstLine="2268"/>
        <w:jc w:val="both"/>
        <w:rPr>
          <w:rFonts w:ascii="Arial" w:hAnsi="Arial" w:cs="Arial"/>
          <w:color w:val="000000" w:themeColor="text1"/>
          <w:sz w:val="28"/>
          <w:szCs w:val="28"/>
        </w:rPr>
      </w:pPr>
    </w:p>
    <w:p w14:paraId="5431CCC9" w14:textId="09273E31" w:rsidR="00341D84" w:rsidRDefault="00341D84" w:rsidP="00EE4F9E">
      <w:pPr>
        <w:spacing w:after="0" w:line="360" w:lineRule="auto"/>
        <w:ind w:hanging="142"/>
        <w:jc w:val="center"/>
        <w:rPr>
          <w:rFonts w:ascii="Arial" w:hAnsi="Arial" w:cs="Arial"/>
          <w:sz w:val="28"/>
          <w:szCs w:val="28"/>
        </w:rPr>
      </w:pPr>
      <w:commentRangeStart w:id="12"/>
      <w:r>
        <w:rPr>
          <w:rFonts w:ascii="Arial" w:hAnsi="Arial" w:cs="Arial"/>
          <w:sz w:val="28"/>
          <w:szCs w:val="28"/>
          <w:highlight w:val="yellow"/>
        </w:rPr>
        <w:t>DA</w:t>
      </w:r>
      <w:r>
        <w:rPr>
          <w:rFonts w:ascii="Arial" w:hAnsi="Arial" w:cs="Arial"/>
          <w:color w:val="808080"/>
          <w:sz w:val="28"/>
          <w:szCs w:val="28"/>
          <w:highlight w:val="yellow"/>
        </w:rPr>
        <w:t xml:space="preserve"> DECLARAÇÃO DE</w:t>
      </w:r>
      <w:r>
        <w:rPr>
          <w:rFonts w:ascii="Arial" w:hAnsi="Arial" w:cs="Arial"/>
          <w:sz w:val="28"/>
          <w:szCs w:val="28"/>
          <w:highlight w:val="yellow"/>
        </w:rPr>
        <w:t xml:space="preserve"> INEXIGIBILIDADE DO DÉBITO </w:t>
      </w:r>
      <w:r>
        <w:rPr>
          <w:rFonts w:ascii="Arial" w:hAnsi="Arial" w:cs="Arial"/>
          <w:color w:val="808080"/>
          <w:sz w:val="28"/>
          <w:szCs w:val="28"/>
          <w:highlight w:val="yellow"/>
        </w:rPr>
        <w:t>DE</w:t>
      </w:r>
      <w:r>
        <w:rPr>
          <w:rFonts w:ascii="Arial" w:hAnsi="Arial" w:cs="Arial"/>
          <w:sz w:val="28"/>
          <w:szCs w:val="28"/>
          <w:highlight w:val="yellow"/>
        </w:rPr>
        <w:t xml:space="preserve"> DEZEMBRO DE 2020</w:t>
      </w:r>
      <w:r>
        <w:rPr>
          <w:rFonts w:ascii="Arial" w:hAnsi="Arial" w:cs="Arial"/>
          <w:color w:val="808080"/>
          <w:sz w:val="28"/>
          <w:szCs w:val="28"/>
          <w:highlight w:val="yellow"/>
        </w:rPr>
        <w:t xml:space="preserve"> POR AUSÊNCIA DE PROVA DO CONSUMO</w:t>
      </w:r>
      <w:commentRangeEnd w:id="12"/>
      <w:r>
        <w:rPr>
          <w:rStyle w:val="Refdecomentrio"/>
          <w:rFonts w:ascii="Arial" w:hAnsi="Arial" w:cs="Arial"/>
          <w:sz w:val="28"/>
          <w:szCs w:val="28"/>
        </w:rPr>
        <w:commentReference w:id="12"/>
      </w:r>
    </w:p>
    <w:p w14:paraId="158A262B" w14:textId="77777777" w:rsidR="00341D84" w:rsidRDefault="00341D84" w:rsidP="00EE4F9E">
      <w:pPr>
        <w:spacing w:after="0" w:line="360" w:lineRule="auto"/>
        <w:ind w:firstLine="2268"/>
        <w:jc w:val="both"/>
        <w:rPr>
          <w:rFonts w:ascii="Arial" w:eastAsia="Arial" w:hAnsi="Arial" w:cs="Arial"/>
          <w:sz w:val="28"/>
          <w:szCs w:val="28"/>
        </w:rPr>
      </w:pPr>
    </w:p>
    <w:p w14:paraId="1ED1A979" w14:textId="26AB9D7C" w:rsidR="00341D84" w:rsidRPr="007E1C8C" w:rsidRDefault="242F8314" w:rsidP="00EE4F9E">
      <w:pPr>
        <w:spacing w:after="0" w:line="360" w:lineRule="auto"/>
        <w:ind w:firstLine="2268"/>
        <w:jc w:val="both"/>
        <w:rPr>
          <w:rFonts w:ascii="Arial" w:eastAsia="Arial" w:hAnsi="Arial" w:cs="Arial"/>
          <w:sz w:val="28"/>
          <w:szCs w:val="28"/>
        </w:rPr>
      </w:pPr>
      <w:commentRangeStart w:id="13"/>
      <w:r>
        <w:rPr>
          <w:rFonts w:ascii="Arial" w:eastAsia="Arial" w:hAnsi="Arial" w:cs="Arial"/>
          <w:color w:val="000000" w:themeColor="text1"/>
          <w:sz w:val="28"/>
          <w:szCs w:val="28"/>
        </w:rPr>
        <w:t xml:space="preserve">A </w:t>
      </w:r>
      <w:r>
        <w:rPr>
          <w:rFonts w:ascii="Arial" w:eastAsia="Arial" w:hAnsi="Arial" w:cs="Arial"/>
          <w:color w:val="808080"/>
          <w:sz w:val="28"/>
          <w:szCs w:val="28"/>
        </w:rPr>
        <w:t>autora/</w:t>
      </w:r>
      <w:r>
        <w:rPr>
          <w:rFonts w:ascii="Arial" w:eastAsia="Arial" w:hAnsi="Arial" w:cs="Arial"/>
          <w:color w:val="000000" w:themeColor="text1"/>
          <w:sz w:val="28"/>
          <w:szCs w:val="28"/>
        </w:rPr>
        <w:t xml:space="preserve">apelante alega que: </w:t>
      </w:r>
      <w:r>
        <w:rPr>
          <w:rFonts w:ascii="Arial" w:eastAsia="Arial" w:hAnsi="Arial" w:cs="Arial"/>
          <w:b/>
          <w:bCs/>
          <w:color w:val="000000" w:themeColor="text1"/>
          <w:sz w:val="28"/>
          <w:szCs w:val="28"/>
        </w:rPr>
        <w:t>1)</w:t>
      </w:r>
      <w:r>
        <w:rPr>
          <w:rFonts w:ascii="Arial" w:eastAsia="Arial" w:hAnsi="Arial" w:cs="Arial"/>
          <w:sz w:val="28"/>
          <w:szCs w:val="28"/>
        </w:rPr>
        <w:t xml:space="preserve"> o débito referente ao mês de dezembro de 2020 também deve ser declarado inexigível, pois a obrigação decorrente do fornecimento de água possui natureza pessoal e não acompanha o imóvel, sendo indevida a imputação da dívida à apelante com fundamento na condição de mera possuidora ou </w:t>
      </w:r>
      <w:r>
        <w:rPr>
          <w:rFonts w:ascii="Arial" w:eastAsia="Arial" w:hAnsi="Arial" w:cs="Arial"/>
          <w:color w:val="808080"/>
          <w:sz w:val="28"/>
          <w:szCs w:val="28"/>
        </w:rPr>
        <w:t>“</w:t>
      </w:r>
      <w:r>
        <w:rPr>
          <w:rFonts w:ascii="Arial" w:eastAsia="Arial" w:hAnsi="Arial" w:cs="Arial"/>
          <w:sz w:val="28"/>
          <w:szCs w:val="28"/>
        </w:rPr>
        <w:t>consumidora de fato</w:t>
      </w:r>
      <w:r>
        <w:rPr>
          <w:rFonts w:ascii="Arial" w:eastAsia="Arial" w:hAnsi="Arial" w:cs="Arial"/>
          <w:color w:val="808080"/>
          <w:sz w:val="28"/>
          <w:szCs w:val="28"/>
        </w:rPr>
        <w:t>”</w:t>
      </w:r>
      <w:r>
        <w:rPr>
          <w:rFonts w:ascii="Arial" w:eastAsia="Arial" w:hAnsi="Arial" w:cs="Arial"/>
          <w:sz w:val="28"/>
          <w:szCs w:val="28"/>
        </w:rPr>
        <w:t xml:space="preserve">; </w:t>
      </w:r>
      <w:r>
        <w:rPr>
          <w:rFonts w:ascii="Arial" w:eastAsia="Arial" w:hAnsi="Arial" w:cs="Arial"/>
          <w:b/>
          <w:bCs/>
          <w:sz w:val="28"/>
          <w:szCs w:val="28"/>
        </w:rPr>
        <w:t>2)</w:t>
      </w:r>
      <w:r>
        <w:rPr>
          <w:rFonts w:ascii="Arial" w:eastAsia="Arial" w:hAnsi="Arial" w:cs="Arial"/>
          <w:sz w:val="28"/>
          <w:szCs w:val="28"/>
        </w:rPr>
        <w:t xml:space="preserve"> com o falecimento da titular da unidade consumidora, eventual débito remanescente deveria ser exigido do espólio </w:t>
      </w:r>
      <w:r>
        <w:rPr>
          <w:rFonts w:ascii="Arial" w:eastAsia="Arial" w:hAnsi="Arial" w:cs="Arial"/>
          <w:color w:val="808080"/>
          <w:sz w:val="28"/>
          <w:szCs w:val="28"/>
        </w:rPr>
        <w:t>(CC</w:t>
      </w:r>
      <w:r>
        <w:rPr>
          <w:rFonts w:ascii="Arial" w:eastAsia="Arial" w:hAnsi="Arial" w:cs="Arial"/>
          <w:sz w:val="28"/>
          <w:szCs w:val="28"/>
        </w:rPr>
        <w:t xml:space="preserve"> 1.997</w:t>
      </w:r>
      <w:r>
        <w:rPr>
          <w:rFonts w:ascii="Arial" w:eastAsia="Arial" w:hAnsi="Arial" w:cs="Arial"/>
          <w:color w:val="808080"/>
          <w:sz w:val="28"/>
          <w:szCs w:val="28"/>
        </w:rPr>
        <w:t>)</w:t>
      </w:r>
      <w:r>
        <w:rPr>
          <w:rFonts w:ascii="Arial" w:eastAsia="Arial" w:hAnsi="Arial" w:cs="Arial"/>
          <w:sz w:val="28"/>
          <w:szCs w:val="28"/>
        </w:rPr>
        <w:t>, sendo indevida a transferência da obrigação à apelante</w:t>
      </w:r>
      <w:r>
        <w:rPr>
          <w:rFonts w:ascii="Arial" w:eastAsia="Arial" w:hAnsi="Arial" w:cs="Arial"/>
          <w:color w:val="808080"/>
          <w:sz w:val="28"/>
          <w:szCs w:val="28"/>
        </w:rPr>
        <w:t>,</w:t>
      </w:r>
      <w:r>
        <w:rPr>
          <w:rFonts w:ascii="Arial" w:eastAsia="Arial" w:hAnsi="Arial" w:cs="Arial"/>
          <w:b/>
          <w:bCs/>
          <w:sz w:val="28"/>
          <w:szCs w:val="28"/>
        </w:rPr>
        <w:t xml:space="preserve"> </w:t>
      </w:r>
      <w:r>
        <w:rPr>
          <w:rFonts w:ascii="Arial" w:eastAsia="Arial" w:hAnsi="Arial" w:cs="Arial"/>
          <w:b/>
          <w:bCs/>
          <w:color w:val="808080"/>
          <w:sz w:val="28"/>
          <w:szCs w:val="28"/>
        </w:rPr>
        <w:t>conforme</w:t>
      </w:r>
      <w:r>
        <w:rPr>
          <w:rFonts w:ascii="Arial" w:eastAsia="Arial" w:hAnsi="Arial" w:cs="Arial"/>
          <w:sz w:val="28"/>
          <w:szCs w:val="28"/>
        </w:rPr>
        <w:t xml:space="preserve"> a jurisprudência </w:t>
      </w:r>
      <w:r>
        <w:rPr>
          <w:rFonts w:ascii="Arial" w:eastAsia="Arial" w:hAnsi="Arial" w:cs="Arial"/>
          <w:color w:val="808080"/>
          <w:sz w:val="28"/>
          <w:szCs w:val="28"/>
        </w:rPr>
        <w:t>do Tribunal de Justiça de São Paulo e</w:t>
      </w:r>
      <w:r>
        <w:rPr>
          <w:rFonts w:ascii="Arial" w:eastAsia="Arial" w:hAnsi="Arial" w:cs="Arial"/>
          <w:sz w:val="28"/>
          <w:szCs w:val="28"/>
        </w:rPr>
        <w:t xml:space="preserve"> do Superior Tribunal de Justiça</w:t>
      </w:r>
      <w:r>
        <w:rPr>
          <w:rFonts w:ascii="Arial" w:eastAsia="Arial" w:hAnsi="Arial" w:cs="Arial"/>
          <w:color w:val="808080"/>
          <w:sz w:val="28"/>
          <w:szCs w:val="28"/>
        </w:rPr>
        <w:t>;</w:t>
      </w:r>
      <w:r>
        <w:rPr>
          <w:rFonts w:ascii="Arial" w:eastAsia="Arial" w:hAnsi="Arial" w:cs="Arial"/>
          <w:sz w:val="28"/>
          <w:szCs w:val="28"/>
        </w:rPr>
        <w:t xml:space="preserve"> e </w:t>
      </w:r>
      <w:r>
        <w:rPr>
          <w:rFonts w:ascii="Arial" w:eastAsia="Arial" w:hAnsi="Arial" w:cs="Arial"/>
          <w:b/>
          <w:color w:val="808080"/>
          <w:sz w:val="28"/>
          <w:szCs w:val="28"/>
        </w:rPr>
        <w:t>3)</w:t>
      </w:r>
      <w:r>
        <w:rPr>
          <w:rFonts w:ascii="Arial" w:eastAsia="Arial" w:hAnsi="Arial" w:cs="Arial"/>
          <w:sz w:val="28"/>
          <w:szCs w:val="28"/>
        </w:rPr>
        <w:t xml:space="preserve"> a </w:t>
      </w:r>
      <w:r>
        <w:rPr>
          <w:rFonts w:ascii="Arial" w:eastAsia="Arial" w:hAnsi="Arial" w:cs="Arial"/>
          <w:color w:val="808080"/>
          <w:sz w:val="28"/>
          <w:szCs w:val="28"/>
        </w:rPr>
        <w:t>tese</w:t>
      </w:r>
      <w:r>
        <w:rPr>
          <w:rFonts w:ascii="Arial" w:eastAsia="Arial" w:hAnsi="Arial" w:cs="Arial"/>
          <w:sz w:val="28"/>
          <w:szCs w:val="28"/>
        </w:rPr>
        <w:t xml:space="preserve"> </w:t>
      </w:r>
      <w:r>
        <w:rPr>
          <w:rFonts w:ascii="Arial" w:eastAsia="Arial" w:hAnsi="Arial" w:cs="Arial"/>
          <w:color w:val="808080"/>
          <w:sz w:val="28"/>
          <w:szCs w:val="28"/>
        </w:rPr>
        <w:t>do</w:t>
      </w:r>
      <w:r>
        <w:rPr>
          <w:rFonts w:ascii="Arial" w:eastAsia="Arial" w:hAnsi="Arial" w:cs="Arial"/>
          <w:sz w:val="28"/>
          <w:szCs w:val="28"/>
        </w:rPr>
        <w:t xml:space="preserve"> </w:t>
      </w:r>
      <w:r>
        <w:rPr>
          <w:rFonts w:ascii="Arial" w:eastAsia="Arial" w:hAnsi="Arial" w:cs="Arial"/>
          <w:color w:val="808080"/>
          <w:sz w:val="28"/>
          <w:szCs w:val="28"/>
        </w:rPr>
        <w:t>enriquecimento</w:t>
      </w:r>
      <w:r>
        <w:rPr>
          <w:rFonts w:ascii="Arial" w:eastAsia="Arial" w:hAnsi="Arial" w:cs="Arial"/>
          <w:sz w:val="28"/>
          <w:szCs w:val="28"/>
        </w:rPr>
        <w:t xml:space="preserve"> </w:t>
      </w:r>
      <w:r>
        <w:rPr>
          <w:rFonts w:ascii="Arial" w:eastAsia="Arial" w:hAnsi="Arial" w:cs="Arial"/>
          <w:color w:val="808080"/>
          <w:sz w:val="28"/>
          <w:szCs w:val="28"/>
        </w:rPr>
        <w:t>sem</w:t>
      </w:r>
      <w:r>
        <w:rPr>
          <w:rFonts w:ascii="Arial" w:eastAsia="Arial" w:hAnsi="Arial" w:cs="Arial"/>
          <w:sz w:val="28"/>
          <w:szCs w:val="28"/>
        </w:rPr>
        <w:t xml:space="preserve"> </w:t>
      </w:r>
      <w:r>
        <w:rPr>
          <w:rFonts w:ascii="Arial" w:eastAsia="Arial" w:hAnsi="Arial" w:cs="Arial"/>
          <w:color w:val="808080"/>
          <w:sz w:val="28"/>
          <w:szCs w:val="28"/>
        </w:rPr>
        <w:t>causa</w:t>
      </w:r>
      <w:r>
        <w:rPr>
          <w:rFonts w:ascii="Arial" w:eastAsia="Arial" w:hAnsi="Arial" w:cs="Arial"/>
          <w:sz w:val="28"/>
          <w:szCs w:val="28"/>
        </w:rPr>
        <w:t xml:space="preserve"> </w:t>
      </w:r>
      <w:r>
        <w:rPr>
          <w:rFonts w:ascii="Arial" w:eastAsia="Arial" w:hAnsi="Arial" w:cs="Arial"/>
          <w:color w:val="808080"/>
          <w:sz w:val="28"/>
          <w:szCs w:val="28"/>
        </w:rPr>
        <w:t>deve</w:t>
      </w:r>
      <w:r>
        <w:rPr>
          <w:rFonts w:ascii="Arial" w:eastAsia="Arial" w:hAnsi="Arial" w:cs="Arial"/>
          <w:sz w:val="28"/>
          <w:szCs w:val="28"/>
        </w:rPr>
        <w:t xml:space="preserve"> ser </w:t>
      </w:r>
      <w:r>
        <w:rPr>
          <w:rFonts w:ascii="Arial" w:eastAsia="Arial" w:hAnsi="Arial" w:cs="Arial"/>
          <w:color w:val="808080"/>
          <w:sz w:val="28"/>
          <w:szCs w:val="28"/>
        </w:rPr>
        <w:t>rechaçada, pois o enriquecimento ilícito seria da concessionária, que cobra da apelante dívida</w:t>
      </w:r>
      <w:r>
        <w:rPr>
          <w:rFonts w:ascii="Arial" w:eastAsia="Arial" w:hAnsi="Arial" w:cs="Arial"/>
          <w:sz w:val="28"/>
          <w:szCs w:val="28"/>
        </w:rPr>
        <w:t xml:space="preserve"> do </w:t>
      </w:r>
      <w:r>
        <w:rPr>
          <w:rFonts w:ascii="Arial" w:eastAsia="Arial" w:hAnsi="Arial" w:cs="Arial"/>
          <w:color w:val="808080"/>
          <w:sz w:val="28"/>
          <w:szCs w:val="28"/>
        </w:rPr>
        <w:t>espólio</w:t>
      </w:r>
      <w:r>
        <w:rPr>
          <w:rFonts w:ascii="Arial" w:eastAsia="Arial" w:hAnsi="Arial" w:cs="Arial"/>
          <w:sz w:val="28"/>
          <w:szCs w:val="28"/>
        </w:rPr>
        <w:t xml:space="preserve"> </w:t>
      </w:r>
      <w:r>
        <w:rPr>
          <w:rFonts w:ascii="Arial" w:eastAsia="Arial" w:hAnsi="Arial" w:cs="Arial"/>
          <w:color w:val="808080"/>
          <w:sz w:val="28"/>
          <w:szCs w:val="28"/>
        </w:rPr>
        <w:t>(ID</w:t>
      </w:r>
      <w:r>
        <w:rPr>
          <w:rFonts w:ascii="Arial" w:eastAsia="Arial" w:hAnsi="Arial" w:cs="Arial"/>
          <w:sz w:val="28"/>
          <w:szCs w:val="28"/>
        </w:rPr>
        <w:t xml:space="preserve"> </w:t>
      </w:r>
      <w:r>
        <w:rPr>
          <w:rFonts w:ascii="Arial" w:eastAsia="Arial" w:hAnsi="Arial" w:cs="Arial"/>
          <w:color w:val="808080"/>
          <w:sz w:val="28"/>
          <w:szCs w:val="28"/>
        </w:rPr>
        <w:t>89370589)</w:t>
      </w:r>
      <w:r>
        <w:rPr>
          <w:rFonts w:ascii="Arial" w:eastAsia="Arial" w:hAnsi="Arial" w:cs="Arial"/>
          <w:sz w:val="28"/>
          <w:szCs w:val="28"/>
        </w:rPr>
        <w:t>.</w:t>
      </w:r>
      <w:commentRangeEnd w:id="13"/>
      <w:r w:rsidRPr="007E1C8C">
        <w:rPr>
          <w:rStyle w:val="Refdecomentrio"/>
          <w:rFonts w:ascii="Arial" w:eastAsia="Arial" w:hAnsi="Arial" w:cs="Arial"/>
          <w:sz w:val="28"/>
          <w:szCs w:val="28"/>
        </w:rPr>
        <w:commentReference w:id="13"/>
      </w:r>
    </w:p>
    <w:p w14:paraId="6916308B" w14:textId="29D4243F" w:rsidR="00341D84" w:rsidRPr="007E1C8C" w:rsidRDefault="067EAC20" w:rsidP="00EE4F9E">
      <w:pPr>
        <w:spacing w:after="0" w:line="360" w:lineRule="auto"/>
        <w:ind w:firstLine="2268"/>
        <w:jc w:val="both"/>
        <w:rPr>
          <w:rFonts w:ascii="Arial" w:hAnsi="Arial" w:cs="Arial"/>
          <w:color w:val="000000" w:themeColor="text1"/>
          <w:sz w:val="28"/>
          <w:szCs w:val="28"/>
        </w:rPr>
      </w:pPr>
      <w:r w:rsidRPr="395F27C1">
        <w:rPr>
          <w:rFonts w:ascii="Arial" w:hAnsi="Arial" w:cs="Arial"/>
          <w:b/>
          <w:bCs/>
          <w:color w:val="000000" w:themeColor="text1"/>
          <w:sz w:val="28"/>
          <w:szCs w:val="28"/>
        </w:rPr>
        <w:t xml:space="preserve"> </w:t>
      </w:r>
      <w:r w:rsidR="00341D84" w:rsidRPr="395F27C1">
        <w:rPr>
          <w:rFonts w:ascii="Arial" w:hAnsi="Arial" w:cs="Arial"/>
          <w:color w:val="000000" w:themeColor="text1"/>
          <w:sz w:val="28"/>
          <w:szCs w:val="28"/>
        </w:rPr>
        <w:t xml:space="preserve"> </w:t>
      </w:r>
    </w:p>
    <w:p w14:paraId="13513411" w14:textId="0076C3B0" w:rsidR="00341D84" w:rsidRPr="007E1C8C" w:rsidRDefault="00341D84" w:rsidP="00EE4F9E">
      <w:pPr>
        <w:spacing w:after="0" w:line="360" w:lineRule="auto"/>
        <w:ind w:firstLine="2268"/>
        <w:jc w:val="both"/>
        <w:rPr>
          <w:rFonts w:ascii="Arial" w:hAnsi="Arial" w:cs="Arial"/>
          <w:color w:val="000000" w:themeColor="text1"/>
          <w:sz w:val="28"/>
          <w:szCs w:val="28"/>
        </w:rPr>
      </w:pPr>
      <w:commentRangeStart w:id="21"/>
      <w:r w:rsidRPr="4107E398">
        <w:rPr>
          <w:rFonts w:ascii="Arial" w:hAnsi="Arial" w:cs="Arial"/>
          <w:color w:val="000000" w:themeColor="text1"/>
          <w:sz w:val="28"/>
          <w:szCs w:val="28"/>
          <w:highlight w:val="yellow"/>
        </w:rPr>
        <w:lastRenderedPageBreak/>
        <w:t xml:space="preserve">Com razão </w:t>
      </w:r>
      <w:r w:rsidR="031F6722" w:rsidRPr="4107E398">
        <w:rPr>
          <w:rFonts w:ascii="Arial" w:hAnsi="Arial" w:cs="Arial"/>
          <w:color w:val="000000" w:themeColor="text1"/>
          <w:sz w:val="28"/>
          <w:szCs w:val="28"/>
          <w:highlight w:val="yellow"/>
        </w:rPr>
        <w:t>a</w:t>
      </w:r>
      <w:r w:rsidRPr="4107E398">
        <w:rPr>
          <w:rFonts w:ascii="Arial" w:hAnsi="Arial" w:cs="Arial"/>
          <w:color w:val="000000" w:themeColor="text1"/>
          <w:sz w:val="28"/>
          <w:szCs w:val="28"/>
          <w:highlight w:val="yellow"/>
        </w:rPr>
        <w:t xml:space="preserve"> apelante.</w:t>
      </w:r>
      <w:commentRangeEnd w:id="21"/>
      <w:r>
        <w:rPr>
          <w:rStyle w:val="CommentReference"/>
        </w:rPr>
        <w:commentReference w:id="21"/>
      </w:r>
    </w:p>
    <w:p w14:paraId="2D473569" w14:textId="77777777" w:rsidR="00341D84" w:rsidRPr="007E1C8C" w:rsidRDefault="00341D84" w:rsidP="00EE4F9E">
      <w:pPr>
        <w:spacing w:after="0" w:line="360" w:lineRule="auto"/>
        <w:ind w:firstLine="2268"/>
        <w:jc w:val="both"/>
        <w:rPr>
          <w:rFonts w:ascii="Arial" w:hAnsi="Arial" w:cs="Arial"/>
          <w:color w:val="000000" w:themeColor="text1"/>
          <w:sz w:val="28"/>
          <w:szCs w:val="28"/>
        </w:rPr>
      </w:pPr>
    </w:p>
    <w:p w14:paraId="04456C70" w14:textId="77777777" w:rsidR="00955868" w:rsidRDefault="61D520EB" w:rsidP="00EE4F9E">
      <w:pPr>
        <w:spacing w:after="0" w:line="360" w:lineRule="auto"/>
        <w:ind w:firstLine="2268"/>
        <w:jc w:val="both"/>
        <w:rPr>
          <w:rFonts w:ascii="Arial" w:eastAsia="Arial" w:hAnsi="Arial" w:cs="Arial"/>
          <w:sz w:val="28"/>
          <w:szCs w:val="28"/>
        </w:rPr>
      </w:pPr>
      <w:r w:rsidRPr="395F27C1">
        <w:rPr>
          <w:rFonts w:ascii="Arial" w:eastAsia="Arial" w:hAnsi="Arial" w:cs="Arial"/>
          <w:sz w:val="28"/>
          <w:szCs w:val="28"/>
          <w:highlight w:val="yellow"/>
        </w:rPr>
        <w:t xml:space="preserve">Os débitos decorrentes do abastecimento de água possuem natureza pessoal, e não </w:t>
      </w:r>
      <w:r w:rsidRPr="395F27C1">
        <w:rPr>
          <w:rFonts w:ascii="Arial" w:eastAsia="Arial" w:hAnsi="Arial" w:cs="Arial"/>
          <w:i/>
          <w:iCs/>
          <w:sz w:val="28"/>
          <w:szCs w:val="28"/>
          <w:highlight w:val="yellow"/>
        </w:rPr>
        <w:t>propter rem</w:t>
      </w:r>
      <w:r w:rsidRPr="395F27C1">
        <w:rPr>
          <w:rFonts w:ascii="Arial" w:eastAsia="Arial" w:hAnsi="Arial" w:cs="Arial"/>
          <w:sz w:val="28"/>
          <w:szCs w:val="28"/>
          <w:highlight w:val="yellow"/>
        </w:rPr>
        <w:t>.</w:t>
      </w:r>
      <w:r w:rsidRPr="395F27C1">
        <w:rPr>
          <w:rFonts w:ascii="Arial" w:eastAsia="Arial" w:hAnsi="Arial" w:cs="Arial"/>
          <w:sz w:val="28"/>
          <w:szCs w:val="28"/>
        </w:rPr>
        <w:t xml:space="preserve"> </w:t>
      </w:r>
    </w:p>
    <w:p w14:paraId="020AB07B" w14:textId="77777777" w:rsidR="00955868" w:rsidRDefault="00955868" w:rsidP="00EE4F9E">
      <w:pPr>
        <w:spacing w:after="0" w:line="360" w:lineRule="auto"/>
        <w:ind w:firstLine="2268"/>
        <w:jc w:val="both"/>
        <w:rPr>
          <w:rFonts w:ascii="Arial" w:eastAsia="Arial" w:hAnsi="Arial" w:cs="Arial"/>
          <w:sz w:val="28"/>
          <w:szCs w:val="28"/>
        </w:rPr>
      </w:pPr>
    </w:p>
    <w:p w14:paraId="64F07ABB" w14:textId="77777777" w:rsidR="000F7187" w:rsidRDefault="00000000">
      <w:pPr>
        <w:spacing w:after="0" w:line="360" w:lineRule="auto"/>
        <w:ind w:firstLine="2268"/>
        <w:jc w:val="both"/>
      </w:pPr>
      <w:r>
        <w:rPr>
          <w:rFonts w:ascii="Arial" w:eastAsia="Arial" w:hAnsi="Arial" w:cs="Arial"/>
          <w:sz w:val="28"/>
          <w:szCs w:val="28"/>
        </w:rPr>
        <w:t xml:space="preserve">Por </w:t>
      </w:r>
      <w:del w:id="1037" w:author="Assessor GDSXSR" w:date="2026-10-29T20:29:44Z">
        <w:r>
          <w:rPr>
            <w:rFonts w:ascii="Arial" w:eastAsia="Arial" w:hAnsi="Arial" w:cs="Arial"/>
            <w:sz w:val="28"/>
            <w:szCs w:val="28"/>
          </w:rPr>
          <w:delText xml:space="preserve">essa razão</w:delText>
        </w:r>
      </w:del>
      <w:ins w:id="1038" w:author="Assessor GDSXSR" w:date="2026-10-29T20:29:44Z">
        <w:r>
          <w:rPr>
            <w:rFonts w:ascii="Arial" w:eastAsia="Arial" w:hAnsi="Arial" w:cs="Arial"/>
            <w:color w:val="808080"/>
            <w:sz w:val="28"/>
            <w:szCs w:val="28"/>
          </w:rPr>
          <w:t xml:space="preserve">isso</w:t>
        </w:r>
      </w:ins>
      <w:r>
        <w:rPr>
          <w:rFonts w:ascii="Arial" w:eastAsia="Arial" w:hAnsi="Arial" w:cs="Arial"/>
          <w:sz w:val="28"/>
          <w:szCs w:val="28"/>
        </w:rPr>
        <w:t xml:space="preserve">, a </w:t>
      </w:r>
      <w:del w:id="1039" w:author="Assessor GDSXSR" w:date="2026-10-29T20:29:44Z">
        <w:r>
          <w:rPr>
            <w:rFonts w:ascii="Arial" w:eastAsia="Arial" w:hAnsi="Arial" w:cs="Arial"/>
            <w:sz w:val="28"/>
            <w:szCs w:val="28"/>
          </w:rPr>
          <w:delText xml:space="preserve">obrigação</w:delText>
        </w:r>
      </w:del>
      <w:ins w:id="1040" w:author="Assessor GDSXSR" w:date="2026-10-29T20:29:44Z">
        <w:r>
          <w:rPr>
            <w:rFonts w:ascii="Arial" w:eastAsia="Arial" w:hAnsi="Arial" w:cs="Arial"/>
            <w:color w:val="808080"/>
            <w:sz w:val="28"/>
            <w:szCs w:val="28"/>
          </w:rPr>
          <w:t xml:space="preserve">responsabilidade recai sobre quem efetivamente usufruiu do serviço, e</w:t>
        </w:r>
      </w:ins>
      <w:r>
        <w:rPr>
          <w:rFonts w:ascii="Arial" w:eastAsia="Arial" w:hAnsi="Arial" w:cs="Arial"/>
          <w:sz w:val="28"/>
          <w:szCs w:val="28"/>
        </w:rPr>
        <w:t xml:space="preserve"> não </w:t>
      </w:r>
      <w:del w:id="1041" w:author="Assessor GDSXSR" w:date="2026-10-29T20:29:44Z">
        <w:r>
          <w:rPr>
            <w:rFonts w:ascii="Arial" w:eastAsia="Arial" w:hAnsi="Arial" w:cs="Arial"/>
            <w:sz w:val="28"/>
            <w:szCs w:val="28"/>
          </w:rPr>
          <w:delText xml:space="preserve">se</w:delText>
        </w:r>
      </w:del>
      <w:ins w:id="1042" w:author="Assessor GDSXSR" w:date="2026-10-29T20:29:44Z">
        <w:r>
          <w:rPr>
            <w:rFonts w:ascii="Arial" w:eastAsia="Arial" w:hAnsi="Arial" w:cs="Arial"/>
            <w:color w:val="808080"/>
            <w:sz w:val="28"/>
            <w:szCs w:val="28"/>
          </w:rPr>
          <w:t xml:space="preserve">sobre</w:t>
        </w:r>
      </w:ins>
      <w:r>
        <w:rPr>
          <w:rFonts w:ascii="Arial" w:eastAsia="Arial" w:hAnsi="Arial" w:cs="Arial"/>
          <w:sz w:val="28"/>
          <w:szCs w:val="28"/>
        </w:rPr>
        <w:t xml:space="preserve"> </w:t>
      </w:r>
      <w:del w:id="1043" w:author="Assessor GDSXSR" w:date="2026-10-29T20:29:44Z">
        <w:r>
          <w:rPr>
            <w:rFonts w:ascii="Arial" w:eastAsia="Arial" w:hAnsi="Arial" w:cs="Arial"/>
            <w:sz w:val="28"/>
            <w:szCs w:val="28"/>
          </w:rPr>
          <w:delText xml:space="preserve">vincula</w:delText>
        </w:r>
      </w:del>
      <w:ins w:id="1044" w:author="Assessor GDSXSR" w:date="2026-10-29T20:29:44Z">
        <w:r>
          <w:rPr>
            <w:rFonts w:ascii="Arial" w:eastAsia="Arial" w:hAnsi="Arial" w:cs="Arial"/>
            <w:color w:val="808080"/>
            <w:sz w:val="28"/>
            <w:szCs w:val="28"/>
          </w:rPr>
          <w:t xml:space="preserve">o</w:t>
        </w:r>
      </w:ins>
      <w:r>
        <w:rPr>
          <w:rFonts w:ascii="Arial" w:eastAsia="Arial" w:hAnsi="Arial" w:cs="Arial"/>
          <w:sz w:val="28"/>
          <w:szCs w:val="28"/>
        </w:rPr>
        <w:t xml:space="preserve"> </w:t>
      </w:r>
      <w:del w:id="1045" w:author="Assessor GDSXSR" w:date="2026-10-29T20:29:44Z">
        <w:r>
          <w:rPr>
            <w:rFonts w:ascii="Arial" w:eastAsia="Arial" w:hAnsi="Arial" w:cs="Arial"/>
            <w:sz w:val="28"/>
            <w:szCs w:val="28"/>
          </w:rPr>
          <w:delText xml:space="preserve">ao</w:delText>
        </w:r>
      </w:del>
      <w:ins w:id="1046" w:author="Assessor GDSXSR" w:date="2026-10-29T20:29:44Z">
        <w:r>
          <w:rPr>
            <w:rFonts w:ascii="Arial" w:eastAsia="Arial" w:hAnsi="Arial" w:cs="Arial"/>
            <w:color w:val="808080"/>
            <w:sz w:val="28"/>
            <w:szCs w:val="28"/>
          </w:rPr>
          <w:t xml:space="preserve">titular</w:t>
        </w:r>
      </w:ins>
      <w:r>
        <w:rPr>
          <w:rFonts w:ascii="Arial" w:eastAsia="Arial" w:hAnsi="Arial" w:cs="Arial"/>
          <w:sz w:val="28"/>
          <w:szCs w:val="28"/>
        </w:rPr>
        <w:t xml:space="preserve"> </w:t>
      </w:r>
      <w:del w:id="1047" w:author="Assessor GDSXSR" w:date="2026-10-29T20:29:44Z">
        <w:r>
          <w:rPr>
            <w:rFonts w:ascii="Arial" w:eastAsia="Arial" w:hAnsi="Arial" w:cs="Arial"/>
            <w:sz w:val="28"/>
            <w:szCs w:val="28"/>
          </w:rPr>
          <w:delText xml:space="preserve">imóvel nem pode ser automaticamente transferida ao proprietário</w:delText>
        </w:r>
      </w:del>
      <w:ins w:id="1048" w:author="Assessor GDSXSR" w:date="2026-10-29T20:29:44Z">
        <w:r>
          <w:rPr>
            <w:rFonts w:ascii="Arial" w:eastAsia="Arial" w:hAnsi="Arial" w:cs="Arial"/>
            <w:color w:val="808080"/>
            <w:sz w:val="28"/>
            <w:szCs w:val="28"/>
          </w:rPr>
          <w:t xml:space="preserve">formal</w:t>
        </w:r>
      </w:ins>
      <w:r>
        <w:rPr>
          <w:rFonts w:ascii="Arial" w:eastAsia="Arial" w:hAnsi="Arial" w:cs="Arial"/>
          <w:sz w:val="28"/>
          <w:szCs w:val="28"/>
        </w:rPr>
        <w:t xml:space="preserve">, </w:t>
      </w:r>
      <w:del w:id="1049" w:author="Assessor GDSXSR" w:date="2026-10-29T20:29:44Z">
        <w:r>
          <w:rPr>
            <w:rFonts w:ascii="Arial" w:eastAsia="Arial" w:hAnsi="Arial" w:cs="Arial"/>
            <w:sz w:val="28"/>
            <w:szCs w:val="28"/>
          </w:rPr>
          <w:delText xml:space="preserve">ao</w:delText>
        </w:r>
      </w:del>
      <w:ins w:id="1050" w:author="Assessor GDSXSR" w:date="2026-10-29T20:29:44Z">
        <w:r>
          <w:rPr>
            <w:rFonts w:ascii="Arial" w:eastAsia="Arial" w:hAnsi="Arial" w:cs="Arial"/>
            <w:color w:val="808080"/>
            <w:sz w:val="28"/>
            <w:szCs w:val="28"/>
          </w:rPr>
          <w:t xml:space="preserve">o</w:t>
        </w:r>
      </w:ins>
      <w:r>
        <w:rPr>
          <w:rFonts w:ascii="Arial" w:eastAsia="Arial" w:hAnsi="Arial" w:cs="Arial"/>
          <w:sz w:val="28"/>
          <w:szCs w:val="28"/>
        </w:rPr>
        <w:t xml:space="preserve"> possuidor </w:t>
      </w:r>
      <w:del w:id="1051" w:author="Assessor GDSXSR" w:date="2026-10-29T20:29:44Z">
        <w:r>
          <w:rPr>
            <w:rFonts w:ascii="Arial" w:eastAsia="Arial" w:hAnsi="Arial" w:cs="Arial"/>
            <w:sz w:val="28"/>
            <w:szCs w:val="28"/>
          </w:rPr>
          <w:delText xml:space="preserve">subsequente </w:delText>
        </w:r>
      </w:del>
      <w:r>
        <w:rPr>
          <w:rFonts w:ascii="Arial" w:eastAsia="Arial" w:hAnsi="Arial" w:cs="Arial"/>
          <w:sz w:val="28"/>
          <w:szCs w:val="28"/>
        </w:rPr>
        <w:t xml:space="preserve">ou </w:t>
      </w:r>
      <w:del w:id="1052" w:author="Assessor GDSXSR" w:date="2026-10-29T20:29:44Z">
        <w:r>
          <w:rPr>
            <w:rFonts w:ascii="Arial" w:eastAsia="Arial" w:hAnsi="Arial" w:cs="Arial"/>
            <w:sz w:val="28"/>
            <w:szCs w:val="28"/>
          </w:rPr>
          <w:delText xml:space="preserve">ao</w:delText>
        </w:r>
      </w:del>
      <w:ins w:id="1053" w:author="Assessor GDSXSR" w:date="2026-10-29T20:29:44Z">
        <w:r>
          <w:rPr>
            <w:rFonts w:ascii="Arial" w:eastAsia="Arial" w:hAnsi="Arial" w:cs="Arial"/>
            <w:color w:val="808080"/>
            <w:sz w:val="28"/>
            <w:szCs w:val="28"/>
          </w:rPr>
          <w:t xml:space="preserve">o</w:t>
        </w:r>
      </w:ins>
      <w:r>
        <w:rPr>
          <w:rFonts w:ascii="Arial" w:eastAsia="Arial" w:hAnsi="Arial" w:cs="Arial"/>
          <w:sz w:val="28"/>
          <w:szCs w:val="28"/>
        </w:rPr>
        <w:t xml:space="preserve"> </w:t>
      </w:r>
      <w:del w:id="1054" w:author="Assessor GDSXSR" w:date="2026-10-29T20:29:44Z">
        <w:r>
          <w:rPr>
            <w:rFonts w:ascii="Arial" w:eastAsia="Arial" w:hAnsi="Arial" w:cs="Arial"/>
            <w:sz w:val="28"/>
            <w:szCs w:val="28"/>
          </w:rPr>
          <w:delText xml:space="preserve">atual titular</w:delText>
        </w:r>
      </w:del>
      <w:ins w:id="1055" w:author="Assessor GDSXSR" w:date="2026-10-29T20:29:44Z">
        <w:r>
          <w:rPr>
            <w:rFonts w:ascii="Arial" w:eastAsia="Arial" w:hAnsi="Arial" w:cs="Arial"/>
            <w:color w:val="808080"/>
            <w:sz w:val="28"/>
            <w:szCs w:val="28"/>
          </w:rPr>
          <w:t xml:space="preserve">familiar</w:t>
        </w:r>
      </w:ins>
      <w:r>
        <w:rPr>
          <w:rFonts w:ascii="Arial" w:eastAsia="Arial" w:hAnsi="Arial" w:cs="Arial"/>
          <w:sz w:val="28"/>
          <w:szCs w:val="28"/>
        </w:rPr>
        <w:t xml:space="preserve"> da </w:t>
      </w:r>
      <w:del w:id="1056" w:author="Assessor GDSXSR" w:date="2026-10-29T20:29:44Z">
        <w:r>
          <w:rPr>
            <w:rFonts w:ascii="Arial" w:eastAsia="Arial" w:hAnsi="Arial" w:cs="Arial"/>
            <w:sz w:val="28"/>
            <w:szCs w:val="28"/>
          </w:rPr>
          <w:delText xml:space="preserve">unidade</w:delText>
        </w:r>
      </w:del>
      <w:ins w:id="1057" w:author="Assessor GDSXSR" w:date="2026-10-29T20:29:44Z">
        <w:r>
          <w:rPr>
            <w:rFonts w:ascii="Arial" w:eastAsia="Arial" w:hAnsi="Arial" w:cs="Arial"/>
            <w:color w:val="808080"/>
            <w:sz w:val="28"/>
            <w:szCs w:val="28"/>
          </w:rPr>
          <w:t xml:space="preserve">usuária</w:t>
        </w:r>
      </w:ins>
      <w:r>
        <w:rPr>
          <w:rFonts w:ascii="Arial" w:eastAsia="Arial" w:hAnsi="Arial" w:cs="Arial"/>
          <w:sz w:val="28"/>
          <w:szCs w:val="28"/>
        </w:rPr>
        <w:t xml:space="preserve"> </w:t>
      </w:r>
      <w:del w:id="1058" w:author="Assessor GDSXSR" w:date="2026-10-29T20:29:44Z">
        <w:r>
          <w:rPr>
            <w:rFonts w:ascii="Arial" w:eastAsia="Arial" w:hAnsi="Arial" w:cs="Arial"/>
            <w:sz w:val="28"/>
            <w:szCs w:val="28"/>
          </w:rPr>
          <w:delText xml:space="preserve">consumidora</w:delText>
        </w:r>
      </w:del>
      <w:ins w:id="1059" w:author="Assessor GDSXSR" w:date="2026-10-29T20:29:44Z">
        <w:r>
          <w:rPr>
            <w:rFonts w:ascii="Arial" w:eastAsia="Arial" w:hAnsi="Arial" w:cs="Arial"/>
            <w:color w:val="808080"/>
            <w:sz w:val="28"/>
            <w:szCs w:val="28"/>
          </w:rPr>
          <w:t xml:space="preserve">anterior</w:t>
        </w:r>
      </w:ins>
      <w:r>
        <w:rPr>
          <w:rFonts w:ascii="Arial" w:eastAsia="Arial" w:hAnsi="Arial" w:cs="Arial"/>
          <w:sz w:val="28"/>
          <w:szCs w:val="28"/>
        </w:rPr>
        <w:t xml:space="preserve">.</w:t>
      </w:r>
    </w:p>
    <w:p w14:paraId="78A153A3" w14:textId="77777777" w:rsidR="000F7187" w:rsidRDefault="000F7187">
      <w:pPr>
        <w:spacing w:after="0" w:line="360" w:lineRule="auto"/>
        <w:ind w:firstLine="2268"/>
        <w:jc w:val="both"/>
      </w:pPr>
    </w:p>
    <w:p w14:paraId="0D185FAF" w14:textId="6596492F" w:rsidR="61D520EB" w:rsidRPr="00955868" w:rsidRDefault="61D520EB" w:rsidP="00EE4F9E">
      <w:pPr>
        <w:spacing w:after="0" w:line="360" w:lineRule="auto"/>
        <w:ind w:firstLine="2268"/>
        <w:jc w:val="both"/>
        <w:rPr>
          <w:del w:id="1063" w:author="Assessor GDSXSR" w:date="2026-10-29T20:29:44Z"/>
        </w:rPr>
      </w:pPr>
      <w:del w:id="1060" w:author="Assessor GDSXSR" w:date="2026-10-29T20:29:44Z">
        <w:r>
          <w:rPr>
            <w:rFonts w:ascii="Arial" w:eastAsia="Arial" w:hAnsi="Arial" w:cs="Arial"/>
            <w:sz w:val="28"/>
            <w:szCs w:val="28"/>
          </w:rPr>
          <w:delText>A responsabilidade deve recair sobre</w:delText>
        </w:r>
      </w:del>
      <w:del w:id="1061" w:author="Assessor GDSXSR" w:date="2026-10-29T20:29:44Z">
        <w:r>
          <w:delText xml:space="preserve"> </w:delText>
        </w:r>
      </w:del>
      <w:del w:id="1062" w:author="Assessor GDSXSR" w:date="2026-10-29T20:29:44Z">
        <w:r>
          <w:rPr>
            <w:rFonts w:ascii="Arial" w:eastAsia="Arial" w:hAnsi="Arial" w:cs="Arial"/>
            <w:sz w:val="28"/>
            <w:szCs w:val="28"/>
          </w:rPr>
          <w:delText>quem efetivamente usufruiu da prestação do serviço.</w:delText>
        </w:r>
      </w:del>
    </w:p>
    <w:p w14:paraId="2102358D" w14:textId="13844FF8" w:rsidR="4107E398" w:rsidRDefault="4107E398" w:rsidP="00EE4F9E">
      <w:pPr>
        <w:spacing w:after="0" w:line="360" w:lineRule="auto"/>
        <w:ind w:firstLine="2268"/>
        <w:jc w:val="both"/>
        <w:rPr>
          <w:del w:id="1064" w:author="Assessor GDSXSR" w:date="2026-10-29T20:29:44Z"/>
          <w:rFonts w:ascii="Arial" w:eastAsia="Arial" w:hAnsi="Arial" w:cs="Arial"/>
          <w:sz w:val="28"/>
          <w:szCs w:val="28"/>
        </w:rPr>
      </w:pPr>
    </w:p>
    <w:p w14:paraId="60129025" w14:textId="77777777" w:rsidR="000F7187" w:rsidRDefault="00000000">
      <w:pPr>
        <w:spacing w:after="0" w:line="360" w:lineRule="auto"/>
        <w:ind w:firstLine="2268"/>
        <w:jc w:val="both"/>
        <w:rPr>
          <w:del w:id="1068" w:author="Assessor GDSXSR" w:date="2026-10-29T20:29:44Z"/>
        </w:rPr>
      </w:pPr>
      <w:del w:id="1065" w:author="Assessor GDSXSR" w:date="2026-10-29T20:29:44Z">
        <w:r>
          <w:rPr>
            <w:rFonts w:ascii="Arial" w:eastAsia="Arial" w:hAnsi="Arial" w:cs="Arial"/>
            <w:sz w:val="28"/>
            <w:szCs w:val="28"/>
          </w:rPr>
          <w:delText xml:space="preserve">Desse modo, a solução da controvérsia não depende da titularidade formal da unidade consumidora, </w:delText>
        </w:r>
      </w:del>
      <w:del w:id="1066" w:author="Assessor GDSXSR" w:date="2026-10-29T20:29:44Z">
        <w:r>
          <w:rPr>
            <w:rFonts w:ascii="Arial" w:eastAsia="Arial" w:hAnsi="Arial" w:cs="Arial"/>
            <w:color w:val="808080"/>
            <w:sz w:val="28"/>
            <w:szCs w:val="28"/>
          </w:rPr>
          <w:delText>nem</w:delText>
        </w:r>
      </w:del>
      <w:del w:id="1067" w:author="Assessor GDSXSR" w:date="2026-10-29T20:29:44Z">
        <w:r>
          <w:rPr>
            <w:rFonts w:ascii="Arial" w:eastAsia="Arial" w:hAnsi="Arial" w:cs="Arial"/>
            <w:sz w:val="28"/>
            <w:szCs w:val="28"/>
          </w:rPr>
          <w:delText xml:space="preserve"> da condição de proprietária, herdeira ou familiar da anterior usuária.</w:delText>
        </w:r>
      </w:del>
    </w:p>
    <w:p w14:paraId="4330C611" w14:textId="77777777" w:rsidR="000F7187" w:rsidRDefault="000F7187">
      <w:pPr>
        <w:spacing w:after="0" w:line="360" w:lineRule="auto"/>
        <w:ind w:firstLine="2268"/>
        <w:jc w:val="both"/>
        <w:rPr>
          <w:del w:id="1069" w:author="Assessor GDSXSR" w:date="2026-10-29T20:29:44Z"/>
        </w:rPr>
      </w:pPr>
    </w:p>
    <w:p w14:paraId="4C1178D8" w14:textId="3D61DCC9" w:rsidR="61D520EB" w:rsidRDefault="61D520EB" w:rsidP="00EE4F9E">
      <w:pPr>
        <w:spacing w:after="0" w:line="360" w:lineRule="auto"/>
        <w:ind w:firstLine="2268"/>
        <w:jc w:val="both"/>
        <w:rPr>
          <w:del w:id="1077" w:author="Assessor GDSXSR" w:date="2026-10-29T20:29:44Z"/>
        </w:rPr>
      </w:pPr>
      <w:del w:id="1070" w:author="Assessor GDSXSR" w:date="2026-10-29T20:29:44Z">
        <w:r>
          <w:rPr>
            <w:rFonts w:ascii="Arial" w:eastAsia="Arial" w:hAnsi="Arial" w:cs="Arial"/>
            <w:sz w:val="28"/>
            <w:szCs w:val="28"/>
          </w:rPr>
          <w:delText xml:space="preserve">O ponto determinante </w:delText>
        </w:r>
      </w:del>
      <w:del w:id="1071" w:author="Assessor GDSXSR" w:date="2026-10-29T20:29:44Z">
        <w:r>
          <w:rPr>
            <w:rFonts w:ascii="Arial" w:eastAsia="Arial" w:hAnsi="Arial" w:cs="Arial"/>
            <w:color w:val="808080"/>
            <w:sz w:val="28"/>
            <w:szCs w:val="28"/>
          </w:rPr>
          <w:delText>é</w:delText>
        </w:r>
      </w:del>
      <w:del w:id="1072" w:author="Assessor GDSXSR" w:date="2026-10-29T20:29:44Z">
        <w:r>
          <w:rPr>
            <w:rFonts w:ascii="Arial" w:eastAsia="Arial" w:hAnsi="Arial" w:cs="Arial"/>
            <w:sz w:val="28"/>
            <w:szCs w:val="28"/>
          </w:rPr>
          <w:delText xml:space="preserve"> </w:delText>
        </w:r>
      </w:del>
      <w:del w:id="1073" w:author="Assessor GDSXSR" w:date="2026-10-29T20:29:44Z">
        <w:r>
          <w:rPr>
            <w:rFonts w:ascii="Arial" w:eastAsia="Arial" w:hAnsi="Arial" w:cs="Arial"/>
            <w:color w:val="808080"/>
            <w:sz w:val="28"/>
            <w:szCs w:val="28"/>
          </w:rPr>
          <w:delText>a</w:delText>
        </w:r>
      </w:del>
      <w:del w:id="1074" w:author="Assessor GDSXSR" w:date="2026-10-29T20:29:44Z">
        <w:r>
          <w:rPr>
            <w:rFonts w:ascii="Arial" w:eastAsia="Arial" w:hAnsi="Arial" w:cs="Arial"/>
            <w:sz w:val="28"/>
            <w:szCs w:val="28"/>
          </w:rPr>
          <w:delText xml:space="preserve"> prova de que a apelante </w:delText>
        </w:r>
      </w:del>
      <w:del w:id="1075" w:author="Assessor GDSXSR" w:date="2026-10-29T20:29:44Z">
        <w:r>
          <w:rPr>
            <w:rFonts w:ascii="Arial" w:eastAsia="Arial" w:hAnsi="Arial" w:cs="Arial"/>
            <w:color w:val="808080"/>
            <w:sz w:val="28"/>
            <w:szCs w:val="28"/>
          </w:rPr>
          <w:delText>foi</w:delText>
        </w:r>
      </w:del>
      <w:del w:id="1076" w:author="Assessor GDSXSR" w:date="2026-10-29T20:29:44Z">
        <w:r>
          <w:rPr>
            <w:rFonts w:ascii="Arial" w:eastAsia="Arial" w:hAnsi="Arial" w:cs="Arial"/>
            <w:sz w:val="28"/>
            <w:szCs w:val="28"/>
          </w:rPr>
          <w:delText xml:space="preserve"> beneficiária do fornecimento de água em dezembro de 2020.</w:delText>
        </w:r>
      </w:del>
    </w:p>
    <w:p w14:paraId="4670034E" w14:textId="0D50A2E7" w:rsidR="4107E398" w:rsidRDefault="4107E398" w:rsidP="00EE4F9E">
      <w:pPr>
        <w:spacing w:after="0" w:line="360" w:lineRule="auto"/>
        <w:ind w:firstLine="2268"/>
        <w:jc w:val="both"/>
        <w:rPr>
          <w:del w:id="1078" w:author="Assessor GDSXSR" w:date="2026-10-29T20:29:44Z"/>
          <w:rFonts w:ascii="Arial" w:eastAsia="Arial" w:hAnsi="Arial" w:cs="Arial"/>
          <w:sz w:val="28"/>
          <w:szCs w:val="28"/>
        </w:rPr>
      </w:pPr>
    </w:p>
    <w:p w14:paraId="41B8675A" w14:textId="31AC4F0E" w:rsidR="61D520EB" w:rsidRDefault="61D520EB" w:rsidP="00EE4F9E">
      <w:pPr>
        <w:spacing w:after="0" w:line="360" w:lineRule="auto"/>
        <w:ind w:firstLine="2268"/>
        <w:jc w:val="both"/>
        <w:rPr>
          <w:del w:id="1080" w:author="Assessor GDSXSR" w:date="2026-10-29T20:29:44Z"/>
        </w:rPr>
      </w:pPr>
      <w:del w:id="1079" w:author="Assessor GDSXSR" w:date="2026-10-29T20:29:44Z">
        <w:r w:rsidRPr="395F27C1">
          <w:rPr>
            <w:rFonts w:ascii="Arial" w:eastAsia="Arial" w:hAnsi="Arial" w:cs="Arial"/>
            <w:sz w:val="28"/>
            <w:szCs w:val="28"/>
            <w:highlight w:val="yellow"/>
          </w:rPr>
          <w:delText>No caso, essa circunstância não foi demonstrada.</w:delText>
        </w:r>
      </w:del>
    </w:p>
    <w:p w14:paraId="7BE10270" w14:textId="273F9160" w:rsidR="395F27C1" w:rsidRDefault="395F27C1" w:rsidP="00EE4F9E">
      <w:pPr>
        <w:spacing w:after="0" w:line="360" w:lineRule="auto"/>
        <w:ind w:firstLine="2268"/>
        <w:jc w:val="both"/>
        <w:rPr>
          <w:del w:id="1081" w:author="Assessor GDSXSR" w:date="2026-10-29T20:29:44Z"/>
          <w:rFonts w:ascii="Arial" w:eastAsia="Arial" w:hAnsi="Arial" w:cs="Arial"/>
          <w:sz w:val="28"/>
          <w:szCs w:val="28"/>
        </w:rPr>
      </w:pPr>
    </w:p>
    <w:p w14:paraId="412B3FDC" w14:textId="77777777" w:rsidR="000F7187" w:rsidRDefault="00000000">
      <w:pPr>
        <w:spacing w:after="0" w:line="360" w:lineRule="auto"/>
        <w:ind w:firstLine="2268"/>
        <w:jc w:val="both"/>
      </w:pPr>
      <w:commentRangeStart w:id="14"/>
      <w:del w:id="1082" w:author="Assessor GDSXSR" w:date="2026-10-29T20:29:44Z">
        <w:r>
          <w:rPr>
            <w:rFonts w:ascii="Arial" w:eastAsia="Arial" w:hAnsi="Arial" w:cs="Arial"/>
            <w:color w:val="808080"/>
            <w:sz w:val="28"/>
            <w:szCs w:val="28"/>
          </w:rPr>
          <w:delText xml:space="preserve">Segundo</w:delText>
        </w:r>
      </w:del>
      <w:ins w:id="1083" w:author="Assessor GDSXSR" w:date="2026-10-29T20:29:44Z">
        <w:r>
          <w:rPr>
            <w:rFonts w:ascii="Arial" w:eastAsia="Arial" w:hAnsi="Arial" w:cs="Arial"/>
            <w:color w:val="808080"/>
            <w:sz w:val="28"/>
            <w:szCs w:val="28"/>
          </w:rPr>
          <w:t xml:space="preserve">Ao</w:t>
        </w:r>
      </w:ins>
      <w:r>
        <w:rPr>
          <w:rFonts w:ascii="Arial" w:eastAsia="Arial" w:hAnsi="Arial" w:cs="Arial"/>
          <w:sz w:val="28"/>
          <w:szCs w:val="28"/>
        </w:rPr>
        <w:t xml:space="preserve"> </w:t>
      </w:r>
      <w:del w:id="1084" w:author="Assessor GDSXSR" w:date="2026-10-29T20:29:44Z">
        <w:r>
          <w:rPr>
            <w:rFonts w:ascii="Arial" w:eastAsia="Arial" w:hAnsi="Arial" w:cs="Arial"/>
            <w:color w:val="808080"/>
            <w:sz w:val="28"/>
            <w:szCs w:val="28"/>
          </w:rPr>
          <w:delText xml:space="preserve">o</w:delText>
        </w:r>
      </w:del>
      <w:ins w:id="1085" w:author="Assessor GDSXSR" w:date="2026-10-29T20:29:44Z">
        <w:r>
          <w:rPr>
            <w:rFonts w:ascii="Arial" w:eastAsia="Arial" w:hAnsi="Arial" w:cs="Arial"/>
            <w:color w:val="808080"/>
            <w:sz w:val="28"/>
            <w:szCs w:val="28"/>
          </w:rPr>
          <w:t xml:space="preserve">contrário</w:t>
        </w:r>
      </w:ins>
      <w:r>
        <w:rPr>
          <w:rFonts w:ascii="Arial" w:eastAsia="Arial" w:hAnsi="Arial" w:cs="Arial"/>
          <w:sz w:val="28"/>
          <w:szCs w:val="28"/>
        </w:rPr>
        <w:t xml:space="preserve"> </w:t>
      </w:r>
      <w:del w:id="1086" w:author="Assessor GDSXSR" w:date="2026-10-29T20:29:44Z">
        <w:r>
          <w:rPr>
            <w:rFonts w:ascii="Arial" w:eastAsia="Arial" w:hAnsi="Arial" w:cs="Arial"/>
            <w:sz w:val="28"/>
            <w:szCs w:val="28"/>
          </w:rPr>
          <w:delText xml:space="preserve">Ofício</w:delText>
        </w:r>
      </w:del>
      <w:ins w:id="1087" w:author="Assessor GDSXSR" w:date="2026-10-29T20:29:44Z">
        <w:r>
          <w:rPr>
            <w:rFonts w:ascii="Arial" w:eastAsia="Arial" w:hAnsi="Arial" w:cs="Arial"/>
            <w:color w:val="808080"/>
            <w:sz w:val="28"/>
            <w:szCs w:val="28"/>
          </w:rPr>
          <w:t xml:space="preserve">do</w:t>
        </w:r>
      </w:ins>
      <w:r>
        <w:rPr>
          <w:rFonts w:ascii="Arial" w:eastAsia="Arial" w:hAnsi="Arial" w:cs="Arial"/>
          <w:sz w:val="28"/>
          <w:szCs w:val="28"/>
        </w:rPr>
        <w:t xml:space="preserve"> </w:t>
      </w:r>
      <w:del w:id="1088" w:author="Assessor GDSXSR" w:date="2026-10-29T20:29:44Z">
        <w:r>
          <w:rPr>
            <w:rFonts w:ascii="Arial" w:eastAsia="Arial" w:hAnsi="Arial" w:cs="Arial"/>
            <w:sz w:val="28"/>
            <w:szCs w:val="28"/>
          </w:rPr>
          <w:delText xml:space="preserve">nº</w:delText>
        </w:r>
      </w:del>
      <w:ins w:id="1089" w:author="Assessor GDSXSR" w:date="2026-10-29T20:29:44Z">
        <w:r>
          <w:rPr>
            <w:rFonts w:ascii="Arial" w:eastAsia="Arial" w:hAnsi="Arial" w:cs="Arial"/>
            <w:color w:val="808080"/>
            <w:sz w:val="28"/>
            <w:szCs w:val="28"/>
          </w:rPr>
          <w:t xml:space="preserve">que</w:t>
        </w:r>
      </w:ins>
      <w:r>
        <w:rPr>
          <w:rFonts w:ascii="Arial" w:eastAsia="Arial" w:hAnsi="Arial" w:cs="Arial"/>
          <w:sz w:val="28"/>
          <w:szCs w:val="28"/>
        </w:rPr>
        <w:t xml:space="preserve"> </w:t>
      </w:r>
      <w:del w:id="1090" w:author="Assessor GDSXSR" w:date="2026-10-29T20:29:44Z">
        <w:r>
          <w:rPr>
            <w:rFonts w:ascii="Arial" w:eastAsia="Arial" w:hAnsi="Arial" w:cs="Arial"/>
            <w:sz w:val="28"/>
            <w:szCs w:val="28"/>
          </w:rPr>
          <w:delText xml:space="preserve">764/2024</w:delText>
        </w:r>
      </w:del>
      <w:ins w:id="1091" w:author="Assessor GDSXSR" w:date="2026-10-29T20:29:44Z">
        <w:r>
          <w:rPr>
            <w:rFonts w:ascii="Arial" w:eastAsia="Arial" w:hAnsi="Arial" w:cs="Arial"/>
            <w:color w:val="808080"/>
            <w:sz w:val="28"/>
            <w:szCs w:val="28"/>
          </w:rPr>
          <w:t xml:space="preserve">registrou a sentença</w:t>
        </w:r>
      </w:ins>
      <w:r>
        <w:rPr>
          <w:rFonts w:ascii="Arial" w:eastAsia="Arial" w:hAnsi="Arial" w:cs="Arial"/>
          <w:sz w:val="28"/>
          <w:szCs w:val="28"/>
        </w:rPr>
        <w:t xml:space="preserve">, a apelante </w:t>
      </w:r>
      <w:del w:id="1092" w:author="Assessor GDSXSR" w:date="2026-10-29T20:29:44Z">
        <w:r>
          <w:rPr>
            <w:rFonts w:ascii="Arial" w:eastAsia="Arial" w:hAnsi="Arial" w:cs="Arial"/>
            <w:sz w:val="28"/>
            <w:szCs w:val="28"/>
          </w:rPr>
          <w:delText xml:space="preserve">informou</w:delText>
        </w:r>
      </w:del>
      <w:ins w:id="1093" w:author="Assessor GDSXSR" w:date="2026-10-29T20:29:44Z">
        <w:r>
          <w:rPr>
            <w:rFonts w:ascii="Arial" w:eastAsia="Arial" w:hAnsi="Arial" w:cs="Arial"/>
            <w:color w:val="808080"/>
            <w:sz w:val="28"/>
            <w:szCs w:val="28"/>
          </w:rPr>
          <w:t xml:space="preserve">só</w:t>
        </w:r>
      </w:ins>
      <w:r>
        <w:rPr>
          <w:rFonts w:ascii="Arial" w:eastAsia="Arial" w:hAnsi="Arial" w:cs="Arial"/>
          <w:sz w:val="28"/>
          <w:szCs w:val="28"/>
        </w:rPr>
        <w:t xml:space="preserve"> </w:t>
      </w:r>
      <w:del w:id="1094" w:author="Assessor GDSXSR" w:date="2026-10-29T20:29:44Z">
        <w:r>
          <w:rPr>
            <w:rFonts w:ascii="Arial" w:eastAsia="Arial" w:hAnsi="Arial" w:cs="Arial"/>
            <w:sz w:val="28"/>
            <w:szCs w:val="28"/>
          </w:rPr>
          <w:delText xml:space="preserve">ter assumido</w:delText>
        </w:r>
      </w:del>
      <w:ins w:id="1095" w:author="Assessor GDSXSR" w:date="2026-10-29T20:29:44Z">
        <w:r>
          <w:rPr>
            <w:rFonts w:ascii="Arial" w:eastAsia="Arial" w:hAnsi="Arial" w:cs="Arial"/>
            <w:color w:val="808080"/>
            <w:sz w:val="28"/>
            <w:szCs w:val="28"/>
          </w:rPr>
          <w:t xml:space="preserve">assumiu</w:t>
        </w:r>
      </w:ins>
      <w:r>
        <w:rPr>
          <w:rFonts w:ascii="Arial" w:eastAsia="Arial" w:hAnsi="Arial" w:cs="Arial"/>
          <w:sz w:val="28"/>
          <w:szCs w:val="28"/>
        </w:rPr>
        <w:t xml:space="preserve"> a posse</w:t>
      </w:r>
      <w:del w:id="1096" w:author="Assessor GDSXSR" w:date="2026-10-29T20:29:44Z">
        <w:r>
          <w:rPr>
            <w:rFonts w:ascii="Arial" w:eastAsia="Arial" w:hAnsi="Arial" w:cs="Arial"/>
            <w:sz w:val="28"/>
            <w:szCs w:val="28"/>
          </w:rPr>
          <w:delText xml:space="preserve"> do imóvel</w:delText>
        </w:r>
      </w:del>
      <w:r>
        <w:rPr>
          <w:rFonts w:ascii="Arial" w:eastAsia="Arial" w:hAnsi="Arial" w:cs="Arial"/>
          <w:sz w:val="28"/>
          <w:szCs w:val="28"/>
        </w:rPr>
        <w:t xml:space="preserve"> em 11/4/2023, </w:t>
      </w:r>
      <w:del w:id="1097" w:author="Assessor GDSXSR" w:date="2026-10-29T20:29:44Z">
        <w:r>
          <w:rPr>
            <w:rFonts w:ascii="Arial" w:eastAsia="Arial" w:hAnsi="Arial" w:cs="Arial"/>
            <w:sz w:val="28"/>
            <w:szCs w:val="28"/>
          </w:rPr>
          <w:delText xml:space="preserve">ocasião</w:delText>
        </w:r>
      </w:del>
      <w:ins w:id="1098" w:author="Assessor GDSXSR" w:date="2026-10-29T20:29:44Z">
        <w:r>
          <w:rPr>
            <w:rFonts w:ascii="Arial" w:eastAsia="Arial" w:hAnsi="Arial" w:cs="Arial"/>
            <w:color w:val="808080"/>
            <w:sz w:val="28"/>
            <w:szCs w:val="28"/>
          </w:rPr>
          <w:t xml:space="preserve">após</w:t>
        </w:r>
      </w:ins>
      <w:r>
        <w:rPr>
          <w:rFonts w:ascii="Arial" w:eastAsia="Arial" w:hAnsi="Arial" w:cs="Arial"/>
          <w:sz w:val="28"/>
          <w:szCs w:val="28"/>
        </w:rPr>
        <w:t xml:space="preserve"> </w:t>
      </w:r>
      <w:del w:id="1099" w:author="Assessor GDSXSR" w:date="2026-10-29T20:29:44Z">
        <w:r>
          <w:rPr>
            <w:rFonts w:ascii="Arial" w:eastAsia="Arial" w:hAnsi="Arial" w:cs="Arial"/>
            <w:sz w:val="28"/>
            <w:szCs w:val="28"/>
          </w:rPr>
          <w:delText xml:space="preserve">em</w:delText>
        </w:r>
      </w:del>
      <w:ins w:id="1100" w:author="Assessor GDSXSR" w:date="2026-10-29T20:29:44Z">
        <w:r>
          <w:rPr>
            <w:rFonts w:ascii="Arial" w:eastAsia="Arial" w:hAnsi="Arial" w:cs="Arial"/>
            <w:color w:val="808080"/>
            <w:sz w:val="28"/>
            <w:szCs w:val="28"/>
          </w:rPr>
          <w:t xml:space="preserve">adquirir</w:t>
        </w:r>
      </w:ins>
      <w:r>
        <w:rPr>
          <w:rFonts w:ascii="Arial" w:eastAsia="Arial" w:hAnsi="Arial" w:cs="Arial"/>
          <w:sz w:val="28"/>
          <w:szCs w:val="28"/>
        </w:rPr>
        <w:t xml:space="preserve"> </w:t>
      </w:r>
      <w:del w:id="1101" w:author="Assessor GDSXSR" w:date="2026-10-29T20:29:44Z">
        <w:r>
          <w:rPr>
            <w:rFonts w:ascii="Arial" w:eastAsia="Arial" w:hAnsi="Arial" w:cs="Arial"/>
            <w:sz w:val="28"/>
            <w:szCs w:val="28"/>
          </w:rPr>
          <w:delText xml:space="preserve">que</w:delText>
        </w:r>
      </w:del>
      <w:ins w:id="1102" w:author="Assessor GDSXSR" w:date="2026-10-29T20:29:44Z">
        <w:r>
          <w:rPr>
            <w:rFonts w:ascii="Arial" w:eastAsia="Arial" w:hAnsi="Arial" w:cs="Arial"/>
            <w:color w:val="808080"/>
            <w:sz w:val="28"/>
            <w:szCs w:val="28"/>
          </w:rPr>
          <w:t xml:space="preserve">o</w:t>
        </w:r>
      </w:ins>
      <w:r>
        <w:rPr>
          <w:rFonts w:ascii="Arial" w:eastAsia="Arial" w:hAnsi="Arial" w:cs="Arial"/>
          <w:sz w:val="28"/>
          <w:szCs w:val="28"/>
        </w:rPr>
        <w:t xml:space="preserve"> </w:t>
      </w:r>
      <w:del w:id="1103" w:author="Assessor GDSXSR" w:date="2026-10-29T20:29:44Z">
        <w:r>
          <w:rPr>
            <w:rFonts w:ascii="Arial" w:eastAsia="Arial" w:hAnsi="Arial" w:cs="Arial"/>
            <w:sz w:val="28"/>
            <w:szCs w:val="28"/>
          </w:rPr>
          <w:delText xml:space="preserve">requereu</w:delText>
        </w:r>
      </w:del>
      <w:ins w:id="1104" w:author="Assessor GDSXSR" w:date="2026-10-29T20:29:44Z">
        <w:r>
          <w:rPr>
            <w:rFonts w:ascii="Arial" w:eastAsia="Arial" w:hAnsi="Arial" w:cs="Arial"/>
            <w:color w:val="808080"/>
            <w:sz w:val="28"/>
            <w:szCs w:val="28"/>
          </w:rPr>
          <w:t xml:space="preserve">imóvel da Terracap, quando pediu</w:t>
        </w:r>
      </w:ins>
      <w:r>
        <w:rPr>
          <w:rFonts w:ascii="Arial" w:eastAsia="Arial" w:hAnsi="Arial" w:cs="Arial"/>
          <w:sz w:val="28"/>
          <w:szCs w:val="28"/>
        </w:rPr>
        <w:t xml:space="preserve"> a transferência de titularidade </w:t>
      </w:r>
      <w:del w:id="1105" w:author="Assessor GDSXSR" w:date="2026-10-29T20:29:44Z">
        <w:r>
          <w:rPr>
            <w:rFonts w:ascii="Arial" w:eastAsia="Arial" w:hAnsi="Arial" w:cs="Arial"/>
            <w:sz w:val="28"/>
            <w:szCs w:val="28"/>
          </w:rPr>
          <w:delText xml:space="preserve">da unidade consumidora</w:delText>
        </w:r>
        <w:r>
          <w:rPr>
            <w:rFonts w:ascii="Arial" w:eastAsia="Arial" w:hAnsi="Arial" w:cs="Arial"/>
            <w:color w:val="808080"/>
            <w:sz w:val="28"/>
            <w:szCs w:val="28"/>
          </w:rPr>
          <w:delText xml:space="preserve"> </w:delText>
        </w:r>
      </w:del>
      <w:r>
        <w:rPr>
          <w:rFonts w:ascii="Arial" w:eastAsia="Arial" w:hAnsi="Arial" w:cs="Arial"/>
          <w:color w:val="808080"/>
          <w:sz w:val="28"/>
          <w:szCs w:val="28"/>
        </w:rPr>
        <w:t xml:space="preserve">(ID 89370538</w:t>
      </w:r>
      <w:ins w:id="1106" w:author="Assessor GDSXSR" w:date="2026-10-29T20:29:44Z">
        <w:r>
          <w:rPr>
            <w:rFonts w:ascii="Arial" w:eastAsia="Arial" w:hAnsi="Arial" w:cs="Arial"/>
            <w:color w:val="808080"/>
            <w:sz w:val="28"/>
            <w:szCs w:val="28"/>
          </w:rPr>
          <w:t xml:space="preserve">, ID 89370541 e ID 89370528</w:t>
        </w:r>
      </w:ins>
      <w:r>
        <w:rPr>
          <w:rFonts w:ascii="Arial" w:eastAsia="Arial" w:hAnsi="Arial" w:cs="Arial"/>
          <w:color w:val="808080"/>
          <w:sz w:val="28"/>
          <w:szCs w:val="28"/>
        </w:rPr>
        <w:t xml:space="preserve">)</w:t>
      </w:r>
      <w:r>
        <w:rPr>
          <w:rFonts w:ascii="Arial" w:eastAsia="Arial" w:hAnsi="Arial" w:cs="Arial"/>
          <w:sz w:val="28"/>
          <w:szCs w:val="28"/>
        </w:rPr>
        <w:t xml:space="preserve">.</w:t>
      </w:r>
    </w:p>
    <w:p w14:paraId="333DB1EA" w14:textId="77777777" w:rsidR="000F7187" w:rsidRDefault="000F7187">
      <w:pPr>
        <w:spacing w:after="0" w:line="360" w:lineRule="auto"/>
        <w:ind w:firstLine="2268"/>
        <w:jc w:val="both"/>
      </w:pPr>
    </w:p>
    <w:p w14:paraId="60DF336D" w14:textId="77777777" w:rsidR="000F7187" w:rsidRDefault="00000000">
      <w:pPr>
        <w:spacing w:after="0" w:line="360" w:lineRule="auto"/>
        <w:ind w:firstLine="2268"/>
        <w:jc w:val="both"/>
        <w:rPr>
          <w:del w:id="1124" w:author="Assessor GDSXSR" w:date="2026-10-29T20:29:44Z"/>
        </w:rPr>
      </w:pPr>
      <w:del w:id="1107" w:author="Assessor GDSXSR" w:date="2026-10-29T20:29:44Z">
        <w:r>
          <w:rPr>
            <w:rFonts w:ascii="Arial" w:eastAsia="Arial" w:hAnsi="Arial" w:cs="Arial"/>
            <w:color w:val="808080"/>
            <w:sz w:val="28"/>
            <w:szCs w:val="28"/>
          </w:rPr>
          <w:delText>Ao</w:delText>
        </w:r>
      </w:del>
      <w:del w:id="1108" w:author="Assessor GDSXSR" w:date="2026-10-29T20:29:44Z">
        <w:r>
          <w:rPr>
            <w:rFonts w:ascii="Arial" w:eastAsia="Arial" w:hAnsi="Arial" w:cs="Arial"/>
            <w:sz w:val="28"/>
            <w:szCs w:val="28"/>
          </w:rPr>
          <w:delText xml:space="preserve"> </w:delText>
        </w:r>
      </w:del>
      <w:del w:id="1109" w:author="Assessor GDSXSR" w:date="2026-10-29T20:29:44Z">
        <w:r>
          <w:rPr>
            <w:rFonts w:ascii="Arial" w:eastAsia="Arial" w:hAnsi="Arial" w:cs="Arial"/>
            <w:color w:val="808080"/>
            <w:sz w:val="28"/>
            <w:szCs w:val="28"/>
          </w:rPr>
          <w:delText>contrário</w:delText>
        </w:r>
      </w:del>
      <w:del w:id="1110" w:author="Assessor GDSXSR" w:date="2026-10-29T20:29:44Z">
        <w:r>
          <w:rPr>
            <w:rFonts w:ascii="Arial" w:eastAsia="Arial" w:hAnsi="Arial" w:cs="Arial"/>
            <w:sz w:val="28"/>
            <w:szCs w:val="28"/>
          </w:rPr>
          <w:delText xml:space="preserve"> </w:delText>
        </w:r>
      </w:del>
      <w:del w:id="1111" w:author="Assessor GDSXSR" w:date="2026-10-29T20:29:44Z">
        <w:r>
          <w:rPr>
            <w:rFonts w:ascii="Arial" w:eastAsia="Arial" w:hAnsi="Arial" w:cs="Arial"/>
            <w:color w:val="808080"/>
            <w:sz w:val="28"/>
            <w:szCs w:val="28"/>
          </w:rPr>
          <w:delText>do</w:delText>
        </w:r>
      </w:del>
      <w:del w:id="1112" w:author="Assessor GDSXSR" w:date="2026-10-29T20:29:44Z">
        <w:r>
          <w:rPr>
            <w:rFonts w:ascii="Arial" w:eastAsia="Arial" w:hAnsi="Arial" w:cs="Arial"/>
            <w:sz w:val="28"/>
            <w:szCs w:val="28"/>
          </w:rPr>
          <w:delText xml:space="preserve"> </w:delText>
        </w:r>
      </w:del>
      <w:del w:id="1113" w:author="Assessor GDSXSR" w:date="2026-10-29T20:29:44Z">
        <w:r>
          <w:rPr>
            <w:rFonts w:ascii="Arial" w:eastAsia="Arial" w:hAnsi="Arial" w:cs="Arial"/>
            <w:color w:val="808080"/>
            <w:sz w:val="28"/>
            <w:szCs w:val="28"/>
          </w:rPr>
          <w:delText>que</w:delText>
        </w:r>
      </w:del>
      <w:del w:id="1114" w:author="Assessor GDSXSR" w:date="2026-10-29T20:29:44Z">
        <w:r>
          <w:rPr>
            <w:rFonts w:ascii="Arial" w:eastAsia="Arial" w:hAnsi="Arial" w:cs="Arial"/>
            <w:sz w:val="28"/>
            <w:szCs w:val="28"/>
          </w:rPr>
          <w:delText xml:space="preserve"> </w:delText>
        </w:r>
      </w:del>
      <w:del w:id="1115" w:author="Assessor GDSXSR" w:date="2026-10-29T20:29:44Z">
        <w:r>
          <w:rPr>
            <w:rFonts w:ascii="Arial" w:eastAsia="Arial" w:hAnsi="Arial" w:cs="Arial"/>
            <w:color w:val="808080"/>
            <w:sz w:val="28"/>
            <w:szCs w:val="28"/>
          </w:rPr>
          <w:delText>registrou</w:delText>
        </w:r>
      </w:del>
      <w:del w:id="1116" w:author="Assessor GDSXSR" w:date="2026-10-29T20:29:44Z">
        <w:r>
          <w:rPr>
            <w:rFonts w:ascii="Arial" w:eastAsia="Arial" w:hAnsi="Arial" w:cs="Arial"/>
            <w:sz w:val="28"/>
            <w:szCs w:val="28"/>
          </w:rPr>
          <w:delText xml:space="preserve"> </w:delText>
        </w:r>
      </w:del>
      <w:del w:id="1117" w:author="Assessor GDSXSR" w:date="2026-10-29T20:29:44Z">
        <w:r>
          <w:rPr>
            <w:rFonts w:ascii="Arial" w:eastAsia="Arial" w:hAnsi="Arial" w:cs="Arial"/>
            <w:color w:val="808080"/>
            <w:sz w:val="28"/>
            <w:szCs w:val="28"/>
          </w:rPr>
          <w:delText>a</w:delText>
        </w:r>
      </w:del>
      <w:del w:id="1118" w:author="Assessor GDSXSR" w:date="2026-10-29T20:29:44Z">
        <w:r>
          <w:rPr>
            <w:rFonts w:ascii="Arial" w:eastAsia="Arial" w:hAnsi="Arial" w:cs="Arial"/>
            <w:sz w:val="28"/>
            <w:szCs w:val="28"/>
          </w:rPr>
          <w:delText xml:space="preserve"> </w:delText>
        </w:r>
      </w:del>
      <w:del w:id="1119" w:author="Assessor GDSXSR" w:date="2026-10-29T20:29:44Z">
        <w:r>
          <w:rPr>
            <w:rFonts w:ascii="Arial" w:eastAsia="Arial" w:hAnsi="Arial" w:cs="Arial"/>
            <w:color w:val="808080"/>
            <w:sz w:val="28"/>
            <w:szCs w:val="28"/>
          </w:rPr>
          <w:delText xml:space="preserve">sentença, a autora não reconhece posse anterior: afirmou, nos embargos de declaração, </w:delText>
        </w:r>
      </w:del>
      <w:del w:id="1120" w:author="Assessor GDSXSR" w:date="2026-10-29T20:29:44Z">
        <w:r>
          <w:rPr>
            <w:rFonts w:ascii="Arial" w:eastAsia="Arial" w:hAnsi="Arial" w:cs="Arial"/>
            <w:color w:val="808080"/>
            <w:sz w:val="28"/>
            <w:szCs w:val="28"/>
          </w:rPr>
          <w:lastRenderedPageBreak/>
          <w:delText>que residia em outro imóvel e somente tomou posse após a lavratura</w:delText>
        </w:r>
      </w:del>
      <w:del w:id="1121" w:author="Assessor GDSXSR" w:date="2026-10-29T20:29:44Z">
        <w:r>
          <w:rPr>
            <w:rFonts w:ascii="Arial" w:eastAsia="Arial" w:hAnsi="Arial" w:cs="Arial"/>
            <w:sz w:val="28"/>
            <w:szCs w:val="28"/>
          </w:rPr>
          <w:delText xml:space="preserve"> da </w:delText>
        </w:r>
      </w:del>
      <w:del w:id="1122" w:author="Assessor GDSXSR" w:date="2026-10-29T20:29:44Z">
        <w:r>
          <w:rPr>
            <w:rFonts w:ascii="Arial" w:eastAsia="Arial" w:hAnsi="Arial" w:cs="Arial"/>
            <w:color w:val="808080"/>
            <w:sz w:val="28"/>
            <w:szCs w:val="28"/>
          </w:rPr>
          <w:delText>escritura (ID 89370541)</w:delText>
        </w:r>
      </w:del>
      <w:del w:id="1123" w:author="Assessor GDSXSR" w:date="2026-10-29T20:29:44Z">
        <w:r>
          <w:rPr>
            <w:rFonts w:ascii="Arial" w:eastAsia="Arial" w:hAnsi="Arial" w:cs="Arial"/>
            <w:sz w:val="28"/>
            <w:szCs w:val="28"/>
          </w:rPr>
          <w:delText>.</w:delText>
        </w:r>
      </w:del>
    </w:p>
    <w:p w14:paraId="6DC4B922" w14:textId="77777777" w:rsidR="000F7187" w:rsidRDefault="000F7187">
      <w:pPr>
        <w:spacing w:after="0" w:line="360" w:lineRule="auto"/>
        <w:ind w:firstLine="2268"/>
        <w:jc w:val="both"/>
        <w:rPr>
          <w:del w:id="1125" w:author="Assessor GDSXSR" w:date="2026-10-29T20:29:44Z"/>
        </w:rPr>
      </w:pPr>
    </w:p>
    <w:p w14:paraId="233D3A23" w14:textId="4B6DE677" w:rsidR="61D520EB" w:rsidRDefault="559A2722" w:rsidP="00EE4F9E">
      <w:pPr>
        <w:spacing w:after="0" w:line="360" w:lineRule="auto"/>
        <w:ind w:firstLine="2268"/>
        <w:jc w:val="both"/>
        <w:rPr>
          <w:del w:id="1137" w:author="Assessor GDSXSR" w:date="2026-10-29T20:29:44Z"/>
          <w:rFonts w:ascii="Arial" w:eastAsia="Arial" w:hAnsi="Arial" w:cs="Arial"/>
          <w:sz w:val="28"/>
          <w:szCs w:val="28"/>
        </w:rPr>
      </w:pPr>
      <w:del w:id="1126" w:author="Assessor GDSXSR" w:date="2026-10-29T20:29:44Z">
        <w:r>
          <w:rPr>
            <w:rFonts w:ascii="Arial" w:eastAsia="Arial" w:hAnsi="Arial" w:cs="Arial"/>
            <w:color w:val="808080"/>
            <w:sz w:val="28"/>
            <w:szCs w:val="28"/>
          </w:rPr>
          <w:delText>No</w:delText>
        </w:r>
      </w:del>
      <w:del w:id="1127" w:author="Assessor GDSXSR" w:date="2026-10-29T20:29:44Z">
        <w:r>
          <w:rPr>
            <w:rFonts w:ascii="Arial" w:eastAsia="Arial" w:hAnsi="Arial" w:cs="Arial"/>
            <w:sz w:val="28"/>
            <w:szCs w:val="28"/>
          </w:rPr>
          <w:delText xml:space="preserve"> </w:delText>
        </w:r>
      </w:del>
      <w:del w:id="1128" w:author="Assessor GDSXSR" w:date="2026-10-29T20:29:44Z">
        <w:r>
          <w:rPr>
            <w:rFonts w:ascii="Arial" w:eastAsia="Arial" w:hAnsi="Arial" w:cs="Arial"/>
            <w:color w:val="808080"/>
            <w:sz w:val="28"/>
            <w:szCs w:val="28"/>
          </w:rPr>
          <w:delText>mais</w:delText>
        </w:r>
      </w:del>
      <w:del w:id="1129" w:author="Assessor GDSXSR" w:date="2026-10-29T20:29:44Z">
        <w:r>
          <w:rPr>
            <w:rFonts w:ascii="Arial" w:eastAsia="Arial" w:hAnsi="Arial" w:cs="Arial"/>
            <w:sz w:val="28"/>
            <w:szCs w:val="28"/>
          </w:rPr>
          <w:delText>, a escritura pública indica que o imóvel foi adquirido da Terracap</w:delText>
        </w:r>
      </w:del>
      <w:del w:id="1130" w:author="Assessor GDSXSR" w:date="2026-10-29T20:29:44Z">
        <w:r>
          <w:rPr>
            <w:rFonts w:ascii="Arial" w:eastAsia="Arial" w:hAnsi="Arial" w:cs="Arial"/>
            <w:color w:val="808080"/>
            <w:sz w:val="28"/>
            <w:szCs w:val="28"/>
          </w:rPr>
          <w:delText>,</w:delText>
        </w:r>
      </w:del>
      <w:del w:id="1131" w:author="Assessor GDSXSR" w:date="2026-10-29T20:29:44Z">
        <w:r>
          <w:rPr>
            <w:rFonts w:ascii="Arial" w:eastAsia="Arial" w:hAnsi="Arial" w:cs="Arial"/>
            <w:sz w:val="28"/>
            <w:szCs w:val="28"/>
          </w:rPr>
          <w:delText xml:space="preserve"> por negócio oneroso, em </w:delText>
        </w:r>
      </w:del>
      <w:del w:id="1132" w:author="Assessor GDSXSR" w:date="2026-10-29T20:29:44Z">
        <w:r>
          <w:rPr>
            <w:rFonts w:ascii="Arial" w:eastAsia="Arial" w:hAnsi="Arial" w:cs="Arial"/>
            <w:color w:val="808080"/>
            <w:sz w:val="28"/>
            <w:szCs w:val="28"/>
          </w:rPr>
          <w:delText>11/4/</w:delText>
        </w:r>
      </w:del>
      <w:del w:id="1133" w:author="Assessor GDSXSR" w:date="2026-10-29T20:29:44Z">
        <w:r>
          <w:rPr>
            <w:rFonts w:ascii="Arial" w:eastAsia="Arial" w:hAnsi="Arial" w:cs="Arial"/>
            <w:sz w:val="28"/>
            <w:szCs w:val="28"/>
          </w:rPr>
          <w:delText>2023</w:delText>
        </w:r>
      </w:del>
      <w:del w:id="1134" w:author="Assessor GDSXSR" w:date="2026-10-29T20:29:44Z">
        <w:r>
          <w:rPr>
            <w:rFonts w:ascii="Arial" w:eastAsia="Arial" w:hAnsi="Arial" w:cs="Arial"/>
            <w:color w:val="808080"/>
            <w:sz w:val="28"/>
            <w:szCs w:val="28"/>
          </w:rPr>
          <w:delText xml:space="preserve"> (ID 89370528)</w:delText>
        </w:r>
      </w:del>
      <w:del w:id="1135" w:author="Assessor GDSXSR" w:date="2026-10-29T20:29:44Z">
        <w:r>
          <w:rPr>
            <w:rFonts w:ascii="Arial" w:eastAsia="Arial" w:hAnsi="Arial" w:cs="Arial"/>
            <w:sz w:val="28"/>
            <w:szCs w:val="28"/>
          </w:rPr>
          <w:delText>.</w:delText>
        </w:r>
      </w:del>
      <w:commentRangeEnd w:id="14"/>
      <w:del w:id="1136" w:author="Assessor GDSXSR" w:date="2026-10-29T20:29:44Z">
        <w:r>
          <w:rPr>
            <w:rStyle w:val="Refdecomentrio"/>
            <w:rFonts w:ascii="Arial" w:eastAsia="Arial" w:hAnsi="Arial" w:cs="Arial"/>
            <w:sz w:val="28"/>
            <w:szCs w:val="28"/>
          </w:rPr>
          <w:commentReference w:id="14"/>
        </w:r>
      </w:del>
    </w:p>
    <w:p w14:paraId="17AA576A" w14:textId="5B968DC9" w:rsidR="61D520EB" w:rsidRDefault="61D520EB" w:rsidP="00EE4F9E">
      <w:pPr>
        <w:spacing w:after="0" w:line="360" w:lineRule="auto"/>
        <w:ind w:firstLine="2268"/>
        <w:jc w:val="both"/>
        <w:rPr>
          <w:del w:id="1138" w:author="Assessor GDSXSR" w:date="2026-10-29T20:29:44Z"/>
          <w:rFonts w:ascii="Arial" w:eastAsia="Arial" w:hAnsi="Arial" w:cs="Arial"/>
          <w:sz w:val="28"/>
          <w:szCs w:val="28"/>
        </w:rPr>
      </w:pPr>
    </w:p>
    <w:p w14:paraId="0F6F5F07" w14:textId="77777777" w:rsidR="000F7187" w:rsidRDefault="00000000">
      <w:pPr>
        <w:spacing w:after="0" w:line="360" w:lineRule="auto"/>
        <w:ind w:firstLine="2268"/>
        <w:jc w:val="both"/>
      </w:pPr>
      <w:commentRangeStart w:id="15"/>
      <w:del w:id="1139" w:author="Assessor GDSXSR" w:date="2026-10-29T20:29:44Z">
        <w:r>
          <w:rPr>
            <w:rFonts w:ascii="Arial" w:eastAsia="Arial" w:hAnsi="Arial" w:cs="Arial"/>
            <w:color w:val="808080"/>
            <w:sz w:val="28"/>
            <w:szCs w:val="28"/>
          </w:rPr>
          <w:delText xml:space="preserve">A</w:delText>
        </w:r>
      </w:del>
      <w:ins w:id="1140" w:author="Assessor GDSXSR" w:date="2026-10-29T20:29:44Z">
        <w:r>
          <w:rPr>
            <w:rFonts w:ascii="Arial" w:eastAsia="Arial" w:hAnsi="Arial" w:cs="Arial"/>
            <w:color w:val="808080"/>
            <w:sz w:val="28"/>
            <w:szCs w:val="28"/>
          </w:rPr>
          <w:t xml:space="preserve">Os registros unilaterais da</w:t>
        </w:r>
      </w:ins>
      <w:r>
        <w:rPr>
          <w:rFonts w:ascii="Arial" w:eastAsia="Arial" w:hAnsi="Arial" w:cs="Arial"/>
          <w:sz w:val="28"/>
          <w:szCs w:val="28"/>
        </w:rPr>
        <w:t xml:space="preserve"> concessionária </w:t>
      </w:r>
      <w:del w:id="1141" w:author="Assessor GDSXSR" w:date="2026-10-29T20:29:44Z">
        <w:r>
          <w:rPr>
            <w:rFonts w:ascii="Arial" w:eastAsia="Arial" w:hAnsi="Arial" w:cs="Arial"/>
            <w:color w:val="808080"/>
            <w:sz w:val="28"/>
            <w:szCs w:val="28"/>
          </w:rPr>
          <w:delText xml:space="preserve">sustenta</w:delText>
        </w:r>
        <w:r>
          <w:rPr>
            <w:rFonts w:ascii="Arial" w:eastAsia="Arial" w:hAnsi="Arial" w:cs="Arial"/>
            <w:sz w:val="28"/>
            <w:szCs w:val="28"/>
          </w:rPr>
          <w:delText xml:space="preserve"> que a autora </w:delText>
        </w:r>
        <w:r>
          <w:rPr>
            <w:rFonts w:ascii="Arial" w:eastAsia="Arial" w:hAnsi="Arial" w:cs="Arial"/>
            <w:color w:val="808080"/>
            <w:sz w:val="28"/>
            <w:szCs w:val="28"/>
          </w:rPr>
          <w:delText xml:space="preserve">figura</w:delText>
        </w:r>
        <w:r>
          <w:rPr>
            <w:rFonts w:ascii="Arial" w:eastAsia="Arial" w:hAnsi="Arial" w:cs="Arial"/>
            <w:sz w:val="28"/>
            <w:szCs w:val="28"/>
          </w:rPr>
          <w:delText xml:space="preserve"> </w:delText>
        </w:r>
        <w:r>
          <w:rPr>
            <w:rFonts w:ascii="Arial" w:eastAsia="Arial" w:hAnsi="Arial" w:cs="Arial"/>
            <w:color w:val="808080"/>
            <w:sz w:val="28"/>
            <w:szCs w:val="28"/>
          </w:rPr>
          <w:delText xml:space="preserve">no</w:delText>
        </w:r>
        <w:r>
          <w:rPr>
            <w:rFonts w:ascii="Arial" w:eastAsia="Arial" w:hAnsi="Arial" w:cs="Arial"/>
            <w:sz w:val="28"/>
            <w:szCs w:val="28"/>
          </w:rPr>
          <w:delText xml:space="preserve"> </w:delText>
        </w:r>
      </w:del>
      <w:ins w:id="1142" w:author="Assessor GDSXSR" w:date="2026-10-29T20:29:44Z">
        <w:r>
          <w:rPr>
            <w:rFonts w:ascii="Arial" w:eastAsia="Arial" w:hAnsi="Arial" w:cs="Arial"/>
            <w:color w:val="808080"/>
            <w:sz w:val="28"/>
            <w:szCs w:val="28"/>
          </w:rPr>
          <w:t xml:space="preserve">(</w:t>
        </w:r>
      </w:ins>
      <w:r>
        <w:rPr>
          <w:rFonts w:ascii="Arial" w:eastAsia="Arial" w:hAnsi="Arial" w:cs="Arial"/>
          <w:color w:val="808080"/>
          <w:sz w:val="28"/>
          <w:szCs w:val="28"/>
        </w:rPr>
        <w:t xml:space="preserve">cadastro</w:t>
      </w:r>
      <w:del w:id="1143" w:author="Assessor GDSXSR" w:date="2026-10-29T20:29:44Z">
        <w:r>
          <w:rPr>
            <w:rFonts w:ascii="Arial" w:eastAsia="Arial" w:hAnsi="Arial" w:cs="Arial"/>
            <w:sz w:val="28"/>
            <w:szCs w:val="28"/>
          </w:rPr>
          <w:delText xml:space="preserve"> da unidade</w:delText>
        </w:r>
      </w:del>
      <w:r>
        <w:rPr>
          <w:rFonts w:ascii="Arial" w:eastAsia="Arial" w:hAnsi="Arial" w:cs="Arial"/>
          <w:sz w:val="28"/>
          <w:szCs w:val="28"/>
        </w:rPr>
        <w:t xml:space="preserve"> </w:t>
      </w:r>
      <w:r>
        <w:rPr>
          <w:rFonts w:ascii="Arial" w:eastAsia="Arial" w:hAnsi="Arial" w:cs="Arial"/>
          <w:color w:val="808080"/>
          <w:sz w:val="28"/>
          <w:szCs w:val="28"/>
        </w:rPr>
        <w:t xml:space="preserve">desde 10/12/2020 e </w:t>
      </w:r>
      <w:del w:id="1144" w:author="Assessor GDSXSR" w:date="2026-10-29T20:29:44Z">
        <w:r>
          <w:rPr>
            <w:rFonts w:ascii="Arial" w:eastAsia="Arial" w:hAnsi="Arial" w:cs="Arial"/>
            <w:color w:val="808080"/>
            <w:sz w:val="28"/>
            <w:szCs w:val="28"/>
          </w:rPr>
          <w:delText xml:space="preserve">que,</w:delText>
        </w:r>
      </w:del>
      <w:ins w:id="1145" w:author="Assessor GDSXSR" w:date="2026-10-29T20:29:44Z">
        <w:r>
          <w:rPr>
            <w:rFonts w:ascii="Arial" w:eastAsia="Arial" w:hAnsi="Arial" w:cs="Arial"/>
            <w:color w:val="808080"/>
            <w:sz w:val="28"/>
            <w:szCs w:val="28"/>
          </w:rPr>
          <w:t xml:space="preserve">ordem</w:t>
        </w:r>
      </w:ins>
      <w:r>
        <w:rPr>
          <w:rFonts w:ascii="Arial" w:eastAsia="Arial" w:hAnsi="Arial" w:cs="Arial"/>
          <w:color w:val="808080"/>
          <w:sz w:val="28"/>
          <w:szCs w:val="28"/>
        </w:rPr>
        <w:t xml:space="preserve"> </w:t>
      </w:r>
      <w:del w:id="1146" w:author="Assessor GDSXSR" w:date="2026-10-29T20:29:44Z">
        <w:r>
          <w:rPr>
            <w:rFonts w:ascii="Arial" w:eastAsia="Arial" w:hAnsi="Arial" w:cs="Arial"/>
            <w:color w:val="808080"/>
            <w:sz w:val="28"/>
            <w:szCs w:val="28"/>
          </w:rPr>
          <w:delText xml:space="preserve">em</w:delText>
        </w:r>
      </w:del>
      <w:ins w:id="1147" w:author="Assessor GDSXSR" w:date="2026-10-29T20:29:44Z">
        <w:r>
          <w:rPr>
            <w:rFonts w:ascii="Arial" w:eastAsia="Arial" w:hAnsi="Arial" w:cs="Arial"/>
            <w:color w:val="808080"/>
            <w:sz w:val="28"/>
            <w:szCs w:val="28"/>
          </w:rPr>
          <w:t xml:space="preserve">de serviço de</w:t>
        </w:r>
      </w:ins>
      <w:r>
        <w:rPr>
          <w:rFonts w:ascii="Arial" w:eastAsia="Arial" w:hAnsi="Arial" w:cs="Arial"/>
          <w:color w:val="808080"/>
          <w:sz w:val="28"/>
          <w:szCs w:val="28"/>
        </w:rPr>
        <w:t xml:space="preserve"> 22/12/2020</w:t>
      </w:r>
      <w:del w:id="1148" w:author="Assessor GDSXSR" w:date="2026-10-29T20:29:44Z">
        <w:r>
          <w:rPr>
            <w:rFonts w:ascii="Arial" w:eastAsia="Arial" w:hAnsi="Arial" w:cs="Arial"/>
            <w:color w:val="808080"/>
            <w:sz w:val="28"/>
            <w:szCs w:val="28"/>
          </w:rPr>
          <w:delText xml:space="preserve">,</w:delText>
        </w:r>
      </w:del>
      <w:ins w:id="1149" w:author="Assessor GDSXSR" w:date="2026-10-29T20:29:44Z">
        <w:r>
          <w:rPr>
            <w:rFonts w:ascii="Arial" w:eastAsia="Arial" w:hAnsi="Arial" w:cs="Arial"/>
            <w:color w:val="808080"/>
            <w:sz w:val="28"/>
            <w:szCs w:val="28"/>
          </w:rPr>
          <w:t xml:space="preserve">) não identificam quem os formulou nem comprovam que a apelante usava</w:t>
        </w:r>
      </w:ins>
      <w:r>
        <w:rPr>
          <w:rFonts w:ascii="Arial" w:eastAsia="Arial" w:hAnsi="Arial" w:cs="Arial"/>
          <w:color w:val="808080"/>
          <w:sz w:val="28"/>
          <w:szCs w:val="28"/>
        </w:rPr>
        <w:t xml:space="preserve"> o </w:t>
      </w:r>
      <w:del w:id="1150" w:author="Assessor GDSXSR" w:date="2026-10-29T20:29:44Z">
        <w:r>
          <w:rPr>
            <w:rFonts w:ascii="Arial" w:eastAsia="Arial" w:hAnsi="Arial" w:cs="Arial"/>
            <w:color w:val="808080"/>
            <w:sz w:val="28"/>
            <w:szCs w:val="28"/>
          </w:rPr>
          <w:delText xml:space="preserve">usuário solicitou revisão da conta, conforme a ordem de </w:delText>
        </w:r>
      </w:del>
      <w:r>
        <w:rPr>
          <w:rFonts w:ascii="Arial" w:eastAsia="Arial" w:hAnsi="Arial" w:cs="Arial"/>
          <w:color w:val="808080"/>
          <w:sz w:val="28"/>
          <w:szCs w:val="28"/>
        </w:rPr>
        <w:t xml:space="preserve">serviço </w:t>
      </w:r>
      <w:del w:id="1151" w:author="Assessor GDSXSR" w:date="2026-10-29T20:29:44Z">
        <w:r>
          <w:rPr>
            <w:rFonts w:ascii="Arial" w:eastAsia="Arial" w:hAnsi="Arial" w:cs="Arial"/>
            <w:color w:val="808080"/>
            <w:sz w:val="28"/>
            <w:szCs w:val="28"/>
          </w:rPr>
          <w:delText xml:space="preserve">nº</w:delText>
        </w:r>
      </w:del>
      <w:ins w:id="1152" w:author="Assessor GDSXSR" w:date="2026-10-29T20:29:44Z">
        <w:r>
          <w:rPr>
            <w:rFonts w:ascii="Arial" w:eastAsia="Arial" w:hAnsi="Arial" w:cs="Arial"/>
            <w:color w:val="808080"/>
            <w:sz w:val="28"/>
            <w:szCs w:val="28"/>
          </w:rPr>
          <w:t xml:space="preserve">no</w:t>
        </w:r>
      </w:ins>
      <w:r>
        <w:rPr>
          <w:rFonts w:ascii="Arial" w:eastAsia="Arial" w:hAnsi="Arial" w:cs="Arial"/>
          <w:color w:val="808080"/>
          <w:sz w:val="28"/>
          <w:szCs w:val="28"/>
        </w:rPr>
        <w:t xml:space="preserve"> </w:t>
      </w:r>
      <w:del w:id="1153" w:author="Assessor GDSXSR" w:date="2026-10-29T20:29:44Z">
        <w:r>
          <w:rPr>
            <w:rFonts w:ascii="Arial" w:eastAsia="Arial" w:hAnsi="Arial" w:cs="Arial"/>
            <w:color w:val="808080"/>
            <w:sz w:val="28"/>
            <w:szCs w:val="28"/>
          </w:rPr>
          <w:delText xml:space="preserve">2500100122055908</w:delText>
        </w:r>
      </w:del>
      <w:ins w:id="1154" w:author="Assessor GDSXSR" w:date="2026-10-29T20:29:44Z">
        <w:r>
          <w:rPr>
            <w:rFonts w:ascii="Arial" w:eastAsia="Arial" w:hAnsi="Arial" w:cs="Arial"/>
            <w:color w:val="808080"/>
            <w:sz w:val="28"/>
            <w:szCs w:val="28"/>
          </w:rPr>
          <w:t xml:space="preserve">período</w:t>
        </w:r>
      </w:ins>
      <w:r>
        <w:rPr>
          <w:rFonts w:ascii="Arial" w:eastAsia="Arial" w:hAnsi="Arial" w:cs="Arial"/>
          <w:sz w:val="28"/>
          <w:szCs w:val="28"/>
        </w:rPr>
        <w:t xml:space="preserve"> (ID 89370549).</w:t>
      </w:r>
    </w:p>
    <w:p w14:paraId="3E9D52D4" w14:textId="77777777" w:rsidR="000F7187" w:rsidRDefault="000F7187">
      <w:pPr>
        <w:spacing w:after="0" w:line="360" w:lineRule="auto"/>
        <w:ind w:firstLine="2268"/>
        <w:jc w:val="both"/>
      </w:pPr>
    </w:p>
    <w:p w14:paraId="59445E0F" w14:textId="15426652" w:rsidR="232A16D2" w:rsidRDefault="232A16D2" w:rsidP="00EE4F9E">
      <w:pPr>
        <w:spacing w:after="0" w:line="360" w:lineRule="auto"/>
        <w:ind w:firstLine="2268"/>
        <w:jc w:val="both"/>
        <w:rPr>
          <w:del w:id="1175" w:author="Assessor GDSXSR" w:date="2026-10-29T20:29:44Z"/>
        </w:rPr>
      </w:pPr>
      <w:del w:id="1155" w:author="Assessor GDSXSR" w:date="2026-10-29T20:29:44Z">
        <w:r>
          <w:rPr>
            <w:rFonts w:ascii="Arial" w:eastAsia="Arial" w:hAnsi="Arial" w:cs="Arial"/>
            <w:sz w:val="28"/>
            <w:szCs w:val="28"/>
          </w:rPr>
          <w:delText xml:space="preserve">Todavia, </w:delText>
        </w:r>
      </w:del>
      <w:del w:id="1156" w:author="Assessor GDSXSR" w:date="2026-10-29T20:29:44Z">
        <w:r>
          <w:rPr>
            <w:rFonts w:ascii="Arial" w:eastAsia="Arial" w:hAnsi="Arial" w:cs="Arial"/>
            <w:color w:val="808080"/>
            <w:sz w:val="28"/>
            <w:szCs w:val="28"/>
          </w:rPr>
          <w:delText>esses</w:delText>
        </w:r>
      </w:del>
      <w:del w:id="1157" w:author="Assessor GDSXSR" w:date="2026-10-29T20:29:44Z">
        <w:r>
          <w:rPr>
            <w:rFonts w:ascii="Arial" w:eastAsia="Arial" w:hAnsi="Arial" w:cs="Arial"/>
            <w:sz w:val="28"/>
            <w:szCs w:val="28"/>
          </w:rPr>
          <w:delText xml:space="preserve"> registros</w:delText>
        </w:r>
      </w:del>
      <w:del w:id="1158" w:author="Assessor GDSXSR" w:date="2026-10-29T20:29:44Z">
        <w:r>
          <w:rPr>
            <w:rFonts w:ascii="Arial" w:eastAsia="Arial" w:hAnsi="Arial" w:cs="Arial"/>
            <w:color w:val="808080"/>
            <w:sz w:val="28"/>
            <w:szCs w:val="28"/>
          </w:rPr>
          <w:delText>,</w:delText>
        </w:r>
      </w:del>
      <w:del w:id="1159" w:author="Assessor GDSXSR" w:date="2026-10-29T20:29:44Z">
        <w:r>
          <w:rPr>
            <w:rFonts w:ascii="Arial" w:eastAsia="Arial" w:hAnsi="Arial" w:cs="Arial"/>
            <w:sz w:val="28"/>
            <w:szCs w:val="28"/>
          </w:rPr>
          <w:delText xml:space="preserve"> </w:delText>
        </w:r>
      </w:del>
      <w:del w:id="1160" w:author="Assessor GDSXSR" w:date="2026-10-29T20:29:44Z">
        <w:r>
          <w:rPr>
            <w:rFonts w:ascii="Arial" w:eastAsia="Arial" w:hAnsi="Arial" w:cs="Arial"/>
            <w:color w:val="808080"/>
            <w:sz w:val="28"/>
            <w:szCs w:val="28"/>
          </w:rPr>
          <w:delText>produzidos</w:delText>
        </w:r>
      </w:del>
      <w:del w:id="1161" w:author="Assessor GDSXSR" w:date="2026-10-29T20:29:44Z">
        <w:r>
          <w:rPr>
            <w:rFonts w:ascii="Arial" w:eastAsia="Arial" w:hAnsi="Arial" w:cs="Arial"/>
            <w:sz w:val="28"/>
            <w:szCs w:val="28"/>
          </w:rPr>
          <w:delText xml:space="preserve"> </w:delText>
        </w:r>
      </w:del>
      <w:del w:id="1162" w:author="Assessor GDSXSR" w:date="2026-10-29T20:29:44Z">
        <w:r>
          <w:rPr>
            <w:rFonts w:ascii="Arial" w:eastAsia="Arial" w:hAnsi="Arial" w:cs="Arial"/>
            <w:color w:val="808080"/>
            <w:sz w:val="28"/>
            <w:szCs w:val="28"/>
          </w:rPr>
          <w:delText>unilateralmente</w:delText>
        </w:r>
      </w:del>
      <w:del w:id="1163" w:author="Assessor GDSXSR" w:date="2026-10-29T20:29:44Z">
        <w:r>
          <w:rPr>
            <w:rFonts w:ascii="Arial" w:eastAsia="Arial" w:hAnsi="Arial" w:cs="Arial"/>
            <w:sz w:val="28"/>
            <w:szCs w:val="28"/>
          </w:rPr>
          <w:delText xml:space="preserve"> </w:delText>
        </w:r>
      </w:del>
      <w:del w:id="1164" w:author="Assessor GDSXSR" w:date="2026-10-29T20:29:44Z">
        <w:r>
          <w:rPr>
            <w:rFonts w:ascii="Arial" w:eastAsia="Arial" w:hAnsi="Arial" w:cs="Arial"/>
            <w:color w:val="808080"/>
            <w:sz w:val="28"/>
            <w:szCs w:val="28"/>
          </w:rPr>
          <w:delText>pela</w:delText>
        </w:r>
      </w:del>
      <w:del w:id="1165" w:author="Assessor GDSXSR" w:date="2026-10-29T20:29:44Z">
        <w:r>
          <w:rPr>
            <w:rFonts w:ascii="Arial" w:eastAsia="Arial" w:hAnsi="Arial" w:cs="Arial"/>
            <w:sz w:val="28"/>
            <w:szCs w:val="28"/>
          </w:rPr>
          <w:delText xml:space="preserve"> </w:delText>
        </w:r>
      </w:del>
      <w:del w:id="1166" w:author="Assessor GDSXSR" w:date="2026-10-29T20:29:44Z">
        <w:r>
          <w:rPr>
            <w:rFonts w:ascii="Arial" w:eastAsia="Arial" w:hAnsi="Arial" w:cs="Arial"/>
            <w:color w:val="808080"/>
            <w:sz w:val="28"/>
            <w:szCs w:val="28"/>
          </w:rPr>
          <w:delText>concessionária,</w:delText>
        </w:r>
      </w:del>
      <w:del w:id="1167" w:author="Assessor GDSXSR" w:date="2026-10-29T20:29:44Z">
        <w:r>
          <w:rPr>
            <w:rFonts w:ascii="Arial" w:eastAsia="Arial" w:hAnsi="Arial" w:cs="Arial"/>
            <w:sz w:val="28"/>
            <w:szCs w:val="28"/>
          </w:rPr>
          <w:delText xml:space="preserve"> </w:delText>
        </w:r>
      </w:del>
      <w:del w:id="1168" w:author="Assessor GDSXSR" w:date="2026-10-29T20:29:44Z">
        <w:r>
          <w:rPr>
            <w:rFonts w:ascii="Arial" w:eastAsia="Arial" w:hAnsi="Arial" w:cs="Arial"/>
            <w:color w:val="808080"/>
            <w:sz w:val="28"/>
            <w:szCs w:val="28"/>
          </w:rPr>
          <w:delText>não</w:delText>
        </w:r>
      </w:del>
      <w:del w:id="1169" w:author="Assessor GDSXSR" w:date="2026-10-29T20:29:44Z">
        <w:r>
          <w:rPr>
            <w:rFonts w:ascii="Arial" w:eastAsia="Arial" w:hAnsi="Arial" w:cs="Arial"/>
            <w:sz w:val="28"/>
            <w:szCs w:val="28"/>
          </w:rPr>
          <w:delText xml:space="preserve"> </w:delText>
        </w:r>
      </w:del>
      <w:del w:id="1170" w:author="Assessor GDSXSR" w:date="2026-10-29T20:29:44Z">
        <w:r>
          <w:rPr>
            <w:rFonts w:ascii="Arial" w:eastAsia="Arial" w:hAnsi="Arial" w:cs="Arial"/>
            <w:color w:val="808080"/>
            <w:sz w:val="28"/>
            <w:szCs w:val="28"/>
          </w:rPr>
          <w:delText>identificam quem formulou</w:delText>
        </w:r>
      </w:del>
      <w:del w:id="1171" w:author="Assessor GDSXSR" w:date="2026-10-29T20:29:44Z">
        <w:r>
          <w:rPr>
            <w:rFonts w:ascii="Arial" w:eastAsia="Arial" w:hAnsi="Arial" w:cs="Arial"/>
            <w:sz w:val="28"/>
            <w:szCs w:val="28"/>
          </w:rPr>
          <w:delText xml:space="preserve"> o </w:delText>
        </w:r>
      </w:del>
      <w:del w:id="1172" w:author="Assessor GDSXSR" w:date="2026-10-29T20:29:44Z">
        <w:r>
          <w:rPr>
            <w:rFonts w:ascii="Arial" w:eastAsia="Arial" w:hAnsi="Arial" w:cs="Arial"/>
            <w:color w:val="808080"/>
            <w:sz w:val="28"/>
            <w:szCs w:val="28"/>
          </w:rPr>
          <w:delText>pedido</w:delText>
        </w:r>
      </w:del>
      <w:del w:id="1173" w:author="Assessor GDSXSR" w:date="2026-10-29T20:29:44Z">
        <w:r>
          <w:rPr>
            <w:rFonts w:ascii="Arial" w:eastAsia="Arial" w:hAnsi="Arial" w:cs="Arial"/>
            <w:sz w:val="28"/>
            <w:szCs w:val="28"/>
          </w:rPr>
          <w:delText xml:space="preserve"> e não comprovam, por si sós, que a apelante utilizava o serviço ou ocupava a unidade em dezembro de 2020, circunstância indispensável para legitimar a cobrança em seu desfavor.</w:delText>
        </w:r>
      </w:del>
      <w:commentRangeEnd w:id="15"/>
      <w:del w:id="1174" w:author="Assessor GDSXSR" w:date="2026-10-29T20:29:44Z">
        <w:r>
          <w:rPr>
            <w:rStyle w:val="Refdecomentrio"/>
            <w:sz w:val="22"/>
            <w:szCs w:val="22"/>
          </w:rPr>
          <w:commentReference w:id="15"/>
        </w:r>
      </w:del>
    </w:p>
    <w:p w14:paraId="16104DF3" w14:textId="534D0D71" w:rsidR="395F27C1" w:rsidRDefault="395F27C1" w:rsidP="00EE4F9E">
      <w:pPr>
        <w:spacing w:after="0" w:line="360" w:lineRule="auto"/>
        <w:ind w:firstLine="2268"/>
        <w:jc w:val="both"/>
        <w:rPr>
          <w:del w:id="1176" w:author="Assessor GDSXSR" w:date="2026-10-29T20:29:44Z"/>
          <w:rFonts w:ascii="Arial" w:eastAsia="Arial" w:hAnsi="Arial" w:cs="Arial"/>
          <w:sz w:val="28"/>
          <w:szCs w:val="28"/>
        </w:rPr>
      </w:pPr>
    </w:p>
    <w:p w14:paraId="178D23BB" w14:textId="77777777" w:rsidR="000F7187" w:rsidRDefault="00000000">
      <w:pPr>
        <w:spacing w:after="0" w:line="360" w:lineRule="auto"/>
        <w:ind w:firstLine="2268"/>
        <w:jc w:val="both"/>
      </w:pPr>
      <w:commentRangeStart w:id="16"/>
      <w:del w:id="1177" w:author="Assessor GDSXSR" w:date="2026-10-29T20:29:44Z">
        <w:r>
          <w:rPr>
            <w:rFonts w:ascii="Arial" w:eastAsia="Arial" w:hAnsi="Arial" w:cs="Arial"/>
            <w:sz w:val="28"/>
            <w:szCs w:val="28"/>
          </w:rPr>
          <w:delText xml:space="preserve">É</w:delText>
        </w:r>
      </w:del>
      <w:ins w:id="1178" w:author="Assessor GDSXSR" w:date="2026-10-29T20:29:44Z">
        <w:r>
          <w:rPr>
            <w:rFonts w:ascii="Arial" w:eastAsia="Arial" w:hAnsi="Arial" w:cs="Arial"/>
            <w:color w:val="808080"/>
            <w:sz w:val="28"/>
            <w:szCs w:val="28"/>
          </w:rPr>
          <w:t xml:space="preserve">A</w:t>
        </w:r>
      </w:ins>
      <w:r>
        <w:rPr>
          <w:rFonts w:ascii="Arial" w:eastAsia="Arial" w:hAnsi="Arial" w:cs="Arial"/>
          <w:sz w:val="28"/>
          <w:szCs w:val="28"/>
        </w:rPr>
        <w:t xml:space="preserve"> </w:t>
      </w:r>
      <w:del w:id="1179" w:author="Assessor GDSXSR" w:date="2026-10-29T20:29:44Z">
        <w:r>
          <w:rPr>
            <w:rFonts w:ascii="Arial" w:eastAsia="Arial" w:hAnsi="Arial" w:cs="Arial"/>
            <w:sz w:val="28"/>
            <w:szCs w:val="28"/>
          </w:rPr>
          <w:delText xml:space="preserve">certo</w:delText>
        </w:r>
      </w:del>
      <w:ins w:id="1180" w:author="Assessor GDSXSR" w:date="2026-10-29T20:29:44Z">
        <w:r>
          <w:rPr>
            <w:rFonts w:ascii="Arial" w:eastAsia="Arial" w:hAnsi="Arial" w:cs="Arial"/>
            <w:color w:val="808080"/>
            <w:sz w:val="28"/>
            <w:szCs w:val="28"/>
          </w:rPr>
          <w:t xml:space="preserve">existência</w:t>
        </w:r>
      </w:ins>
      <w:r>
        <w:rPr>
          <w:rFonts w:ascii="Arial" w:eastAsia="Arial" w:hAnsi="Arial" w:cs="Arial"/>
          <w:sz w:val="28"/>
          <w:szCs w:val="28"/>
        </w:rPr>
        <w:t xml:space="preserve"> </w:t>
      </w:r>
      <w:del w:id="1181" w:author="Assessor GDSXSR" w:date="2026-10-29T20:29:44Z">
        <w:r>
          <w:rPr>
            <w:rFonts w:ascii="Arial" w:eastAsia="Arial" w:hAnsi="Arial" w:cs="Arial"/>
            <w:sz w:val="28"/>
            <w:szCs w:val="28"/>
          </w:rPr>
          <w:delText xml:space="preserve">que houve</w:delText>
        </w:r>
      </w:del>
      <w:ins w:id="1182" w:author="Assessor GDSXSR" w:date="2026-10-29T20:29:44Z">
        <w:r>
          <w:rPr>
            <w:rFonts w:ascii="Arial" w:eastAsia="Arial" w:hAnsi="Arial" w:cs="Arial"/>
            <w:color w:val="808080"/>
            <w:sz w:val="28"/>
            <w:szCs w:val="28"/>
          </w:rPr>
          <w:t xml:space="preserve">de</w:t>
        </w:r>
      </w:ins>
      <w:r>
        <w:rPr>
          <w:rFonts w:ascii="Arial" w:eastAsia="Arial" w:hAnsi="Arial" w:cs="Arial"/>
          <w:sz w:val="28"/>
          <w:szCs w:val="28"/>
        </w:rPr>
        <w:t xml:space="preserve"> consumo no imóvel </w:t>
      </w:r>
      <w:del w:id="1183" w:author="Assessor GDSXSR" w:date="2026-10-29T20:29:44Z">
        <w:r>
          <w:rPr>
            <w:rFonts w:ascii="Arial" w:eastAsia="Arial" w:hAnsi="Arial" w:cs="Arial"/>
            <w:sz w:val="28"/>
            <w:szCs w:val="28"/>
          </w:rPr>
          <w:delText xml:space="preserve">após o falecimento da usuária originária. Todavia, a existência de consumo </w:delText>
        </w:r>
      </w:del>
      <w:r>
        <w:rPr>
          <w:rFonts w:ascii="Arial" w:eastAsia="Arial" w:hAnsi="Arial" w:cs="Arial"/>
          <w:sz w:val="28"/>
          <w:szCs w:val="28"/>
        </w:rPr>
        <w:t xml:space="preserve">não </w:t>
      </w:r>
      <w:del w:id="1184" w:author="Assessor GDSXSR" w:date="2026-10-29T20:29:44Z">
        <w:r>
          <w:rPr>
            <w:rFonts w:ascii="Arial" w:eastAsia="Arial" w:hAnsi="Arial" w:cs="Arial"/>
            <w:sz w:val="28"/>
            <w:szCs w:val="28"/>
          </w:rPr>
          <w:delText xml:space="preserve">permite concluir</w:delText>
        </w:r>
      </w:del>
      <w:ins w:id="1185" w:author="Assessor GDSXSR" w:date="2026-10-29T20:29:44Z">
        <w:r>
          <w:rPr>
            <w:rFonts w:ascii="Arial" w:eastAsia="Arial" w:hAnsi="Arial" w:cs="Arial"/>
            <w:color w:val="808080"/>
            <w:sz w:val="28"/>
            <w:szCs w:val="28"/>
          </w:rPr>
          <w:t xml:space="preserve">indica</w:t>
        </w:r>
      </w:ins>
      <w:r>
        <w:rPr>
          <w:rFonts w:ascii="Arial" w:eastAsia="Arial" w:hAnsi="Arial" w:cs="Arial"/>
          <w:sz w:val="28"/>
          <w:szCs w:val="28"/>
        </w:rPr>
        <w:t xml:space="preserve">, por si só, quem </w:t>
      </w:r>
      <w:del w:id="1186" w:author="Assessor GDSXSR" w:date="2026-10-29T20:29:44Z">
        <w:r>
          <w:rPr>
            <w:rFonts w:ascii="Arial" w:eastAsia="Arial" w:hAnsi="Arial" w:cs="Arial"/>
            <w:sz w:val="28"/>
            <w:szCs w:val="28"/>
          </w:rPr>
          <w:delText xml:space="preserve">efetivamente</w:delText>
        </w:r>
      </w:del>
      <w:ins w:id="1187" w:author="Assessor GDSXSR" w:date="2026-10-29T20:29:44Z">
        <w:r>
          <w:rPr>
            <w:rFonts w:ascii="Arial" w:eastAsia="Arial" w:hAnsi="Arial" w:cs="Arial"/>
            <w:color w:val="808080"/>
            <w:sz w:val="28"/>
            <w:szCs w:val="28"/>
          </w:rPr>
          <w:t xml:space="preserve">dele</w:t>
        </w:r>
      </w:ins>
      <w:r>
        <w:rPr>
          <w:rFonts w:ascii="Arial" w:eastAsia="Arial" w:hAnsi="Arial" w:cs="Arial"/>
          <w:sz w:val="28"/>
          <w:szCs w:val="28"/>
        </w:rPr>
        <w:t xml:space="preserve"> se beneficiou</w:t>
      </w:r>
      <w:del w:id="1188" w:author="Assessor GDSXSR" w:date="2026-10-29T20:29:44Z">
        <w:r>
          <w:rPr>
            <w:rFonts w:ascii="Arial" w:eastAsia="Arial" w:hAnsi="Arial" w:cs="Arial"/>
            <w:sz w:val="28"/>
            <w:szCs w:val="28"/>
          </w:rPr>
          <w:delText xml:space="preserve"> do serviço</w:delText>
        </w:r>
      </w:del>
      <w:r>
        <w:rPr>
          <w:rFonts w:ascii="Arial" w:eastAsia="Arial" w:hAnsi="Arial" w:cs="Arial"/>
          <w:sz w:val="28"/>
          <w:szCs w:val="28"/>
        </w:rPr>
        <w:t xml:space="preserve">.</w:t>
      </w:r>
    </w:p>
    <w:p w14:paraId="1CA08D7C" w14:textId="77777777" w:rsidR="000F7187" w:rsidRDefault="000F7187">
      <w:pPr>
        <w:spacing w:after="0" w:line="360" w:lineRule="auto"/>
        <w:ind w:firstLine="2268"/>
        <w:jc w:val="both"/>
      </w:pPr>
    </w:p>
    <w:p w14:paraId="56608BA3" w14:textId="77777777" w:rsidR="000F7187" w:rsidRDefault="00000000">
      <w:pPr>
        <w:spacing w:after="0" w:line="360" w:lineRule="auto"/>
        <w:ind w:firstLine="2268"/>
        <w:jc w:val="both"/>
        <w:rPr>
          <w:del w:id="1190" w:author="Assessor GDSXSR" w:date="2026-10-29T20:29:44Z"/>
        </w:rPr>
      </w:pPr>
      <w:del w:id="1189" w:author="Assessor GDSXSR" w:date="2026-10-29T20:29:44Z">
        <w:r>
          <w:rPr>
            <w:rFonts w:ascii="Arial" w:eastAsia="Arial" w:hAnsi="Arial" w:cs="Arial"/>
            <w:sz w:val="28"/>
            <w:szCs w:val="28"/>
          </w:rPr>
          <w:delText>A cobrança não pode se amparar em mera presunção, sobretudo quando a ré não apresenta elementos concretos aptos a vincular a autora ao consumo faturado no período controvertido.</w:delText>
        </w:r>
      </w:del>
    </w:p>
    <w:p w14:paraId="50D9D1E4" w14:textId="77777777" w:rsidR="000F7187" w:rsidRDefault="000F7187">
      <w:pPr>
        <w:spacing w:after="0" w:line="360" w:lineRule="auto"/>
        <w:ind w:firstLine="2268"/>
        <w:jc w:val="both"/>
        <w:rPr>
          <w:del w:id="1191" w:author="Assessor GDSXSR" w:date="2026-10-29T20:29:44Z"/>
        </w:rPr>
      </w:pPr>
    </w:p>
    <w:p w14:paraId="6702DADC" w14:textId="6895BA49" w:rsidR="395F27C1" w:rsidRPr="00495C31" w:rsidRDefault="232A16D2" w:rsidP="00EE4F9E">
      <w:pPr>
        <w:spacing w:after="0" w:line="360" w:lineRule="auto"/>
        <w:ind w:firstLine="2268"/>
        <w:jc w:val="both"/>
        <w:rPr>
          <w:del w:id="1194" w:author="Assessor GDSXSR" w:date="2026-10-29T20:29:44Z"/>
        </w:rPr>
      </w:pPr>
      <w:del w:id="1192" w:author="Assessor GDSXSR" w:date="2026-10-29T20:29:44Z">
        <w:r>
          <w:rPr>
            <w:rFonts w:ascii="Arial" w:eastAsia="Arial" w:hAnsi="Arial" w:cs="Arial"/>
            <w:color w:val="808080"/>
            <w:sz w:val="28"/>
            <w:szCs w:val="28"/>
          </w:rPr>
          <w:delText>O art. 373, II, do CPC dispõe:</w:delText>
        </w:r>
      </w:del>
      <w:commentRangeEnd w:id="16"/>
      <w:del w:id="1193" w:author="Assessor GDSXSR" w:date="2026-10-29T20:29:44Z">
        <w:r w:rsidRPr="00495C31">
          <w:rPr>
            <w:rStyle w:val="Refdecomentrio"/>
            <w:sz w:val="22"/>
            <w:szCs w:val="22"/>
          </w:rPr>
          <w:commentReference w:id="16"/>
        </w:r>
      </w:del>
    </w:p>
    <w:p w14:paraId="31F0BE98" w14:textId="77777777" w:rsidR="000F7187" w:rsidRDefault="000F7187">
      <w:pPr>
        <w:spacing w:after="0" w:line="360" w:lineRule="auto"/>
        <w:ind w:firstLine="2268"/>
        <w:jc w:val="both"/>
        <w:rPr>
          <w:del w:id="1195" w:author="Assessor GDSXSR" w:date="2026-10-29T20:29:44Z"/>
        </w:rPr>
      </w:pPr>
    </w:p>
    <w:p w14:paraId="7BCC89E8" w14:textId="77777777" w:rsidR="000F7187" w:rsidRDefault="00000000">
      <w:pPr>
        <w:spacing w:after="0" w:line="360" w:lineRule="auto"/>
        <w:ind w:left="2268"/>
        <w:jc w:val="both"/>
        <w:rPr>
          <w:del w:id="1197" w:author="Assessor GDSXSR" w:date="2026-10-29T20:29:44Z"/>
        </w:rPr>
      </w:pPr>
      <w:del w:id="1196" w:author="Assessor GDSXSR" w:date="2026-10-29T20:29:44Z">
        <w:r>
          <w:rPr>
            <w:i/>
            <w:color w:val="808080"/>
            <w:sz w:val="26"/>
          </w:rPr>
          <w:lastRenderedPageBreak/>
          <w:delText>“Art. 373. O ônus da prova incumbe:</w:delText>
        </w:r>
      </w:del>
    </w:p>
    <w:p w14:paraId="70D38E6D" w14:textId="77777777" w:rsidR="000F7187" w:rsidRDefault="00000000">
      <w:pPr>
        <w:spacing w:after="0" w:line="360" w:lineRule="auto"/>
        <w:ind w:left="2268"/>
        <w:jc w:val="both"/>
        <w:rPr>
          <w:del w:id="1199" w:author="Assessor GDSXSR" w:date="2026-10-29T20:29:44Z"/>
        </w:rPr>
      </w:pPr>
      <w:del w:id="1198" w:author="Assessor GDSXSR" w:date="2026-10-29T20:29:44Z">
        <w:r>
          <w:rPr>
            <w:i/>
            <w:color w:val="808080"/>
            <w:sz w:val="26"/>
          </w:rPr>
          <w:delText>(...)</w:delText>
        </w:r>
      </w:del>
    </w:p>
    <w:p w14:paraId="7F0BE341" w14:textId="77777777" w:rsidR="000F7187" w:rsidRDefault="00000000">
      <w:pPr>
        <w:spacing w:after="0" w:line="360" w:lineRule="auto"/>
        <w:ind w:left="2268"/>
        <w:jc w:val="both"/>
        <w:rPr>
          <w:del w:id="1201" w:author="Assessor GDSXSR" w:date="2026-10-29T20:29:44Z"/>
        </w:rPr>
      </w:pPr>
      <w:del w:id="1200" w:author="Assessor GDSXSR" w:date="2026-10-29T20:29:44Z">
        <w:r>
          <w:rPr>
            <w:i/>
            <w:color w:val="808080"/>
            <w:sz w:val="26"/>
            <w:u w:val="single"/>
          </w:rPr>
          <w:delText>II - ao réu, quanto à existência de fato impeditivo, modificativo ou extintivo do direito do autor.” – Grifei</w:delText>
        </w:r>
      </w:del>
    </w:p>
    <w:p w14:paraId="42ADA2EB" w14:textId="77777777" w:rsidR="0088148B" w:rsidRDefault="0088148B" w:rsidP="00EE4F9E">
      <w:pPr>
        <w:spacing w:after="0" w:line="360" w:lineRule="auto"/>
        <w:ind w:firstLine="2268"/>
        <w:jc w:val="both"/>
        <w:rPr>
          <w:del w:id="1202" w:author="Assessor GDSXSR" w:date="2026-10-29T20:29:44Z"/>
          <w:rFonts w:ascii="Arial" w:eastAsia="Arial" w:hAnsi="Arial" w:cs="Arial"/>
          <w:sz w:val="28"/>
          <w:szCs w:val="28"/>
        </w:rPr>
      </w:pPr>
    </w:p>
    <w:p w14:paraId="061A37F7" w14:textId="77777777" w:rsidR="000F7187" w:rsidRDefault="00000000">
      <w:pPr>
        <w:spacing w:after="0" w:line="360" w:lineRule="auto"/>
        <w:ind w:firstLine="2268"/>
        <w:jc w:val="both"/>
      </w:pPr>
      <w:r>
        <w:rPr>
          <w:rFonts w:ascii="Arial" w:eastAsia="Arial" w:hAnsi="Arial" w:cs="Arial"/>
          <w:color w:val="808080"/>
          <w:sz w:val="28"/>
          <w:szCs w:val="28"/>
        </w:rPr>
        <w:t xml:space="preserve">Incumbia</w:t>
      </w:r>
      <w:del w:id="1203" w:author="Assessor GDSXSR" w:date="2026-10-29T20:29:44Z">
        <w:r>
          <w:rPr>
            <w:rFonts w:ascii="Arial" w:eastAsia="Arial" w:hAnsi="Arial" w:cs="Arial"/>
            <w:sz w:val="28"/>
            <w:szCs w:val="28"/>
          </w:rPr>
          <w:delText xml:space="preserve">, </w:delText>
        </w:r>
        <w:r>
          <w:rPr>
            <w:rFonts w:ascii="Arial" w:eastAsia="Arial" w:hAnsi="Arial" w:cs="Arial"/>
            <w:color w:val="808080"/>
            <w:sz w:val="28"/>
            <w:szCs w:val="28"/>
          </w:rPr>
          <w:delText xml:space="preserve">assim</w:delText>
        </w:r>
        <w:r>
          <w:rPr>
            <w:rFonts w:ascii="Arial" w:eastAsia="Arial" w:hAnsi="Arial" w:cs="Arial"/>
            <w:sz w:val="28"/>
            <w:szCs w:val="28"/>
          </w:rPr>
          <w:delText xml:space="preserve">,</w:delText>
        </w:r>
      </w:del>
      <w:r>
        <w:rPr>
          <w:rFonts w:ascii="Arial" w:eastAsia="Arial" w:hAnsi="Arial" w:cs="Arial"/>
          <w:sz w:val="28"/>
          <w:szCs w:val="28"/>
        </w:rPr>
        <w:t xml:space="preserve"> à concessionária demonstrar os fatos que </w:t>
      </w:r>
      <w:del w:id="1204" w:author="Assessor GDSXSR" w:date="2026-10-29T20:29:44Z">
        <w:r>
          <w:rPr>
            <w:rFonts w:ascii="Arial" w:eastAsia="Arial" w:hAnsi="Arial" w:cs="Arial"/>
            <w:sz w:val="28"/>
            <w:szCs w:val="28"/>
          </w:rPr>
          <w:delText xml:space="preserve">legitimariam</w:delText>
        </w:r>
      </w:del>
      <w:ins w:id="1205" w:author="Assessor GDSXSR" w:date="2026-10-29T20:29:44Z">
        <w:r>
          <w:rPr>
            <w:rFonts w:ascii="Arial" w:eastAsia="Arial" w:hAnsi="Arial" w:cs="Arial"/>
            <w:color w:val="808080"/>
            <w:sz w:val="28"/>
            <w:szCs w:val="28"/>
          </w:rPr>
          <w:t xml:space="preserve">legitimam</w:t>
        </w:r>
      </w:ins>
      <w:r>
        <w:rPr>
          <w:rFonts w:ascii="Arial" w:eastAsia="Arial" w:hAnsi="Arial" w:cs="Arial"/>
          <w:sz w:val="28"/>
          <w:szCs w:val="28"/>
        </w:rPr>
        <w:t xml:space="preserve"> a cobrança</w:t>
      </w:r>
      <w:ins w:id="1206" w:author="Assessor GDSXSR" w:date="2026-10-29T20:29:44Z">
        <w:r>
          <w:rPr>
            <w:rFonts w:ascii="Arial" w:eastAsia="Arial" w:hAnsi="Arial" w:cs="Arial"/>
            <w:color w:val="808080"/>
            <w:sz w:val="28"/>
            <w:szCs w:val="28"/>
          </w:rPr>
          <w:t xml:space="preserve">,</w:t>
        </w:r>
      </w:ins>
      <w:r>
        <w:rPr>
          <w:rFonts w:ascii="Arial" w:eastAsia="Arial" w:hAnsi="Arial" w:cs="Arial"/>
          <w:sz w:val="28"/>
          <w:szCs w:val="28"/>
        </w:rPr>
        <w:t xml:space="preserve"> </w:t>
      </w:r>
      <w:del w:id="1207" w:author="Assessor GDSXSR" w:date="2026-10-29T20:29:44Z">
        <w:r>
          <w:rPr>
            <w:rFonts w:ascii="Arial" w:eastAsia="Arial" w:hAnsi="Arial" w:cs="Arial"/>
            <w:sz w:val="28"/>
            <w:szCs w:val="28"/>
          </w:rPr>
          <w:delText xml:space="preserve">dirigida</w:delText>
        </w:r>
      </w:del>
      <w:ins w:id="1208" w:author="Assessor GDSXSR" w:date="2026-10-29T20:29:44Z">
        <w:r>
          <w:rPr>
            <w:rFonts w:ascii="Arial" w:eastAsia="Arial" w:hAnsi="Arial" w:cs="Arial"/>
            <w:color w:val="808080"/>
            <w:sz w:val="28"/>
            <w:szCs w:val="28"/>
          </w:rPr>
          <w:t xml:space="preserve">não</w:t>
        </w:r>
      </w:ins>
      <w:r>
        <w:rPr>
          <w:rFonts w:ascii="Arial" w:eastAsia="Arial" w:hAnsi="Arial" w:cs="Arial"/>
          <w:sz w:val="28"/>
          <w:szCs w:val="28"/>
        </w:rPr>
        <w:t xml:space="preserve"> à </w:t>
      </w:r>
      <w:del w:id="1209" w:author="Assessor GDSXSR" w:date="2026-10-29T20:29:44Z">
        <w:r>
          <w:rPr>
            <w:rFonts w:ascii="Arial" w:eastAsia="Arial" w:hAnsi="Arial" w:cs="Arial"/>
            <w:sz w:val="28"/>
            <w:szCs w:val="28"/>
          </w:rPr>
          <w:delText xml:space="preserve">autora</w:delText>
        </w:r>
      </w:del>
      <w:ins w:id="1210" w:author="Assessor GDSXSR" w:date="2026-10-29T20:29:44Z">
        <w:r>
          <w:rPr>
            <w:rFonts w:ascii="Arial" w:eastAsia="Arial" w:hAnsi="Arial" w:cs="Arial"/>
            <w:color w:val="808080"/>
            <w:sz w:val="28"/>
            <w:szCs w:val="28"/>
          </w:rPr>
          <w:t xml:space="preserve">consumidora provar fato negativo (CPC 373 II)</w:t>
        </w:r>
      </w:ins>
      <w:r>
        <w:rPr>
          <w:rFonts w:ascii="Arial" w:eastAsia="Arial" w:hAnsi="Arial" w:cs="Arial"/>
          <w:sz w:val="28"/>
          <w:szCs w:val="28"/>
        </w:rPr>
        <w:t xml:space="preserve">.</w:t>
      </w:r>
    </w:p>
    <w:p w14:paraId="36E1C23E" w14:textId="77777777" w:rsidR="000F7187" w:rsidRDefault="000F7187">
      <w:pPr>
        <w:spacing w:after="0" w:line="360" w:lineRule="auto"/>
        <w:ind w:firstLine="2268"/>
        <w:jc w:val="both"/>
      </w:pPr>
    </w:p>
    <w:p w14:paraId="319DF4EB" w14:textId="3FC6A4D0" w:rsidR="395F27C1" w:rsidRPr="00EE4F9E" w:rsidRDefault="232A16D2" w:rsidP="00EE4F9E">
      <w:pPr>
        <w:spacing w:after="0" w:line="360" w:lineRule="auto"/>
        <w:ind w:firstLine="2268"/>
        <w:jc w:val="both"/>
        <w:rPr>
          <w:del w:id="1212" w:author="Assessor GDSXSR" w:date="2026-10-29T20:29:44Z"/>
        </w:rPr>
      </w:pPr>
      <w:del w:id="1211" w:author="Assessor GDSXSR" w:date="2026-10-29T20:29:44Z">
        <w:r>
          <w:rPr>
            <w:rFonts w:ascii="Arial" w:eastAsia="Arial" w:hAnsi="Arial" w:cs="Arial"/>
            <w:sz w:val="28"/>
            <w:szCs w:val="28"/>
          </w:rPr>
          <w:delText>Não se pode exigir da consumidora a prova de fato negativo, consistente em demonstrar que não utilizava o serviço no período da cobrança.</w:delText>
        </w:r>
      </w:del>
    </w:p>
    <w:p w14:paraId="0DE59141" w14:textId="77777777" w:rsidR="000F7187" w:rsidRDefault="000F7187">
      <w:pPr>
        <w:spacing w:after="0" w:line="360" w:lineRule="auto"/>
        <w:ind w:firstLine="2268"/>
        <w:jc w:val="both"/>
        <w:rPr>
          <w:del w:id="1213" w:author="Assessor GDSXSR" w:date="2026-10-29T20:29:44Z"/>
        </w:rPr>
      </w:pPr>
    </w:p>
    <w:p w14:paraId="3B021E17" w14:textId="77777777" w:rsidR="000F7187" w:rsidRDefault="00000000">
      <w:pPr>
        <w:spacing w:after="0" w:line="360" w:lineRule="auto"/>
        <w:ind w:firstLine="2268"/>
        <w:jc w:val="both"/>
      </w:pPr>
      <w:r>
        <w:rPr>
          <w:rFonts w:ascii="Arial" w:eastAsia="Arial" w:hAnsi="Arial" w:cs="Arial"/>
          <w:color w:val="808080"/>
          <w:sz w:val="28"/>
          <w:szCs w:val="28"/>
          <w:highlight w:val="yellow"/>
        </w:rPr>
        <w:t xml:space="preserve">Portanto, com a máxima vênia ao d. Juízo de origem, ausente prova de que a apelante </w:t>
      </w:r>
      <w:del w:id="1214" w:author="Assessor GDSXSR" w:date="2026-10-29T20:29:44Z">
        <w:r>
          <w:rPr>
            <w:rFonts w:ascii="Arial" w:eastAsia="Arial" w:hAnsi="Arial" w:cs="Arial"/>
            <w:color w:val="808080"/>
            <w:sz w:val="28"/>
            <w:szCs w:val="28"/>
            <w:highlight w:val="yellow"/>
          </w:rPr>
          <w:delText xml:space="preserve">tenha usufruído</w:delText>
        </w:r>
      </w:del>
      <w:ins w:id="1215" w:author="Assessor GDSXSR" w:date="2026-10-29T20:29:44Z">
        <w:r>
          <w:rPr>
            <w:rFonts w:ascii="Arial" w:eastAsia="Arial" w:hAnsi="Arial" w:cs="Arial"/>
            <w:color w:val="808080"/>
            <w:sz w:val="28"/>
            <w:szCs w:val="28"/>
            <w:highlight w:val="yellow"/>
          </w:rPr>
          <w:t xml:space="preserve">usufruiu</w:t>
        </w:r>
      </w:ins>
      <w:r>
        <w:rPr>
          <w:rFonts w:ascii="Arial" w:eastAsia="Arial" w:hAnsi="Arial" w:cs="Arial"/>
          <w:color w:val="808080"/>
          <w:sz w:val="28"/>
          <w:szCs w:val="28"/>
          <w:highlight w:val="yellow"/>
        </w:rPr>
        <w:t xml:space="preserve"> do fornecimento</w:t>
      </w:r>
      <w:del w:id="1216" w:author="Assessor GDSXSR" w:date="2026-10-29T20:29:44Z">
        <w:r>
          <w:rPr>
            <w:rFonts w:ascii="Arial" w:eastAsia="Arial" w:hAnsi="Arial" w:cs="Arial"/>
            <w:color w:val="808080"/>
            <w:sz w:val="28"/>
            <w:szCs w:val="28"/>
            <w:highlight w:val="yellow"/>
          </w:rPr>
          <w:delText xml:space="preserve"> de água</w:delText>
        </w:r>
      </w:del>
      <w:r>
        <w:rPr>
          <w:rFonts w:ascii="Arial" w:eastAsia="Arial" w:hAnsi="Arial" w:cs="Arial"/>
          <w:color w:val="808080"/>
          <w:sz w:val="28"/>
          <w:szCs w:val="28"/>
          <w:highlight w:val="yellow"/>
        </w:rPr>
        <w:t xml:space="preserve"> correspondente à fatura de dezembro de 2020, impõe-se reconhecer </w:t>
      </w:r>
      <w:del w:id="1217" w:author="Assessor GDSXSR" w:date="2026-10-29T20:29:44Z">
        <w:r>
          <w:rPr>
            <w:rFonts w:ascii="Arial" w:eastAsia="Arial" w:hAnsi="Arial" w:cs="Arial"/>
            <w:color w:val="808080"/>
            <w:sz w:val="28"/>
            <w:szCs w:val="28"/>
            <w:highlight w:val="yellow"/>
          </w:rPr>
          <w:delText xml:space="preserve">também </w:delText>
        </w:r>
      </w:del>
      <w:r>
        <w:rPr>
          <w:rFonts w:ascii="Arial" w:eastAsia="Arial" w:hAnsi="Arial" w:cs="Arial"/>
          <w:color w:val="808080"/>
          <w:sz w:val="28"/>
          <w:szCs w:val="28"/>
          <w:highlight w:val="yellow"/>
        </w:rPr>
        <w:t xml:space="preserve">a inexigibilidade desse débito.</w:t>
      </w:r>
    </w:p>
    <w:p w14:paraId="062A91DD" w14:textId="77777777" w:rsidR="0088148B" w:rsidRDefault="0088148B" w:rsidP="00EE4F9E">
      <w:pPr>
        <w:spacing w:after="0" w:line="360" w:lineRule="auto"/>
        <w:ind w:firstLine="2268"/>
        <w:jc w:val="both"/>
        <w:rPr>
          <w:rFonts w:ascii="Arial" w:eastAsia="Arial" w:hAnsi="Arial" w:cs="Arial"/>
          <w:sz w:val="28"/>
          <w:szCs w:val="28"/>
        </w:rPr>
      </w:pPr>
    </w:p>
    <w:p w14:paraId="448C346C" w14:textId="40D5C4EF" w:rsidR="01A66EBB" w:rsidRDefault="01A66EBB" w:rsidP="00EE4F9E">
      <w:pPr>
        <w:spacing w:after="0" w:line="360" w:lineRule="auto"/>
        <w:ind w:firstLine="2268"/>
        <w:jc w:val="both"/>
      </w:pPr>
      <w:commentRangeStart w:id="17"/>
      <w:commentRangeStart w:id="22"/>
      <w:r>
        <w:rPr>
          <w:rFonts w:ascii="Arial" w:eastAsia="Arial" w:hAnsi="Arial" w:cs="Arial"/>
          <w:sz w:val="28"/>
          <w:szCs w:val="28"/>
        </w:rPr>
        <w:t>Nesse sentido:</w:t>
      </w:r>
      <w:commentRangeEnd w:id="17"/>
      <w:r>
        <w:rPr>
          <w:rStyle w:val="Refdecomentrio"/>
          <w:sz w:val="22"/>
          <w:szCs w:val="22"/>
        </w:rPr>
        <w:commentReference w:id="17"/>
      </w:r>
      <w:commentRangeEnd w:id="22"/>
      <w:r>
        <w:rPr>
          <w:rStyle w:val="CommentReference"/>
        </w:rPr>
        <w:commentReference w:id="22"/>
      </w:r>
    </w:p>
    <w:p w14:paraId="23348DE6" w14:textId="5D4041C3" w:rsidR="395F27C1" w:rsidRDefault="395F27C1" w:rsidP="00EE4F9E">
      <w:pPr>
        <w:spacing w:after="0" w:line="360" w:lineRule="auto"/>
        <w:ind w:firstLine="2268"/>
        <w:jc w:val="both"/>
        <w:rPr>
          <w:rFonts w:ascii="Arial" w:eastAsia="Arial" w:hAnsi="Arial" w:cs="Arial"/>
          <w:sz w:val="28"/>
          <w:szCs w:val="28"/>
        </w:rPr>
      </w:pPr>
    </w:p>
    <w:p w14:paraId="10F368BE" w14:textId="1AEF6828" w:rsidR="3EE3824D" w:rsidRDefault="3EE3824D" w:rsidP="00EE4F9E">
      <w:pPr>
        <w:spacing w:after="0" w:line="360" w:lineRule="auto"/>
        <w:ind w:left="2268"/>
        <w:jc w:val="both"/>
        <w:rPr>
          <w:del w:id="1221" w:author="Assessor GDSXSR" w:date="2026-10-29T20:29:44Z"/>
          <w:rFonts w:ascii="Arial" w:eastAsia="Arial" w:hAnsi="Arial" w:cs="Arial"/>
          <w:i/>
          <w:iCs/>
          <w:sz w:val="26"/>
          <w:szCs w:val="26"/>
        </w:rPr>
      </w:pPr>
      <w:del w:id="1218" w:author="Assessor GDSXSR" w:date="2026-10-29T20:29:44Z">
        <w:r>
          <w:rPr>
            <w:rFonts w:ascii="Arial" w:eastAsia="Arial" w:hAnsi="Arial" w:cs="Arial"/>
            <w:i/>
            <w:iCs/>
            <w:sz w:val="26"/>
            <w:szCs w:val="26"/>
          </w:rPr>
          <w:delText xml:space="preserve">“(...) 5. O início da locação do imóvel e a utilização do serviço autorizam a cobrança do consumo efetivamente prestado, sob pena de enriquecimento sem causa. </w:delText>
        </w:r>
      </w:del>
      <w:del w:id="1219" w:author="Assessor GDSXSR" w:date="2026-10-29T20:29:44Z">
        <w:r>
          <w:rPr>
            <w:rFonts w:ascii="Arial" w:eastAsia="Arial" w:hAnsi="Arial" w:cs="Arial"/>
            <w:i/>
            <w:iCs/>
            <w:sz w:val="26"/>
            <w:szCs w:val="26"/>
            <w:u w:val="single"/>
          </w:rPr>
          <w:delText>Isso, porém, não legitima a transferência automática de débitos pretéritos, encargos acessórios ou penalidades administrativas sem demonstração de vínculo da usuária com o consumo, com o fato gerador da cobrança ou com a conduta imputada.</w:delText>
        </w:r>
      </w:del>
      <w:del w:id="1220" w:author="Assessor GDSXSR" w:date="2026-10-29T20:29:44Z">
        <w:r>
          <w:rPr>
            <w:rFonts w:ascii="Arial" w:eastAsia="Arial" w:hAnsi="Arial" w:cs="Arial"/>
            <w:i/>
            <w:iCs/>
            <w:color w:val="808080"/>
            <w:sz w:val="26"/>
            <w:szCs w:val="26"/>
          </w:rPr>
          <w:delText xml:space="preserve"> (...)”</w:delText>
        </w:r>
      </w:del>
    </w:p>
    <w:p w14:paraId="3554CD36" w14:textId="04C6CEED" w:rsidR="01A66EBB" w:rsidRPr="00A34BB5" w:rsidRDefault="01A66EBB" w:rsidP="00EE4F9E">
      <w:pPr>
        <w:spacing w:after="0" w:line="360" w:lineRule="auto"/>
        <w:ind w:left="2268"/>
        <w:jc w:val="both"/>
        <w:rPr>
          <w:ins w:id="1229" w:author="Assessor GDSXSR" w:date="2026-10-29T20:29:44Z"/>
          <w:del w:id="1228" w:author="Assessor GDSXSR" w:date="2026-10-29T20:29:44Z"/>
          <w:rFonts w:ascii="Arial" w:eastAsia="Arial" w:hAnsi="Arial" w:cs="Arial"/>
          <w:i/>
          <w:iCs/>
          <w:sz w:val="26"/>
          <w:szCs w:val="26"/>
        </w:rPr>
      </w:pPr>
      <w:del w:id="1222" w:author="Assessor GDSXSR" w:date="2026-10-29T20:29:44Z">
        <w:r>
          <w:rPr>
            <w:rFonts w:ascii="Arial" w:eastAsia="Arial" w:hAnsi="Arial" w:cs="Arial"/>
            <w:i/>
            <w:iCs/>
            <w:sz w:val="26"/>
            <w:szCs w:val="26"/>
          </w:rPr>
          <w:delText xml:space="preserve">(Acórdão 2167028, 0738186-08.2025.8.07.0001, Relator(a): AISTON HENRIQUE DE SOUSA, 4ª </w:delText>
        </w:r>
      </w:del>
      <w:del w:id="1223" w:author="Assessor GDSXSR" w:date="2026-10-29T20:29:44Z">
        <w:r>
          <w:rPr>
            <w:rFonts w:ascii="Arial" w:eastAsia="Arial" w:hAnsi="Arial" w:cs="Arial"/>
            <w:i/>
            <w:iCs/>
            <w:sz w:val="26"/>
            <w:szCs w:val="26"/>
          </w:rPr>
          <w:lastRenderedPageBreak/>
          <w:delText>TURMA CÍVEL, data de julgamento: 19/08/2026, publicado no DJe: 03/09/2026</w:delText>
        </w:r>
      </w:del>
      <w:del w:id="1224" w:author="Assessor GDSXSR" w:date="2026-10-29T20:29:44Z">
        <w:r>
          <w:rPr>
            <w:rFonts w:ascii="Arial" w:eastAsia="Arial" w:hAnsi="Arial" w:cs="Arial"/>
            <w:i/>
            <w:iCs/>
            <w:color w:val="808080"/>
            <w:sz w:val="26"/>
            <w:szCs w:val="26"/>
          </w:rPr>
          <w:delText>.</w:delText>
        </w:r>
      </w:del>
      <w:del w:id="1225" w:author="Assessor GDSXSR" w:date="2026-10-29T20:29:44Z">
        <w:r>
          <w:rPr>
            <w:rFonts w:ascii="Arial" w:eastAsia="Arial" w:hAnsi="Arial" w:cs="Arial"/>
            <w:i/>
            <w:iCs/>
            <w:sz w:val="26"/>
            <w:szCs w:val="26"/>
          </w:rPr>
          <w:delText>)</w:delText>
        </w:r>
      </w:del>
      <w:del w:id="1226" w:author="Assessor GDSXSR" w:date="2026-10-29T20:29:44Z">
        <w:r>
          <w:rPr>
            <w:rFonts w:ascii="Arial" w:eastAsia="Arial" w:hAnsi="Arial" w:cs="Arial"/>
            <w:i/>
            <w:iCs/>
            <w:color w:val="808080"/>
            <w:sz w:val="26"/>
            <w:szCs w:val="26"/>
          </w:rPr>
          <w:delText xml:space="preserve"> –</w:delText>
        </w:r>
      </w:del>
      <w:del w:id="1227" w:author="Assessor GDSXSR" w:date="2026-10-29T20:29:44Z">
        <w:r>
          <w:rPr>
            <w:rFonts w:ascii="Arial" w:eastAsia="Arial" w:hAnsi="Arial" w:cs="Arial"/>
            <w:i/>
            <w:iCs/>
            <w:sz w:val="26"/>
            <w:szCs w:val="26"/>
          </w:rPr>
          <w:delText xml:space="preserve"> Grifei</w:delText>
        </w:r>
      </w:del>
    </w:p>
    <w:p>
      <w:pPr>
        <w:spacing w:after="0" w:line="360" w:lineRule="auto"/>
        <w:ind w:left="2268"/>
        <w:jc w:val="both"/>
        <w:rPr>
          <w:ins w:id="1230" w:author="Assessor GDSXSR" w:date="2026-10-29T20:29:44Z"/>
          <w:rFonts w:ascii="Arial" w:eastAsia="Arial" w:hAnsi="Arial" w:cs="Arial"/>
          <w:i/>
          <w:iCs/>
          <w:sz w:val="26"/>
          <w:szCs w:val="26"/>
        </w:rPr>
      </w:pPr>
    </w:p>
    <w:p>
      <w:pPr>
        <w:spacing w:after="0" w:line="360" w:lineRule="auto"/>
        <w:ind w:left="2268" w:firstLine="0"/>
        <w:jc w:val="both"/>
        <w:rPr>
          <w:ins w:id="1232" w:author="Assessor GDSXSR" w:date="2026-10-29T20:29:44Z"/>
          <w:rFonts w:ascii="Arial" w:eastAsia="Arial" w:hAnsi="Arial" w:cs="Arial"/>
          <w:i/>
          <w:iCs/>
          <w:sz w:val="26"/>
          <w:szCs w:val="26"/>
        </w:rPr>
      </w:pPr>
      <w:ins w:id="1231" w:author="Assessor GDSXSR" w:date="2026-10-29T20:29:44Z">
        <w:r>
          <w:rPr>
            <w:i/>
            <w:color w:val="808080"/>
            <w:sz w:val="26"/>
          </w:rPr>
          <w:t xml:space="preserve">“(...) 4. (...) o débito decorrente do serviço de fornecimento de água </w:t>
        </w:r>
        <w:r>
          <w:rPr>
            <w:i/>
            <w:color w:val="808080"/>
            <w:sz w:val="26"/>
            <w:u w:val="single"/>
          </w:rPr>
          <w:t xml:space="preserve">possui natureza pessoal, não propter rem</w:t>
        </w:r>
        <w:r>
          <w:rPr>
            <w:i/>
            <w:color w:val="808080"/>
            <w:sz w:val="26"/>
          </w:rPr>
          <w:t xml:space="preserve">, sendo vedada a utilização do corte como meio coercitivo de cobrança de dívida alheia. (...)”</w:t>
        </w:r>
      </w:ins>
    </w:p>
    <w:p>
      <w:pPr>
        <w:spacing w:after="0" w:line="360" w:lineRule="auto"/>
        <w:ind w:left="2268" w:firstLine="0"/>
        <w:jc w:val="both"/>
        <w:rPr>
          <w:ins w:id="1234" w:author="Assessor GDSXSR" w:date="2026-10-29T20:29:44Z"/>
          <w:rFonts w:ascii="Arial" w:eastAsia="Arial" w:hAnsi="Arial" w:cs="Arial"/>
          <w:i/>
          <w:iCs/>
          <w:sz w:val="26"/>
          <w:szCs w:val="26"/>
        </w:rPr>
      </w:pPr>
      <w:ins w:id="1233" w:author="Assessor GDSXSR" w:date="2026-10-29T20:29:44Z">
        <w:r>
          <w:rPr>
            <w:i/>
            <w:color w:val="808080"/>
            <w:sz w:val="26"/>
          </w:rPr>
          <w:t xml:space="preserve">(TJDFT, 0702875-02.2025.8.07.0018, Relator(a): AISTON HENRIQUE DE SOUSA, 4ª TURMA CÍVEL, data de julgamento: 11/03/2026.) – Grifei</w:t>
        </w:r>
      </w:ins>
    </w:p>
    <w:p>
      <w:pPr>
        <w:spacing w:after="0" w:line="360" w:lineRule="auto"/>
        <w:ind w:left="2268" w:firstLine="0"/>
        <w:jc w:val="both"/>
        <w:rPr>
          <w:ins w:id="1235" w:author="Assessor GDSXSR" w:date="2026-10-29T20:29:44Z"/>
          <w:rFonts w:ascii="Arial" w:eastAsia="Arial" w:hAnsi="Arial" w:cs="Arial"/>
          <w:i/>
          <w:iCs/>
          <w:sz w:val="26"/>
          <w:szCs w:val="26"/>
        </w:rPr>
      </w:pPr>
    </w:p>
    <w:p>
      <w:pPr>
        <w:spacing w:after="0" w:line="360" w:lineRule="auto"/>
        <w:ind w:left="2268" w:firstLine="0"/>
        <w:jc w:val="both"/>
        <w:rPr>
          <w:ins w:id="1237" w:author="Assessor GDSXSR" w:date="2026-10-29T20:29:44Z"/>
          <w:rFonts w:ascii="Arial" w:eastAsia="Arial" w:hAnsi="Arial" w:cs="Arial"/>
          <w:i/>
          <w:iCs/>
          <w:sz w:val="26"/>
          <w:szCs w:val="26"/>
        </w:rPr>
      </w:pPr>
      <w:ins w:id="1236" w:author="Assessor GDSXSR" w:date="2026-10-29T20:29:44Z">
        <w:r>
          <w:rPr>
            <w:i/>
            <w:color w:val="808080"/>
            <w:sz w:val="26"/>
          </w:rPr>
          <w:t xml:space="preserve">“(...) II. A responsabilidade pelo pagamento do serviço de fornecimento de água e tratamento de esgoto tem natureza contratual e por isso </w:t>
        </w:r>
        <w:r>
          <w:rPr>
            <w:i/>
            <w:color w:val="808080"/>
            <w:sz w:val="26"/>
            <w:u w:val="single"/>
          </w:rPr>
          <w:t xml:space="preserve">recai sobre o usuário que solicitou a sua prestação</w:t>
        </w:r>
        <w:r>
          <w:rPr>
            <w:i/>
            <w:color w:val="808080"/>
            <w:sz w:val="26"/>
          </w:rPr>
          <w:t xml:space="preserve"> (...)”</w:t>
        </w:r>
      </w:ins>
    </w:p>
    <w:p>
      <w:pPr>
        <w:spacing w:after="0" w:line="360" w:lineRule="auto"/>
        <w:ind w:left="2268" w:firstLine="0"/>
        <w:jc w:val="both"/>
        <w:rPr>
          <w:rFonts w:ascii="Arial" w:eastAsia="Arial" w:hAnsi="Arial" w:cs="Arial"/>
          <w:i/>
          <w:iCs/>
          <w:sz w:val="26"/>
          <w:szCs w:val="26"/>
        </w:rPr>
      </w:pPr>
      <w:ins w:id="1238" w:author="Assessor GDSXSR" w:date="2026-10-29T20:29:44Z">
        <w:r>
          <w:rPr>
            <w:i/>
            <w:color w:val="808080"/>
            <w:sz w:val="26"/>
          </w:rPr>
          <w:t xml:space="preserve">(TJDFT, 0704095-32.2020.8.07.0011, Relator(a): JAMES EDUARDO OLIVEIRA, 4ª TURMA CÍVEL, data de julgamento: 03/12/2025.) – Grifei</w:t>
        </w:r>
      </w:ins>
    </w:p>
    <w:p w14:paraId="3648E69C" w14:textId="7DD58D4E" w:rsidR="395F27C1" w:rsidRDefault="395F27C1" w:rsidP="00EE4F9E">
      <w:pPr>
        <w:spacing w:after="0" w:line="360" w:lineRule="auto"/>
        <w:ind w:firstLine="2268"/>
        <w:jc w:val="both"/>
        <w:rPr>
          <w:rFonts w:ascii="Arial" w:eastAsia="Arial" w:hAnsi="Arial" w:cs="Arial"/>
          <w:sz w:val="28"/>
          <w:szCs w:val="28"/>
        </w:rPr>
      </w:pPr>
    </w:p>
    <w:p w14:paraId="72A2F87F" w14:textId="48B4A1ED" w:rsidR="00B73FAD" w:rsidRPr="00D516B2" w:rsidRDefault="00B73FAD" w:rsidP="00EE4F9E">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EE4F9E">
      <w:pPr>
        <w:spacing w:after="0" w:line="360" w:lineRule="auto"/>
        <w:ind w:firstLine="2268"/>
        <w:jc w:val="both"/>
        <w:rPr>
          <w:rFonts w:ascii="Arial" w:hAnsi="Arial" w:cs="Arial"/>
          <w:sz w:val="28"/>
          <w:szCs w:val="28"/>
        </w:rPr>
      </w:pPr>
    </w:p>
    <w:p w14:paraId="5EA40FD1" w14:textId="65EC9DF0" w:rsidR="36FFE74C" w:rsidRPr="003448B4" w:rsidRDefault="36FFE74C" w:rsidP="00EE4F9E">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color w:val="808080"/>
          <w:sz w:val="28"/>
          <w:szCs w:val="28"/>
        </w:rPr>
        <w:t>reiteradas</w:t>
      </w:r>
      <w:r>
        <w:rPr>
          <w:rFonts w:ascii="Arial" w:hAnsi="Arial" w:cs="Arial"/>
          <w:sz w:val="28"/>
          <w:szCs w:val="28"/>
        </w:rPr>
        <w:t xml:space="preserve"> </w:t>
      </w:r>
      <w:r>
        <w:rPr>
          <w:rFonts w:ascii="Arial" w:hAnsi="Arial" w:cs="Arial"/>
          <w:color w:val="808080"/>
          <w:sz w:val="28"/>
          <w:szCs w:val="28"/>
        </w:rPr>
        <w:t>as</w:t>
      </w:r>
      <w:r>
        <w:rPr>
          <w:rFonts w:ascii="Arial" w:hAnsi="Arial" w:cs="Arial"/>
          <w:sz w:val="28"/>
          <w:szCs w:val="28"/>
        </w:rPr>
        <w:t xml:space="preserve"> </w:t>
      </w:r>
      <w:r>
        <w:rPr>
          <w:rFonts w:ascii="Arial" w:hAnsi="Arial" w:cs="Arial"/>
          <w:color w:val="808080"/>
          <w:sz w:val="28"/>
          <w:szCs w:val="28"/>
        </w:rPr>
        <w:t>vênias</w:t>
      </w:r>
      <w:r>
        <w:rPr>
          <w:rFonts w:ascii="Arial" w:hAnsi="Arial" w:cs="Arial"/>
          <w:sz w:val="28"/>
          <w:szCs w:val="28"/>
        </w:rPr>
        <w:t xml:space="preserve">, </w:t>
      </w:r>
      <w:r>
        <w:rPr>
          <w:rFonts w:ascii="Arial" w:hAnsi="Arial" w:cs="Arial"/>
          <w:b/>
          <w:bCs/>
          <w:sz w:val="28"/>
          <w:szCs w:val="28"/>
        </w:rPr>
        <w:t>dou provimento</w:t>
      </w:r>
      <w:r>
        <w:rPr>
          <w:rFonts w:ascii="Arial" w:hAnsi="Arial" w:cs="Arial"/>
          <w:sz w:val="28"/>
          <w:szCs w:val="28"/>
        </w:rPr>
        <w:t xml:space="preserve"> ao apelo da autora, Maria Pereira de Brito, para declarar a inexigibilidade do débito </w:t>
      </w:r>
      <w:r>
        <w:rPr>
          <w:rFonts w:ascii="Arial" w:hAnsi="Arial" w:cs="Arial"/>
          <w:color w:val="808080"/>
          <w:sz w:val="28"/>
          <w:szCs w:val="28"/>
        </w:rPr>
        <w:t>vinculado</w:t>
      </w:r>
      <w:r>
        <w:rPr>
          <w:rFonts w:ascii="Arial" w:hAnsi="Arial" w:cs="Arial"/>
          <w:sz w:val="28"/>
          <w:szCs w:val="28"/>
        </w:rPr>
        <w:t xml:space="preserve"> à unidade consumidora nº 446317-1, referente ao período de dezembro de 2020.</w:t>
      </w:r>
    </w:p>
    <w:p w14:paraId="3606F183" w14:textId="0487DD80" w:rsidR="70C49520" w:rsidRPr="003448B4" w:rsidRDefault="70C49520" w:rsidP="00EE4F9E">
      <w:pPr>
        <w:spacing w:after="0" w:line="360" w:lineRule="auto"/>
        <w:ind w:firstLine="2268"/>
        <w:jc w:val="both"/>
        <w:rPr>
          <w:rFonts w:ascii="Arial" w:hAnsi="Arial" w:cs="Arial"/>
          <w:sz w:val="28"/>
          <w:szCs w:val="28"/>
        </w:rPr>
      </w:pPr>
    </w:p>
    <w:p w14:paraId="1C163D56" w14:textId="1FC854BF" w:rsidR="6FFDEF11" w:rsidRDefault="6FFDEF11" w:rsidP="00EE4F9E">
      <w:pPr>
        <w:spacing w:after="0" w:line="360" w:lineRule="auto"/>
        <w:ind w:firstLine="2268"/>
        <w:jc w:val="both"/>
      </w:pPr>
      <w:commentRangeStart w:id="18"/>
      <w:commentRangeStart w:id="19"/>
      <w:r>
        <w:rPr>
          <w:rFonts w:ascii="Arial" w:hAnsi="Arial" w:cs="Arial"/>
          <w:sz w:val="28"/>
          <w:szCs w:val="28"/>
        </w:rPr>
        <w:t xml:space="preserve">Em consequência, afasto a sucumbência recíproca reconhecida na origem e </w:t>
      </w:r>
      <w:r>
        <w:rPr>
          <w:rFonts w:ascii="Arial" w:hAnsi="Arial" w:cs="Arial"/>
          <w:b/>
          <w:bCs/>
          <w:sz w:val="28"/>
          <w:szCs w:val="28"/>
        </w:rPr>
        <w:t>condeno</w:t>
      </w:r>
      <w:r>
        <w:rPr>
          <w:rFonts w:ascii="Arial" w:hAnsi="Arial" w:cs="Arial"/>
          <w:sz w:val="28"/>
          <w:szCs w:val="28"/>
        </w:rPr>
        <w:t xml:space="preserve"> a ré/apelada ao pagamento integral das custas processuais e dos honorários advocatícios </w:t>
      </w:r>
      <w:r>
        <w:rPr>
          <w:rFonts w:ascii="Arial" w:hAnsi="Arial" w:cs="Arial"/>
          <w:color w:val="808080"/>
          <w:sz w:val="28"/>
          <w:szCs w:val="28"/>
        </w:rPr>
        <w:t>fixados</w:t>
      </w:r>
      <w:r>
        <w:rPr>
          <w:rFonts w:ascii="Arial" w:hAnsi="Arial" w:cs="Arial"/>
          <w:sz w:val="28"/>
          <w:szCs w:val="28"/>
        </w:rPr>
        <w:t xml:space="preserve"> na sentença</w:t>
      </w:r>
      <w:r>
        <w:rPr>
          <w:rFonts w:ascii="Arial" w:hAnsi="Arial" w:cs="Arial"/>
          <w:color w:val="808080"/>
          <w:sz w:val="28"/>
          <w:szCs w:val="28"/>
        </w:rPr>
        <w:t xml:space="preserve"> em favor da autora (R$ 1</w:t>
      </w:r>
      <w:r>
        <w:rPr>
          <w:rFonts w:ascii="Arial" w:hAnsi="Arial" w:cs="Arial"/>
          <w:sz w:val="28"/>
          <w:szCs w:val="28"/>
        </w:rPr>
        <w:t>.</w:t>
      </w:r>
      <w:r>
        <w:rPr>
          <w:rFonts w:ascii="Arial" w:hAnsi="Arial" w:cs="Arial"/>
          <w:color w:val="808080"/>
          <w:sz w:val="28"/>
          <w:szCs w:val="28"/>
        </w:rPr>
        <w:t>000,00),</w:t>
      </w:r>
      <w:r>
        <w:rPr>
          <w:rFonts w:ascii="Arial" w:hAnsi="Arial" w:cs="Arial"/>
          <w:sz w:val="28"/>
          <w:szCs w:val="28"/>
        </w:rPr>
        <w:t xml:space="preserve"> </w:t>
      </w:r>
      <w:r>
        <w:rPr>
          <w:rFonts w:ascii="Arial" w:hAnsi="Arial" w:cs="Arial"/>
          <w:color w:val="808080"/>
          <w:sz w:val="28"/>
          <w:szCs w:val="28"/>
        </w:rPr>
        <w:t xml:space="preserve">afastados os arbitrados em favor da ré (CPC 85 caput e 86 </w:t>
      </w:r>
      <w:r w:rsidRPr="00A56326">
        <w:rPr>
          <w:rFonts w:ascii="Arial" w:hAnsi="Arial" w:cs="Arial"/>
          <w:i/>
          <w:iCs/>
          <w:color w:val="808080"/>
          <w:sz w:val="28"/>
          <w:szCs w:val="28"/>
        </w:rPr>
        <w:t>caput</w:t>
      </w:r>
      <w:r>
        <w:rPr>
          <w:rFonts w:ascii="Arial" w:hAnsi="Arial" w:cs="Arial"/>
          <w:color w:val="808080"/>
          <w:sz w:val="28"/>
          <w:szCs w:val="28"/>
        </w:rPr>
        <w:t>).</w:t>
      </w:r>
      <w:commentRangeEnd w:id="19"/>
      <w:r>
        <w:rPr>
          <w:rStyle w:val="Refdecomentrio"/>
          <w:sz w:val="22"/>
          <w:szCs w:val="22"/>
        </w:rPr>
        <w:commentReference w:id="19"/>
      </w:r>
      <w:commentRangeEnd w:id="18"/>
      <w:r>
        <w:rPr>
          <w:rStyle w:val="Refdecomentrio"/>
          <w:sz w:val="22"/>
          <w:szCs w:val="22"/>
        </w:rPr>
        <w:commentReference w:id="18"/>
      </w:r>
    </w:p>
    <w:p w14:paraId="1D8A207A" w14:textId="77777777" w:rsidR="000F7187" w:rsidRDefault="000F7187">
      <w:pPr>
        <w:spacing w:after="0" w:line="360" w:lineRule="auto"/>
        <w:ind w:firstLine="2268"/>
        <w:jc w:val="both"/>
      </w:pPr>
    </w:p>
    <w:p w14:paraId="570CB44C" w14:textId="77777777" w:rsidR="000F7187" w:rsidRDefault="00000000">
      <w:pPr>
        <w:spacing w:after="0" w:line="360" w:lineRule="auto"/>
        <w:ind w:firstLine="2268"/>
        <w:jc w:val="both"/>
      </w:pPr>
      <w:r>
        <w:rPr>
          <w:rFonts w:ascii="Arial" w:hAnsi="Arial" w:cs="Arial"/>
          <w:color w:val="808080"/>
          <w:sz w:val="28"/>
          <w:szCs w:val="28"/>
        </w:rPr>
        <w:t>Sem honorários recursais (CPC 85 § 11).</w:t>
      </w:r>
    </w:p>
    <w:p w14:paraId="5FF5AEF8" w14:textId="77777777" w:rsidR="00B73FAD" w:rsidRDefault="00B73FAD" w:rsidP="00EE4F9E">
      <w:pPr>
        <w:spacing w:after="0" w:line="360" w:lineRule="auto"/>
        <w:ind w:firstLine="2268"/>
        <w:jc w:val="both"/>
        <w:rPr>
          <w:rFonts w:ascii="Arial" w:hAnsi="Arial" w:cs="Arial"/>
          <w:sz w:val="28"/>
          <w:szCs w:val="28"/>
        </w:rPr>
      </w:pPr>
    </w:p>
    <w:p w14:paraId="7EEE5D9F" w14:textId="77777777" w:rsidR="00DA55F2" w:rsidRDefault="007E1C8C" w:rsidP="00DA55F2">
      <w:pPr>
        <w:spacing w:after="0" w:line="360" w:lineRule="auto"/>
        <w:ind w:firstLine="2268"/>
        <w:jc w:val="both"/>
        <w:rPr>
          <w:rFonts w:ascii="Arial" w:hAnsi="Arial" w:cs="Arial"/>
          <w:sz w:val="28"/>
          <w:szCs w:val="28"/>
        </w:rPr>
      </w:pPr>
      <w:r>
        <w:rPr>
          <w:rFonts w:ascii="Arial" w:hAnsi="Arial" w:cs="Arial"/>
          <w:sz w:val="28"/>
          <w:szCs w:val="28"/>
        </w:rPr>
        <w:t>É como voto.</w:t>
      </w:r>
    </w:p>
    <w:p w14:paraId="77582E98" w14:textId="77777777" w:rsidR="00DA55F2" w:rsidRDefault="00DA55F2" w:rsidP="00DA55F2">
      <w:pPr>
        <w:spacing w:after="0" w:line="360" w:lineRule="auto"/>
        <w:ind w:firstLine="2268"/>
        <w:jc w:val="both"/>
        <w:rPr>
          <w:rFonts w:ascii="Arial" w:hAnsi="Arial" w:cs="Arial"/>
          <w:sz w:val="28"/>
          <w:szCs w:val="28"/>
        </w:rPr>
      </w:pPr>
    </w:p>
    <w:p w14:paraId="4762B468" w14:textId="19AE9D4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SENTENÇA </w:t>
      </w:r>
    </w:p>
    <w:p w14:paraId="3ABFE369" w14:textId="640A08D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I. Relatório </w:t>
      </w:r>
    </w:p>
    <w:p w14:paraId="7E1496A2" w14:textId="17283D4A" w:rsidR="052F37F6" w:rsidRPr="00DA55F2" w:rsidRDefault="052F37F6" w:rsidP="395F27C1">
      <w:pPr>
        <w:jc w:val="both"/>
        <w:rPr>
          <w:rFonts w:ascii="Calibri" w:hAnsi="Calibri" w:cs="Calibri"/>
        </w:rPr>
      </w:pPr>
      <w:r w:rsidRPr="00DA55F2">
        <w:rPr>
          <w:rFonts w:ascii="Calibri" w:eastAsia="Arial" w:hAnsi="Calibri" w:cs="Calibri"/>
          <w:color w:val="00B050"/>
        </w:rPr>
        <w:t xml:space="preserve">Trata-se de ação sob procedimento comum ajuizada por Maria Pereira de Brito, assistida pela Defensoria Pública do Distrito Federal, contra Companhia de Saneamento Ambiental do Distrito Federal – CAESB. </w:t>
      </w:r>
    </w:p>
    <w:p w14:paraId="27AAA767" w14:textId="6D0A6978"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Na petição inicial, a demandante afirmou que o imóvel situado na Área Complementar 200, conjunto F, lote 05, em Santa Maria/DF, correspondente à unidade consumidora nº 446317-1, era ocupado por sua irmã, Terezinha Pereira de Brito, falecida. Sustentou que, após o óbito, permaneceu na posse do imóvel e, em seguida, adquiriu-o por licitação pública promovida pela Terracap, tornando-se titular da unidade consumidora em 11 de abril de 2023. </w:t>
      </w:r>
    </w:p>
    <w:p w14:paraId="19941194" w14:textId="3C8F8035" w:rsidR="052F37F6" w:rsidRPr="00DA55F2" w:rsidRDefault="052F37F6" w:rsidP="395F27C1">
      <w:pPr>
        <w:jc w:val="both"/>
        <w:rPr>
          <w:rFonts w:ascii="Calibri" w:hAnsi="Calibri" w:cs="Calibri"/>
        </w:rPr>
      </w:pPr>
      <w:r w:rsidRPr="00DA55F2">
        <w:rPr>
          <w:rFonts w:ascii="Calibri" w:eastAsia="Arial" w:hAnsi="Calibri" w:cs="Calibri"/>
          <w:color w:val="00B050"/>
        </w:rPr>
        <w:t xml:space="preserve">Relatou que, ao solicitar a transferência de titularidade, a concessionária vinculou ao seu CPF débitos pretéritos atribuídos à antiga usuária, referentes aos períodos 07/2015, 09/2015, 11/2017, 03/2018 e 12/2020, com apontamento em cartório de protesto. </w:t>
      </w:r>
    </w:p>
    <w:p w14:paraId="02E3665B" w14:textId="1FED31CB" w:rsidR="052F37F6" w:rsidRPr="00DA55F2" w:rsidRDefault="052F37F6" w:rsidP="395F27C1">
      <w:pPr>
        <w:jc w:val="both"/>
        <w:rPr>
          <w:rFonts w:ascii="Calibri" w:hAnsi="Calibri" w:cs="Calibri"/>
        </w:rPr>
      </w:pPr>
      <w:r w:rsidRPr="00DA55F2">
        <w:rPr>
          <w:rFonts w:ascii="Calibri" w:eastAsia="Arial" w:hAnsi="Calibri" w:cs="Calibri"/>
          <w:color w:val="00B050"/>
        </w:rPr>
        <w:lastRenderedPageBreak/>
        <w:t xml:space="preserve">Em razão disso, pediu a declaração de inexigibilidade dos débitos anteriores, com determinação para que a requerida se abstenha de cobrá-los, retire seu nome dos apontamentos negativos e não suspenda o fornecimento de água em razão deles, sob pena de multa. </w:t>
      </w:r>
    </w:p>
    <w:p w14:paraId="7F30500E" w14:textId="68940A31"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inicial foi emendada nos IDs 258956926 e 275361896, para consolidação dos pedidos e esclarecimento dos fatos, com juntada da declaração da Administração Regional de Santa Maria (ID 263135441) e do Edital de Licitação nº 10/2022 (ID 263135442). </w:t>
      </w:r>
    </w:p>
    <w:p w14:paraId="71908C4D" w14:textId="7247EE0B"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parte demandada apresentou contestação nos IDs 265959931 e 277534378, sustentando a legitimidade da cobrança pela assinatura do Termo de Solicitação de Serviços, no qual a requerente teria assumido as dívidas pretéritas na condição declarada de herdeira da antiga usuária. </w:t>
      </w:r>
    </w:p>
    <w:p w14:paraId="1C67C487" w14:textId="1619A348"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As partes não requereram outras provas. </w:t>
      </w:r>
    </w:p>
    <w:p w14:paraId="231949B6" w14:textId="41BB961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É o que importa relatar. </w:t>
      </w:r>
    </w:p>
    <w:p w14:paraId="266364BB" w14:textId="5DFAFD62" w:rsidR="052F37F6" w:rsidRPr="00DA55F2" w:rsidRDefault="052F37F6" w:rsidP="395F27C1">
      <w:pPr>
        <w:jc w:val="both"/>
        <w:rPr>
          <w:rFonts w:ascii="Calibri" w:hAnsi="Calibri" w:cs="Calibri"/>
        </w:rPr>
      </w:pPr>
      <w:r w:rsidRPr="00DA55F2">
        <w:rPr>
          <w:rFonts w:ascii="Calibri" w:eastAsia="Arial" w:hAnsi="Calibri" w:cs="Calibri"/>
          <w:color w:val="00B050"/>
        </w:rPr>
        <w:t xml:space="preserve">II. Fundamentação </w:t>
      </w:r>
    </w:p>
    <w:p w14:paraId="7B145DAE" w14:textId="4B907363" w:rsidR="052F37F6" w:rsidRPr="00DA55F2" w:rsidRDefault="052F37F6" w:rsidP="395F27C1">
      <w:pPr>
        <w:jc w:val="both"/>
        <w:rPr>
          <w:rFonts w:ascii="Calibri" w:hAnsi="Calibri" w:cs="Calibri"/>
        </w:rPr>
      </w:pPr>
      <w:r w:rsidRPr="00DA55F2">
        <w:rPr>
          <w:rFonts w:ascii="Calibri" w:eastAsia="Arial" w:hAnsi="Calibri" w:cs="Calibri"/>
          <w:color w:val="00B050"/>
        </w:rPr>
        <w:t xml:space="preserve">O feito comporta julgamento antecipado, pois a controvérsia é essencialmente documental, o que autoriza a aplicação do art. 355, I, do Código de Processo Civil. </w:t>
      </w:r>
    </w:p>
    <w:p w14:paraId="42091462" w14:textId="639AC365"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Não há questões preliminares a resolver nem vícios que comprometam o processo. </w:t>
      </w:r>
    </w:p>
    <w:p w14:paraId="1F53667B" w14:textId="320D8159" w:rsidR="052F37F6" w:rsidRPr="00DA55F2" w:rsidRDefault="052F37F6" w:rsidP="395F27C1">
      <w:pPr>
        <w:jc w:val="both"/>
        <w:rPr>
          <w:rFonts w:ascii="Calibri" w:hAnsi="Calibri" w:cs="Calibri"/>
        </w:rPr>
      </w:pPr>
      <w:r w:rsidRPr="00DA55F2">
        <w:rPr>
          <w:rFonts w:ascii="Calibri" w:eastAsia="Arial" w:hAnsi="Calibri" w:cs="Calibri"/>
          <w:color w:val="00B050"/>
        </w:rPr>
        <w:t xml:space="preserve">Os pressupostos processuais e as condições da ação estão presentes. </w:t>
      </w:r>
    </w:p>
    <w:p w14:paraId="2DCEF6B2" w14:textId="41A1945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Passo ao julgamento do mérito. </w:t>
      </w:r>
    </w:p>
    <w:p w14:paraId="7EDE94EF" w14:textId="0D818F40"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controvérsia se concentra na possibilidade de a concessionária de saneamento cobrar da atual titular da unidade consumidora os débitos gerados em períodos anteriores à sua titularidade formal, imputados administrativamente ao seu CPF em razão do vínculo familiar com a usuária anterior. </w:t>
      </w:r>
    </w:p>
    <w:p w14:paraId="261B1DCD" w14:textId="5F8280C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relação de consumo de água é de natureza contratual e pessoal. O usuário responde pelos serviços efetivamente prestados durante o período em que ocupa o imóvel e figura, de fato ou de direito, como consumidor da unidade. </w:t>
      </w:r>
    </w:p>
    <w:p w14:paraId="7AE5DB78" w14:textId="2BC6726D"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obrigação não acompanha o bem como encargo real, nem se transmite automaticamente por sucessão administrativa forçada. </w:t>
      </w:r>
    </w:p>
    <w:p w14:paraId="52566D2A" w14:textId="570FF936" w:rsidR="052F37F6" w:rsidRPr="00DA55F2" w:rsidRDefault="052F37F6" w:rsidP="395F27C1">
      <w:pPr>
        <w:jc w:val="both"/>
        <w:rPr>
          <w:rFonts w:ascii="Calibri" w:hAnsi="Calibri" w:cs="Calibri"/>
        </w:rPr>
      </w:pPr>
      <w:r w:rsidRPr="00DA55F2">
        <w:rPr>
          <w:rFonts w:ascii="Calibri" w:eastAsia="Arial" w:hAnsi="Calibri" w:cs="Calibri"/>
          <w:color w:val="00B050"/>
        </w:rPr>
        <w:t xml:space="preserve">Trata-se de orientação assentada tanto no Superior Tribunal de Justiça quanto no Tribunal de Justiça do Distrito Federal e dos Territórios, e reflete a diretriz do art. 265 do Código Civil, segundo o qual a solidariedade não se presume. </w:t>
      </w:r>
    </w:p>
    <w:p w14:paraId="69F4EDCC" w14:textId="4BEC8343" w:rsidR="052F37F6" w:rsidRPr="00DA55F2" w:rsidRDefault="052F37F6" w:rsidP="395F27C1">
      <w:pPr>
        <w:jc w:val="both"/>
        <w:rPr>
          <w:rFonts w:ascii="Calibri" w:hAnsi="Calibri" w:cs="Calibri"/>
        </w:rPr>
      </w:pPr>
      <w:r w:rsidRPr="00DA55F2">
        <w:rPr>
          <w:rFonts w:ascii="Calibri" w:eastAsia="Arial" w:hAnsi="Calibri" w:cs="Calibri"/>
          <w:color w:val="00B050"/>
        </w:rPr>
        <w:t xml:space="preserve">Pois bem. </w:t>
      </w:r>
    </w:p>
    <w:p w14:paraId="67A3D064" w14:textId="3F184D56"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prova documental revela três marcos temporais relevantes para a análise: a data do óbito da antiga usuária, ocorrido em 14 de fevereiro de 2019 (ID 255030305); a alteração formal da titularidade da unidade consumidora nº 446317-1 para o CPF da requerente, em 11 de abril de 2023 (ID 255030303); e a discriminação dos débitos objeto de cobrança, com faturas referentes aos períodos 07/2015, 09/2015, 11/2017, 03/2018 e 12/2020 (ID 255030308). </w:t>
      </w:r>
    </w:p>
    <w:p w14:paraId="6A18727E" w14:textId="58EC1C1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Explico o corte necessário. </w:t>
      </w:r>
    </w:p>
    <w:p w14:paraId="5A51C66B" w14:textId="6750897D" w:rsidR="052F37F6" w:rsidRPr="00DA55F2" w:rsidRDefault="052F37F6" w:rsidP="395F27C1">
      <w:pPr>
        <w:jc w:val="both"/>
        <w:rPr>
          <w:rFonts w:ascii="Calibri" w:hAnsi="Calibri" w:cs="Calibri"/>
        </w:rPr>
      </w:pPr>
      <w:r w:rsidRPr="00DA55F2">
        <w:rPr>
          <w:rFonts w:ascii="Calibri" w:eastAsia="Arial" w:hAnsi="Calibri" w:cs="Calibri"/>
          <w:color w:val="00B050"/>
        </w:rPr>
        <w:lastRenderedPageBreak/>
        <w:t xml:space="preserve">Os débitos gerados até 14 de fevereiro de 2019, portanto os relativos aos meses de 07/2015, 09/2015, 11/2017 e 03/2018, correspondem a consumo prestado exclusivamente a Terezinha Pereira de Brito, que figurava como usuária contratual. </w:t>
      </w:r>
    </w:p>
    <w:p w14:paraId="431BCFFD" w14:textId="38EA59C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demandante não integrou a relação de consumo desse período, não ocupou o imóvel e não pode ser responsabilizada, por ato administrativo unilateral da concessionária, por dívidas de terceiro. A justificativa administrativa da requerida — de que a demandante teria se apresentado como herdeira do espólio — não altera essa conclusão. </w:t>
      </w:r>
    </w:p>
    <w:p w14:paraId="3DC74271" w14:textId="23E628E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Não houve, no caso, sucessão hereditária apta a transferir a obrigação. O imóvel era objeto de autorização de ocupação sobre terreno público, conforme declaração da Administração Regional de Santa Maria (ID 263135441), sem título dominial passível de integrar acervo hereditário. Com o falecimento, o bem retornou à Terracap, que o alienou por licitação pública, conforme o Edital nº 10/2022 (ID 263135442, item 93). </w:t>
      </w:r>
    </w:p>
    <w:p w14:paraId="2983CBFB" w14:textId="6794CA7A"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demandante adquiriu-o em contratação autônoma e onerosa (ID 255030303), sem qualquer sub-rogação nas relações de consumo mantidas pela irmã. Ainda que houvesse acervo sucessório, a responsabilidade do herdeiro seria limitada às forças da herança e exigiria via judicial adequada, nos termos do art. 1.997 do Código Civil, o que não se confunde com a mera vinculação administrativa do CPF em cadastro de concessionária. </w:t>
      </w:r>
    </w:p>
    <w:p w14:paraId="78A4F885" w14:textId="7138E7C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Por essas razões, os débitos anteriores a 14 de fevereiro de 2019 são inexigíveis em face da requerente. Situação diversa se apresenta em relação ao débito de dezembro de 2020. Nesse período, a antiga usuária já era falecida, o imóvel não estava desocupado e a demandante — como reconhece em sua própria narrativa e emendas processuais — dele detinha a posse, tendo dado continuidade material à situação fática antes exercida pela irmã. </w:t>
      </w:r>
    </w:p>
    <w:p w14:paraId="7BFC829F" w14:textId="6805AF62"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titularidade contratual formal ainda não havia sido regularizada perante a concessionária, mas o consumo faturado no período foi prestado em benefício de quem, de fato, se servia da unidade consumidora. </w:t>
      </w:r>
    </w:p>
    <w:p w14:paraId="47917FE4" w14:textId="3EA0339F"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Nesse contexto, a autora se encontra na posição de consumidora de fato do serviço público essencial, o que atrai a incidência do princípio da vedação ao enriquecimento sem causa e afasta a inexigibilidade pretendida. A obrigação de pagar pelo serviço efetivamente prestado nasce do consumo, não do formalismo cadastral. Beneficiar-se do fornecimento de água e ao mesmo tempo negar responsabilidade pela contraprestação, ao argumento de que a titularidade formal ainda estava em nome de pessoa falecida, subverteria o equilíbrio da relação e transferiria à coletividade o custo do serviço prestado. A tese de inexigibilidade, nessa fração, não pode prosperar. </w:t>
      </w:r>
    </w:p>
    <w:p w14:paraId="7F8B65E7" w14:textId="3AF4DEA6" w:rsidR="052F37F6" w:rsidRPr="00DA55F2" w:rsidRDefault="052F37F6" w:rsidP="395F27C1">
      <w:pPr>
        <w:jc w:val="both"/>
        <w:rPr>
          <w:rFonts w:ascii="Calibri" w:hAnsi="Calibri" w:cs="Calibri"/>
        </w:rPr>
      </w:pPr>
      <w:r w:rsidRPr="00DA55F2">
        <w:rPr>
          <w:rFonts w:ascii="Calibri" w:eastAsia="Arial" w:hAnsi="Calibri" w:cs="Calibri"/>
          <w:color w:val="00B050"/>
        </w:rPr>
        <w:t>Portanto, é legítima a cobrança do débito referente ao período de dezembro de 2020, compreendido entre o falecimento da antiga usuária e a alteração formal de titularidade em favor da requerente. Quanto aos débitos declarados inexigíveis, deve a concessionária promover a retirada de qualquer restrição cadastral, apontamento negativo ou protesto lastreado em tais valores (ID 255030311).</w:t>
      </w:r>
    </w:p>
    <w:p w14:paraId="458B7D80" w14:textId="58B6F53F" w:rsidR="052F37F6" w:rsidRPr="00DA55F2" w:rsidRDefault="052F37F6" w:rsidP="395F27C1">
      <w:pPr>
        <w:jc w:val="both"/>
        <w:rPr>
          <w:rFonts w:ascii="Calibri" w:hAnsi="Calibri" w:cs="Calibri"/>
        </w:rPr>
      </w:pPr>
      <w:r w:rsidRPr="00DA55F2">
        <w:rPr>
          <w:rFonts w:ascii="Calibri" w:eastAsia="Arial" w:hAnsi="Calibri" w:cs="Calibri"/>
          <w:color w:val="00B050"/>
        </w:rPr>
        <w:t xml:space="preserve"> A tutela específica encontra amparo nos arts. 497 e 536 do Código de Processo Civil, com a possibilidade de fixação de multa para assegurar o cumprimento da ordem. </w:t>
      </w:r>
    </w:p>
    <w:p w14:paraId="6B7AC879" w14:textId="1A0BD540"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Fica igualmente vedada a suspensão do fornecimento de água à unidade consumidora nº 446317-1 em razão dos débitos declarados inexigíveis. Nada impede, contudo, a cobrança </w:t>
      </w:r>
      <w:r w:rsidRPr="00DA55F2">
        <w:rPr>
          <w:rFonts w:ascii="Calibri" w:eastAsia="Arial" w:hAnsi="Calibri" w:cs="Calibri"/>
          <w:color w:val="00B050"/>
        </w:rPr>
        <w:lastRenderedPageBreak/>
        <w:t xml:space="preserve">regular do débito referente a dezembro de 2020, pelas vias próprias, observadas as normas aplicáveis à atividade da concessionária. </w:t>
      </w:r>
    </w:p>
    <w:p w14:paraId="4920FB73" w14:textId="767DC59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III. Dispositivo </w:t>
      </w:r>
    </w:p>
    <w:p w14:paraId="324C7C9A" w14:textId="108AEBBE" w:rsidR="2322EF8D" w:rsidRPr="00DA55F2" w:rsidRDefault="2322EF8D" w:rsidP="395F27C1">
      <w:pPr>
        <w:jc w:val="both"/>
        <w:rPr>
          <w:rFonts w:ascii="Calibri" w:eastAsia="Arial" w:hAnsi="Calibri" w:cs="Calibri"/>
          <w:color w:val="70AD47" w:themeColor="accent6"/>
        </w:rPr>
      </w:pPr>
      <w:r w:rsidRPr="00DA55F2">
        <w:rPr>
          <w:rFonts w:ascii="Calibri" w:eastAsia="Arial" w:hAnsi="Calibri" w:cs="Calibri"/>
          <w:color w:val="00B050"/>
        </w:rPr>
        <w:t>Diante do exposto, com fundamento no art. 487, I, do Código de Processo Civil, julgo parcialmente procedentes os pedidos, para:</w:t>
      </w:r>
    </w:p>
    <w:p w14:paraId="0ABFB2CF" w14:textId="090D1483"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declarar inexigíveis, em face de Maria Pereira de Brito, os débitos vinculados à unidade consumidora nº 446317-1 referentes aos períodos 07/2015, 09/2015, 11/2017 e 03/2018, discriminados no ID 255030308, por corresponderem a consumo anterior ao óbito da antiga usuária, ocorrido em 14 de fevereiro de 2019; </w:t>
      </w:r>
    </w:p>
    <w:p w14:paraId="391F03C4" w14:textId="5D10AB2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b) manter íntegra a exigibilidade do débito referente ao período de dezembro de 2020, também discriminado no ID 255030308, por corresponder a consumo prestado em benefício da posse já exercida pela demandante, a quem cabe adimpli-lo pelas vias administrativas próprias; </w:t>
      </w:r>
    </w:p>
    <w:p w14:paraId="07373437" w14:textId="2265819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c) determinar à CAESB que, no prazo de 10 (dez) dias contados da intimação desta sentença, promova a desvinculação dos débitos declarados inexigíveis do CPF da requerente, cancele os apontamentos e o protesto deles decorrentes e comunique aos órgãos de proteção ao crédito e ao cartório respectivo a retirada das restrições correspondentes, mantendo, se o caso, apenas os apontamentos relativos ao débito de dezembro de 2020; </w:t>
      </w:r>
    </w:p>
    <w:p w14:paraId="6E684F52" w14:textId="312E49A8" w:rsidR="052F37F6" w:rsidRPr="00DA55F2" w:rsidRDefault="052F37F6" w:rsidP="395F27C1">
      <w:pPr>
        <w:jc w:val="both"/>
        <w:rPr>
          <w:rFonts w:ascii="Calibri" w:hAnsi="Calibri" w:cs="Calibri"/>
        </w:rPr>
      </w:pPr>
      <w:r w:rsidRPr="00DA55F2">
        <w:rPr>
          <w:rFonts w:ascii="Calibri" w:eastAsia="Arial" w:hAnsi="Calibri" w:cs="Calibri"/>
          <w:color w:val="00B050"/>
        </w:rPr>
        <w:t xml:space="preserve">d) determinar à CAESB que se abstenha de suspender o fornecimento de água à unidade consumidora nº 446317-1 com fundamento nos débitos declarados inexigíveis nesta sentença; </w:t>
      </w:r>
    </w:p>
    <w:p w14:paraId="6148F479" w14:textId="1968C429" w:rsidR="052F37F6" w:rsidRPr="00DA55F2" w:rsidRDefault="052F37F6" w:rsidP="395F27C1">
      <w:pPr>
        <w:jc w:val="both"/>
        <w:rPr>
          <w:rFonts w:ascii="Calibri" w:hAnsi="Calibri" w:cs="Calibri"/>
        </w:rPr>
      </w:pPr>
      <w:r w:rsidRPr="00DA55F2">
        <w:rPr>
          <w:rFonts w:ascii="Calibri" w:eastAsia="Arial" w:hAnsi="Calibri" w:cs="Calibri"/>
          <w:color w:val="00B050"/>
        </w:rPr>
        <w:t xml:space="preserve">e) fixar multa diária de R$ 500,00 (quinhentos reais), limitada a R$ 15.000,00 (quinze mil reais), para o caso de descumprimento das obrigações de retirada de apontamentos, cancelamento de protesto e desvinculação cadastral referentes aos débitos declarados inexigíveis; </w:t>
      </w:r>
    </w:p>
    <w:p w14:paraId="2809A9BC" w14:textId="3E89700D"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 fixar multa única de R$ 5.000,00 (cinco mil reais) por eventual suspensão do fornecimento de água à unidade consumidora nº 446317-1 fundada nos débitos declarados inexigíveis, sem prejuízo do imediato restabelecimento do serviço. </w:t>
      </w:r>
    </w:p>
    <w:p w14:paraId="6A95AD3B" w14:textId="5C657122" w:rsidR="052F37F6" w:rsidRPr="00DA55F2" w:rsidRDefault="052F37F6" w:rsidP="395F27C1">
      <w:pPr>
        <w:jc w:val="both"/>
        <w:rPr>
          <w:rFonts w:ascii="Calibri" w:hAnsi="Calibri" w:cs="Calibri"/>
        </w:rPr>
      </w:pPr>
      <w:r w:rsidRPr="00DA55F2">
        <w:rPr>
          <w:rFonts w:ascii="Calibri" w:eastAsia="Arial" w:hAnsi="Calibri" w:cs="Calibri"/>
          <w:color w:val="00B050"/>
        </w:rPr>
        <w:t xml:space="preserve">Mantenho a gratuidade de justiça deferida à demandante. Reconheço a sucumbência recíproca. </w:t>
      </w:r>
    </w:p>
    <w:p w14:paraId="5910D03A" w14:textId="4D2A774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Quatro das cinco parcelas impugnadas foram acolhidas em favor da requerente, e uma foi mantida em favor da requerida. </w:t>
      </w:r>
    </w:p>
    <w:p w14:paraId="3BC2C470" w14:textId="17B71D1C" w:rsidR="052F37F6" w:rsidRPr="00DA55F2" w:rsidRDefault="052F37F6" w:rsidP="395F27C1">
      <w:pPr>
        <w:jc w:val="both"/>
        <w:rPr>
          <w:rFonts w:ascii="Calibri" w:hAnsi="Calibri" w:cs="Calibri"/>
        </w:rPr>
      </w:pPr>
      <w:r w:rsidRPr="00DA55F2">
        <w:rPr>
          <w:rFonts w:ascii="Calibri" w:eastAsia="Arial" w:hAnsi="Calibri" w:cs="Calibri"/>
          <w:color w:val="00B050"/>
        </w:rPr>
        <w:t xml:space="preserve">Distribuo a responsabilidade pelas custas processuais na proporção de 80% para a CAESB e 20% para a autora. </w:t>
      </w:r>
    </w:p>
    <w:p w14:paraId="549B606A" w14:textId="304D67FC"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Fixo, em favor da parte autora, honorários advocatícios de sucumbência, os quais, considerando o baixo valor da causa (R$ 1.765,64), a natureza da demanda, o trabalho desempenhado pela Defensoria Pública e o extenso trâmite processual, arbitro por equidade em R$ 1.000,00 (mil reais), com fundamento no art. 85, § 8º, do Código de Processo Civil. </w:t>
      </w:r>
    </w:p>
    <w:p w14:paraId="2610DE93" w14:textId="514826D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Essa verba será revertida ao Fundo de Apoio e Aparelhamento do Centro de Assistência Judiciária do Distrito Federal – PRODEF, nos termos do art. 3º, inciso I, da Lei Complementar Distrital nº 744/2007, com depósito no Banco de Brasília S.A. – BRB, agência 100, conta 013251-7. </w:t>
      </w:r>
    </w:p>
    <w:p w14:paraId="2C55D37B" w14:textId="13F1E66B"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Fixo, em favor da parte requerida, honorários advocatícios de sucumbência, também por equidade, no valor de R$ 300,00 (trezentos reais), com fundamento no art. 85, § 8º, do Código </w:t>
      </w:r>
      <w:r w:rsidRPr="00DA55F2">
        <w:rPr>
          <w:rFonts w:ascii="Calibri" w:eastAsia="Arial" w:hAnsi="Calibri" w:cs="Calibri"/>
          <w:color w:val="00B050"/>
        </w:rPr>
        <w:lastRenderedPageBreak/>
        <w:t xml:space="preserve">de Processo Civil, cuja exigibilidade fica suspensa em razão da gratuidade de justiça, nos termos do art. 98, § 3º, do mesmo diploma. </w:t>
      </w:r>
    </w:p>
    <w:p w14:paraId="43C91130" w14:textId="507F83FD"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As verbas de sucumbência serão corrigidas pelo IPCA a partir desta data. </w:t>
      </w:r>
    </w:p>
    <w:p w14:paraId="4EB1F96A" w14:textId="04FAA0D4" w:rsidR="052F37F6" w:rsidRPr="00DA55F2" w:rsidRDefault="052F37F6" w:rsidP="395F27C1">
      <w:pPr>
        <w:jc w:val="both"/>
        <w:rPr>
          <w:rFonts w:ascii="Calibri" w:hAnsi="Calibri" w:cs="Calibri"/>
        </w:rPr>
      </w:pPr>
      <w:r w:rsidRPr="00DA55F2">
        <w:rPr>
          <w:rFonts w:ascii="Calibri" w:eastAsia="Arial" w:hAnsi="Calibri" w:cs="Calibri"/>
          <w:color w:val="00B050"/>
        </w:rPr>
        <w:t>Os juros de mora, pela SELIC deduzido o IPCA no período, com piso zero se o resultado for negativo</w:t>
      </w:r>
      <w:r w:rsidR="5DE49326" w:rsidRPr="00DA55F2">
        <w:rPr>
          <w:rFonts w:ascii="Calibri" w:eastAsia="Arial" w:hAnsi="Calibri" w:cs="Calibri"/>
          <w:color w:val="00B050"/>
        </w:rPr>
        <w:t xml:space="preserve"> incidirão a partir do trânsito em julgado. </w:t>
      </w:r>
    </w:p>
    <w:p w14:paraId="55EAA27B" w14:textId="2B01E397" w:rsidR="5DE49326" w:rsidRPr="00DA55F2" w:rsidRDefault="5DE49326" w:rsidP="395F27C1">
      <w:pPr>
        <w:jc w:val="both"/>
        <w:rPr>
          <w:rFonts w:ascii="Calibri" w:hAnsi="Calibri" w:cs="Calibri"/>
        </w:rPr>
      </w:pPr>
      <w:r w:rsidRPr="00DA55F2">
        <w:rPr>
          <w:rFonts w:ascii="Calibri" w:eastAsia="Arial" w:hAnsi="Calibri" w:cs="Calibri"/>
          <w:color w:val="00B050"/>
        </w:rPr>
        <w:t xml:space="preserve">Esta sentença serve como ofício ao Cartório de Protesto competente e aos órgãos de proteção ao crédito para a retirada das anotações relativas aos débitos declarados inexigíveis, no que couber, mediante instrução da parte interessada. </w:t>
      </w:r>
    </w:p>
    <w:p w14:paraId="646136D3" w14:textId="25CD1D0A" w:rsidR="5DE49326" w:rsidRPr="00DA55F2" w:rsidRDefault="5DE49326" w:rsidP="395F27C1">
      <w:pPr>
        <w:jc w:val="both"/>
        <w:rPr>
          <w:rFonts w:ascii="Calibri" w:hAnsi="Calibri" w:cs="Calibri"/>
        </w:rPr>
      </w:pPr>
      <w:r w:rsidRPr="00DA55F2">
        <w:rPr>
          <w:rFonts w:ascii="Calibri" w:eastAsia="Arial" w:hAnsi="Calibri" w:cs="Calibri"/>
          <w:color w:val="00B050"/>
        </w:rPr>
        <w:t>Após o trânsito em julgado, não havendo outros requerimentos, arquivem-se os autos. Publique-se. Intimem-se.</w:t>
      </w:r>
    </w:p>
    <w:sectPr w:rsidR="5DE49326" w:rsidRPr="00DA55F2">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3"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4"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0" w:author="Lorena Cardoso Ávila Niemeyer - GDACA" w:date="1900-01-01T00:00:00Z" w:initials="LG">
    <w:p w14:paraId="115969D2" w14:textId="7A534103" w:rsidR="00C82911" w:rsidRDefault="00C82911">
      <w:r>
        <w:annotationRef/>
      </w:r>
      <w:r w:rsidRPr="7391EDF2">
        <w:t>Conclusão: 10/09/2026</w:t>
      </w:r>
    </w:p>
    <w:p w14:paraId="7C386EB9" w14:textId="5D6A8E4F" w:rsidR="00C82911" w:rsidRDefault="00C82911">
      <w:r w:rsidRPr="2FF9B12F">
        <w:t>Entrega: 23/09/2026</w:t>
      </w:r>
    </w:p>
    <w:p w14:paraId="53EFD686" w14:textId="530759F9" w:rsidR="00C82911" w:rsidRDefault="00C82911">
      <w:r w:rsidRPr="542C7593">
        <w:t>Certeza: 9</w:t>
      </w:r>
    </w:p>
  </w:comment>
  <w:comment w:id="1" w:author="Marcia Vilela Alves - GDACA" w:date="2026-09-24T14:00:00Z" w:initials="MV">
    <w:p w14:paraId="594D56B0" w14:textId="77777777" w:rsidR="00CE30EC" w:rsidRDefault="00CE30EC" w:rsidP="00CE30EC">
      <w:pPr>
        <w:pStyle w:val="Textodecomentrio"/>
      </w:pPr>
      <w:r>
        <w:rPr>
          <w:rStyle w:val="Refdecomentrio"/>
        </w:rPr>
        <w:annotationRef/>
      </w:r>
      <w:r>
        <w:t>Corrigido.</w:t>
      </w:r>
    </w:p>
  </w:comment>
  <w:comment w:id="5" w:author="Assessor GDSXSR" w:date="2026-10-29T19:59:00Z" w:initials="RG">
    <w:p w14:paraId="0323A60D" w14:textId="77777777" w:rsidR="000F7187" w:rsidRDefault="00000000">
      <w:pPr>
        <w:pStyle w:val="Textodecomentrio"/>
      </w:pPr>
      <w:r>
        <w:rPr>
          <w:rStyle w:val="Refdecomentrio"/>
        </w:rPr>
        <w:annotationRef/>
      </w:r>
      <w:r>
        <w:t>ASSESSOR GDSXSR — Alterações mecânicas em todo o documento: título EMENTA à esquerda (C-42), decisão anexada em verde 00B050 (C-45); grafia e acentuação (C-28), referências compactas (CPC 373 II) e IDs ao final do período (C-20), numeração da ementa em sequência (C-36), realces e negritos de enumeração (C-42, C-43). Resumo e sentença anexa preservados (C-04, C-39).</w:t>
      </w:r>
    </w:p>
  </w:comment>
  <w:comment w:id="6" w:author="Assessor GDSXSR" w:date="2026-10-29T19:59:00Z" w:initials="RG">
    <w:p w14:paraId="3D3769FB" w14:textId="77777777" w:rsidR="000F7187" w:rsidRDefault="00000000">
      <w:pPr>
        <w:pStyle w:val="Textodecomentrio"/>
      </w:pPr>
      <w:r>
        <w:rPr>
          <w:rStyle w:val="Refdecomentrio"/>
        </w:rPr>
        <w:annotationRef/>
      </w:r>
      <w:r>
        <w:t>ASSESSOR GDSXSR — Desdobrei o item 1: ação, partes (nome literal da CAESB, autora pessoa natural, vínculo com a antiga usuária) e valor da causa no fim do item 1; a sentença passa ao item 2 e o apelo ao item 3 (C-34, C-34A, C-3P b, C-36). Valor da causa conforme a linha de dados do voto.</w:t>
      </w:r>
    </w:p>
  </w:comment>
  <w:comment w:id="7" w:author="Assessor GDSXSR" w:date="2026-10-29T19:59:00Z" w:initials="RG">
    <w:p w14:paraId="11E99041" w14:textId="77777777" w:rsidR="000F7187" w:rsidRDefault="00000000">
      <w:pPr>
        <w:pStyle w:val="Textodecomentrio"/>
      </w:pPr>
      <w:r>
        <w:rPr>
          <w:rStyle w:val="Refdecomentrio"/>
        </w:rPr>
        <w:annotationRef/>
      </w:r>
      <w:r>
        <w:t>ASSESSOR GDSXSR — Troquei 'fatos constitutivos de seu direito' por 'fatos que legitimam a cobrança': o CPC 373 II trata do fato impeditivo, modificativo ou extintivo, e a ementa deve espelhar o voto (C-33). Texto literal do CPC 373 transcrito no corpo do voto (C-66 a).</w:t>
      </w:r>
    </w:p>
  </w:comment>
  <w:comment w:id="8" w:author="Assessor GDSXSR" w:date="2026-10-29T19:59:00Z" w:initials="RG">
    <w:p w14:paraId="484FBC25" w14:textId="77777777" w:rsidR="000F7187" w:rsidRDefault="00000000">
      <w:pPr>
        <w:pStyle w:val="Textodecomentrio"/>
      </w:pPr>
      <w:r>
        <w:rPr>
          <w:rStyle w:val="Refdecomentrio"/>
        </w:rPr>
        <w:annotationRef/>
      </w:r>
      <w:r>
        <w:t>ASSESSOR GDSXSR — Excluí o item 5, que tratava da redistribuição dos ônus: pedido consequencial ao provimento, sem capítulo no voto (C-3Z a); a questão (ii) também saiu do item 4. A redistribuição consta do item 7 e do dispositivo.</w:t>
      </w:r>
    </w:p>
  </w:comment>
  <w:comment w:id="9" w:author="Assessor GDSXSR" w:date="2026-10-29T19:59:00Z" w:initials="RG">
    <w:p w14:paraId="35F1A990" w14:textId="77777777" w:rsidR="000F7187" w:rsidRDefault="00000000">
      <w:pPr>
        <w:pStyle w:val="Textodecomentrio"/>
      </w:pPr>
      <w:r>
        <w:rPr>
          <w:rStyle w:val="Refdecomentrio"/>
        </w:rPr>
        <w:annotationRef/>
      </w:r>
      <w:r>
        <w:t>ASSESSOR GDSXSR — Pendência (C-72, C-52): o Acórdão 2167028 (0738186-08.2025.8.07.0001) não foi localizado no iajus (busca por CNJ, ementa e órgão), na web (2 buscas) nem no JurisDF (acesso bloqueado). Mantido na minuta, pois a ementa citada não contraria o voto; Marcos confere no JurisDF. Retirei a sigla 'APC' do número do processo (C-67).</w:t>
      </w:r>
    </w:p>
  </w:comment>
  <w:comment w:id="10" w:author="Assessor GDSXSR" w:date="2026-10-29T19:59:00Z" w:initials="RG">
    <w:p w14:paraId="1302D627" w14:textId="77777777" w:rsidR="000F7187" w:rsidRDefault="00000000">
      <w:pPr>
        <w:pStyle w:val="Textodecomentrio"/>
      </w:pPr>
      <w:r>
        <w:rPr>
          <w:rStyle w:val="Refdecomentrio"/>
        </w:rPr>
        <w:annotationRef/>
      </w:r>
      <w:r>
        <w:t>ASSESSOR GDSXSR — Cortei o parágrafo da destinação dos honorários ao PRODEF (agência e conta bancárias): transcrição dispensável para o julgamento (C-02, C-3N). Juntei as duas metades do parágrafo dos honorários da ré, partidas na colagem do PJe, e acrescentei o ID ao fim do bloco transcrito (C-3N, C-48).</w:t>
      </w:r>
    </w:p>
  </w:comment>
  <w:comment w:id="11" w:author="Assessor GDSXSR" w:date="2026-10-29T19:59:00Z" w:initials="RG">
    <w:p w14:paraId="6EDE4BAA" w14:textId="77777777" w:rsidR="000F7187" w:rsidRDefault="00000000">
      <w:pPr>
        <w:pStyle w:val="Textodecomentrio"/>
      </w:pPr>
      <w:r>
        <w:rPr>
          <w:rStyle w:val="Refdecomentrio"/>
        </w:rPr>
        <w:annotationRef/>
      </w:r>
      <w:r>
        <w:t>ASSESSOR GDSXSR — Conferido no apelo (ID 89370589): corrigi 'Apelo do autora' e ajustei as alegações 2 e 3 ao que o apelo diz (jurisprudência do TJSP e do STJ sobre a cobrança do espólio; enriquecimento sem causa seria da concessionária). O voto passou a enumerar as mesmas alegações do capítulo (C-30).</w:t>
      </w:r>
    </w:p>
  </w:comment>
  <w:comment w:id="12" w:author="Assessor GDSXSR" w:date="2026-10-29T19:59:00Z" w:initials="RG">
    <w:p w14:paraId="6109AD1F" w14:textId="77777777" w:rsidR="000F7187" w:rsidRDefault="00000000">
      <w:pPr>
        <w:pStyle w:val="Textodecomentrio"/>
      </w:pPr>
      <w:r>
        <w:rPr>
          <w:rStyle w:val="Refdecomentrio"/>
        </w:rPr>
        <w:annotationRef/>
      </w:r>
      <w:r>
        <w:t>ASSESSOR GDSXSR — Título verbal que diz a decisão sobre o pedido (C-3W b). A redistribuição dos ônus, pedida só como consequência do provimento, deixou de ter capítulo próprio e foi para o dispositivo; por isso o capítulo único não leva mini-dispositivo (C-3Z a, C-3A).</w:t>
      </w:r>
    </w:p>
  </w:comment>
  <w:comment w:id="13" w:author="Assessor GDSXSR" w:date="2026-10-29T19:59:00Z" w:initials="RG">
    <w:p w14:paraId="4B435B8C" w14:textId="77777777" w:rsidR="000F7187" w:rsidRDefault="00000000">
      <w:pPr>
        <w:pStyle w:val="Textodecomentrio"/>
      </w:pPr>
      <w:r>
        <w:rPr>
          <w:rStyle w:val="Refdecomentrio"/>
        </w:rPr>
        <w:annotationRef/>
      </w:r>
      <w:r>
        <w:t>ASSESSOR GDSXSR — Abertura do capítulo na fórmula do Gabinete: 'A autora/apelante alega que:' (C-3W c, C-3U), com ID do apelo ao final. Texto literal (C-63): CC, art. 1.997: “A herança responde pelo pagamento das dívidas do falecido; mas, feita a partilha, só respondem os herdeiros, cada qual em proporção da parte que na herança lhe coube.” (fonte: Planalto, conferido no iajus).</w:t>
      </w:r>
    </w:p>
  </w:comment>
  <w:comment w:id="14" w:author="Assessor GDSXSR" w:date="2026-10-29T19:59:00Z" w:initials="RG">
    <w:p w14:paraId="721BE92A" w14:textId="77777777" w:rsidR="000F7187" w:rsidRDefault="00000000">
      <w:pPr>
        <w:pStyle w:val="Textodecomentrio"/>
      </w:pPr>
      <w:r>
        <w:rPr>
          <w:rStyle w:val="Refdecomentrio"/>
        </w:rPr>
        <w:annotationRef/>
      </w:r>
      <w:r>
        <w:t>ASSESSOR GDSXSR — Conferido nos autos: o Ofício nº 764/2024 está no ID 89370538 e registra a posse em 11/04/2023; a autora reitera, na emenda (ID 89370536) e nos embargos (ID 89370541), que residia em outro imóvel (quadra 214, conjunto F, lote 10, adquirido em 13/07/2017) e que só tomou posse após a escritura. A escritura está no ID 89370528, e não no 89370541, que a minuta citava; corrigi (C-24). A sentença registra que a autora 'permaneceu na posse' após o óbito, mas não localizei essa afirmação em peça da autora; acrescentei a frase que contrapõe a premissa da sentença (C-3R). IDs levados ao fim dos períodos e 'Além disso' trocado por 'No mais' (C-20, C-23).</w:t>
      </w:r>
    </w:p>
  </w:comment>
  <w:comment w:id="15" w:author="Assessor GDSXSR" w:date="2026-10-29T19:59:00Z" w:initials="RG">
    <w:p w14:paraId="33CCF242" w14:textId="77777777" w:rsidR="000F7187" w:rsidRDefault="00000000">
      <w:pPr>
        <w:pStyle w:val="Textodecomentrio"/>
      </w:pPr>
      <w:r>
        <w:rPr>
          <w:rStyle w:val="Refdecomentrio"/>
        </w:rPr>
        <w:annotationRef/>
      </w:r>
      <w:r>
        <w:t>ASSESSOR GDSXSR — Pendência de resultado (C-53): a prova da CAESB é mais concreta do que a minuta dizia. A contestação (ID 89370549) traz tela cadastral com a autora vinculada à unidade em 10/12/2020 e a OS 2500100122055908, de 22/12/2020, em que 'o usuário' pediu revisão/distribuição da conta de 12/2020 (campo 'Demandante: CLIENTE', sem nome), além da afirmação de posse desde junho de 2020. Descrevi essa prova no texto e expliquei por que não basta; mantive o resultado. Se o Des. Sérgio entender que a OS e o cadastro bastam para provar o uso em dezembro de 2020, o capítulo muda de sentido; linha do Gabinete: modelo 0725583-34 (ônus da concessionária, CPC 373 II).</w:t>
      </w:r>
    </w:p>
  </w:comment>
  <w:comment w:id="16" w:author="Assessor GDSXSR" w:date="2026-10-29T19:59:00Z" w:initials="RG">
    <w:p w14:paraId="5876AD82" w14:textId="77777777" w:rsidR="000F7187" w:rsidRDefault="00000000">
      <w:pPr>
        <w:pStyle w:val="Textodecomentrio"/>
      </w:pPr>
      <w:r>
        <w:rPr>
          <w:rStyle w:val="Refdecomentrio"/>
        </w:rPr>
        <w:annotationRef/>
      </w:r>
      <w:r>
        <w:t>ASSESSOR GDSXSR — Inseri a transcrição do CPC 373 II, norma que sustenta o capítulo (C-66 a), conferida no Planalto pelo iajus, e passei o período sobre o ônus da prova para a forma compacta (C-20). Cisão em períodos (C-11).</w:t>
      </w:r>
    </w:p>
  </w:comment>
  <w:comment w:id="17" w:author="Assessor GDSXSR" w:date="2026-10-29T19:59:00Z" w:initials="RG">
    <w:p w14:paraId="5BEB44C4" w14:textId="77777777" w:rsidR="000F7187" w:rsidRDefault="00000000">
      <w:pPr>
        <w:pStyle w:val="Textodecomentrio"/>
      </w:pPr>
      <w:r>
        <w:rPr>
          <w:rStyle w:val="Refdecomentrio"/>
        </w:rPr>
        <w:annotationRef/>
      </w:r>
      <w:r>
        <w:t>ASSESSOR GDSXSR — Movi a conclusão ('Portanto, …') para antes do precedente e abri com 'Nesse sentido:' em parágrafo próprio (C-67, v25, v39); acrescentei a vênia ao d. Juízo de origem (C-3R). No precedente, suprimi o item 'IV. DISPOSITIVO E TESE', o 'Recurso parcialmente provido' e a tese 1 (faturas excepcionalmente elevadas), alheios ao ponto, e fechei a citação com '– Grifei' (C-62). Pendência da conferência do Acórdão 2167028: ver comentário da ementa (C-72).</w:t>
      </w:r>
    </w:p>
  </w:comment>
  <w:comment w:id="19" w:author="Assessor GDSXSR" w:date="2026-10-29T19:59:00Z" w:initials="RG">
    <w:p w14:paraId="6BBA0CA9" w14:textId="77777777" w:rsidR="000F7187" w:rsidRDefault="00000000">
      <w:pPr>
        <w:pStyle w:val="Textodecomentrio"/>
      </w:pPr>
      <w:r>
        <w:rPr>
          <w:rStyle w:val="Refdecomentrio"/>
        </w:rPr>
        <w:annotationRef/>
      </w:r>
      <w:r>
        <w:t>ASSESSOR GDSXSR — Texto literal (C-63): CPC, art. 85, caput: “Art. 85. A sentença condenará o vencido a pagar honorários ao advogado do vencedor.” CPC, art. 86, caput: “Art. 86. Se cada litigante for, em parte, vencedor e vencido, serão proporcionalmente distribuídas entre eles as despesas.” CPC, art. 85, § 11: “§ 11. O tribunal, ao julgar recurso, majorará os honorários fixados anteriormente levando em conta o trabalho adicional realizado em grau recursal, (...)” (fonte: Planalto, conferido no iajus).</w:t>
      </w:r>
    </w:p>
  </w:comment>
  <w:comment w:id="18" w:author="Assessor GDSXSR" w:date="2026-10-29T19:59:00Z" w:initials="RG">
    <w:p w14:paraId="5B849A17" w14:textId="77777777" w:rsidR="000F7187" w:rsidRDefault="00000000">
      <w:pPr>
        <w:pStyle w:val="Textodecomentrio"/>
      </w:pPr>
      <w:r>
        <w:rPr>
          <w:rStyle w:val="Refdecomentrio"/>
        </w:rPr>
        <w:annotationRef/>
      </w:r>
      <w:r>
        <w:t>ASSESSOR GDSXSR — Honorários (C-51): a minuta mandava manter 'os parâmetros' da sentença, o que incluiria os R$ 300,00 da ré, incompatíveis com o provimento. Explicitei que subsistem os R$ 1.000,00 fixados em favor da autora e que saem os arbitrados à ré. Texto da sentença (ID 89370577): “Fixo, em favor da parte autora, honorários advocatícios de sucumbência, (...) arbitro por equidade em R$ 1.000,00 (mil reais), com fundamento no art. 85, § 8º, do Código de Processo Civil.” e “Fixo, em favor da parte requerida, honorários advocatícios de sucumbência, também por equidade, no valor de R$ 300,00 (trezentos reais) (...)”. Acrescentei 'Sem honorários recursais': o apelo pediu a majoração em grau recursal (ID 89370589), mas foi provido e não há recorrente vencido (padrão do perfil APC, item 7).</w:t>
      </w:r>
    </w:p>
  </w:comment>
  <w:comment w:id="20" w:author="Assessor GDSXSR" w:initials="RG" w:date="2026-10-29T20:29:44Z">
    <w:p>
      <w:pPr>
        <w:pStyle w:val="CommentText"/>
      </w:pPr>
      <w:r>
        <w:rPr>
          <w:rStyle w:val="CommentReference"/>
        </w:rPr>
        <w:annotationRef/>
      </w:r>
      <w:r>
        <w:t>ASSESSOR GDSXSR — Jurisprudência relevante citada: substituí o Acórdão 2167028 (que saiu do corpo do voto, ver comentário do capítulo) pelos dois acórdãos da 4ª Turma Cível que passaram a sustentar a premissa da natureza pessoal. O comentário anterior sobre a pendência do Acórdão 2167028 fica superado. Pendência (C-67 v47, C-72): o iajus não devolveu o número do acórdão nem a data do DJe de nenhum dos dois; Marcos completa no JurisDF.</w:t>
      </w:r>
    </w:p>
  </w:comment>
  <w:comment w:id="21" w:author="Assessor GDSXSR" w:initials="RG" w:date="2026-10-29T20:29:44Z">
    <w:p>
      <w:pPr>
        <w:pStyle w:val="CommentText"/>
      </w:pPr>
      <w:r>
        <w:rPr>
          <w:rStyle w:val="CommentReference"/>
        </w:rPr>
        <w:annotationRef/>
      </w:r>
      <w:r>
        <w:t>ASSESSOR GDSXSR — Enxugamento da fundamentação (C-02), a pedido de Marcos: o capítulo passou de 516 para 270 palavras (-48%), já contando os dois precedentes transcritos; sem eles, o texto próprio caiu para cerca de 170. Cortei a explicação em cascata da premissa, fundi os parágrafos da posse e das provas da CAESB, retirei a transcrição do CPC 373 II (a norma segue citada em 'CPC 373 II' e na ementa; C-66) e o Acórdão 2167028, que não pude conferir. Resultado, provas e IDs conferidos nos autos foram mantidos. Se preferir manter a transcrição do CPC ou o Acórdão 2167028, basta rejeitar a exclusão correspondente.</w:t>
      </w:r>
    </w:p>
  </w:comment>
  <w:comment w:id="22" w:author="Assessor GDSXSR" w:initials="RG" w:date="2026-10-29T20:29:44Z">
    <w:p>
      <w:pPr>
        <w:pStyle w:val="CommentText"/>
      </w:pPr>
      <w:r>
        <w:rPr>
          <w:rStyle w:val="CommentReference"/>
        </w:rPr>
        <w:annotationRef/>
      </w:r>
      <w:r>
        <w:t>ASSESSOR GDSXSR — Jurisprudência da Turma (C-67): no lugar do Acórdão 2167028, dois acórdãos da 4ª Turma Cível localizados no iajus que validam a premissa de que o débito de água tem natureza pessoal, e não propter rem. A) Proc. 0702875-02.2025.8.07.0018, Rel. Des. Aiston Henrique de Sousa, j. 11/03/2026, ementa, item 4 (literal): 'É ilícito o corte de fornecimento de água com fundamento em débito de terceiro estranho à relação contratual vigente, pois o débito decorrente do serviço de fornecimento de água possui natureza pessoal, não propter rem, sendo vedada a utilização do corte como meio coercitivo de cobrança de dívida alheia.' https://jurisdf.tjdft.jus.br/acordaos/bddf969d-37a2-4b9a-a348-5f4254c2586d B) Proc. 0704095-32.2020.8.07.0011, Rel. Des. James Eduardo Oliveira, j. 03/12/2025; título da ementa: 'OBRIGAÇÃO DE NATUREZA PESSOAL'; item II (literal) em seguida. Atenção: o item II diz 'natureza contratual' e que a responsabilidade 'recai sobre o usuário que solicitou a sua prestação', sem usar a expressão propter rem; sustenta a premissa pela ideia de obrigação do usuário, não do imóvel. https://jurisdf.tjdft.jus.br/acordaos/ba8238c7-59ab-4d0c-a64f-eca74e7e64a7 Pendência (C-67 v47, C-72): o iajus não devolveu o número do acórdão nem a data do DJe de A e B, e o JurisDF bloqueou o acesso da ferramenta; completar na citação e no rodapé da ementa. Voto de acordo com entendimento anterior: Des. Sérgio Rocha, Proc. 0704381-86.2024.8.07.0005, j. 18/03/2026 (débitos pretéritos de água e alteração de titularidade; responsabilidade atribuída à ocupante exclusiva do período; fato distinto, não citado no corpo). Coerência com a Turma (12 meses): nas buscas por 'natureza pessoal/propter rem' e por 'ônus da prova da concessionária' não encontrei acórdão do Des. Sérgio nem da 4ª Turma em sentido contrário; sem comentário de divergência.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1"/>
  <w15:commentEx w15:paraId="6F2A39A2" w15:paraIdParent="448DA02E" w15:done="1"/>
  <w15:commentEx w15:paraId="6DED1F37" w15:paraIdParent="448DA02E" w15:done="1"/>
  <w15:commentEx w15:paraId="53EFD686" w15:done="0"/>
  <w15:commentEx w15:paraId="594D56B0" w15:paraIdParent="53EFD686" w15:done="0"/>
  <w15:commentEx w15:paraId="0323A60D" w15:done="0"/>
  <w15:commentEx w15:paraId="3D3769FB" w15:done="0"/>
  <w15:commentEx w15:paraId="11E99041" w15:done="0"/>
  <w15:commentEx w15:paraId="484FBC25" w15:done="0"/>
  <w15:commentEx w15:paraId="35F1A990" w15:done="0"/>
  <w15:commentEx w15:paraId="1302D627" w15:done="0"/>
  <w15:commentEx w15:paraId="6EDE4BAA" w15:done="0"/>
  <w15:commentEx w15:paraId="6109AD1F" w15:done="0"/>
  <w15:commentEx w15:paraId="4B435B8C" w15:done="0"/>
  <w15:commentEx w15:paraId="721BE92A" w15:done="0"/>
  <w15:commentEx w15:paraId="33CCF242" w15:done="0"/>
  <w15:commentEx w15:paraId="5876AD82" w15:done="0"/>
  <w15:commentEx w15:paraId="5BEB44C4" w15:done="0"/>
  <w15:commentEx w15:paraId="6BBA0CA9" w15:done="0"/>
  <w15:commentEx w15:paraId="5B849A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5686FF1" w16cex:dateUtc="2026-08-27T16:25:00Z"/>
  <w16cex:commentExtensible w16cex:durableId="0C9702B4" w16cex:dateUtc="2026-08-27T20:49:00Z"/>
  <w16cex:commentExtensible w16cex:durableId="1FC94512" w16cex:dateUtc="2026-09-22T19:05:00Z"/>
  <w16cex:commentExtensible w16cex:durableId="7EAC56D9" w16cex:dateUtc="2026-09-24T17:00:00Z"/>
  <w16cex:commentExtensible w16cex:durableId="0323A60D">
    <w16cex:extLst>
      <w16:ext w16:uri="{CE6994B0-6A32-4C9F-8C6B-6E91EDA988CE}">
        <cr:reactions xmlns:cr="http://schemas.microsoft.com/office/comments/2020/reactions">
          <cr:reaction reactionType="1">
            <cr:reactionInfo dateUtc="2026-10-29T20:18:52Z">
              <cr:user userId="S::t321760@tjdft.jus.br::71ef89ef-9eb5-4780-8a4d-3f3a792db9c6" userProvider="AD" userName="Marcos Dwayne Saraiva Costa - GDSXSR"/>
            </cr:reactionInfo>
          </cr:reaction>
        </cr:reactions>
      </w16:ext>
    </w16cex:extLst>
  </w16cex:commentExtensible>
  <w16cex:commentExtensible w16cex:durableId="3D3769FB">
    <w16cex:extLst>
      <w16:ext w16:uri="{CE6994B0-6A32-4C9F-8C6B-6E91EDA988CE}">
        <cr:reactions xmlns:cr="http://schemas.microsoft.com/office/comments/2020/reactions">
          <cr:reaction reactionType="1">
            <cr:reactionInfo dateUtc="2026-10-29T20:18:45Z">
              <cr:user userId="S::t321760@tjdft.jus.br::71ef89ef-9eb5-4780-8a4d-3f3a792db9c6" userProvider="AD" userName="Marcos Dwayne Saraiva Costa - GDSXSR"/>
            </cr:reactionInfo>
          </cr:reaction>
        </cr:reactions>
      </w16:ext>
    </w16cex:extLst>
  </w16cex:commentExtensible>
  <w16cex:commentExtensible w16cex:durableId="11E99041">
    <w16cex:extLst>
      <w16:ext w16:uri="{CE6994B0-6A32-4C9F-8C6B-6E91EDA988CE}">
        <cr:reactions xmlns:cr="http://schemas.microsoft.com/office/comments/2020/reactions">
          <cr:reaction reactionType="1">
            <cr:reactionInfo dateUtc="2026-10-29T20:18:42Z">
              <cr:user userId="S::t321760@tjdft.jus.br::71ef89ef-9eb5-4780-8a4d-3f3a792db9c6" userProvider="AD" userName="Marcos Dwayne Saraiva Costa - GDSXSR"/>
            </cr:reactionInfo>
          </cr:reaction>
        </cr:reactions>
      </w16:ext>
    </w16cex:extLst>
  </w16cex:commentExtensible>
  <w16cex:commentExtensible w16cex:durableId="6EDE4BAA">
    <w16cex:extLst>
      <w16:ext w16:uri="{CE6994B0-6A32-4C9F-8C6B-6E91EDA988CE}">
        <cr:reactions xmlns:cr="http://schemas.microsoft.com/office/comments/2020/reactions">
          <cr:reaction reactionType="1">
            <cr:reactionInfo dateUtc="2026-10-29T20:19:15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6F2A39A2" w16cid:durableId="15686FF1"/>
  <w16cid:commentId w16cid:paraId="6DED1F37" w16cid:durableId="0C9702B4"/>
  <w16cid:commentId w16cid:paraId="53EFD686" w16cid:durableId="1FC94512"/>
  <w16cid:commentId w16cid:paraId="594D56B0" w16cid:durableId="7EAC56D9"/>
  <w16cid:commentId w16cid:paraId="0323A60D" w16cid:durableId="0323A60D"/>
  <w16cid:commentId w16cid:paraId="3D3769FB" w16cid:durableId="3D3769FB"/>
  <w16cid:commentId w16cid:paraId="11E99041" w16cid:durableId="11E99041"/>
  <w16cid:commentId w16cid:paraId="484FBC25" w16cid:durableId="484FBC25"/>
  <w16cid:commentId w16cid:paraId="35F1A990" w16cid:durableId="35F1A990"/>
  <w16cid:commentId w16cid:paraId="1302D627" w16cid:durableId="1302D627"/>
  <w16cid:commentId w16cid:paraId="6EDE4BAA" w16cid:durableId="6EDE4BAA"/>
  <w16cid:commentId w16cid:paraId="6109AD1F" w16cid:durableId="6109AD1F"/>
  <w16cid:commentId w16cid:paraId="4B435B8C" w16cid:durableId="4B435B8C"/>
  <w16cid:commentId w16cid:paraId="721BE92A" w16cid:durableId="721BE92A"/>
  <w16cid:commentId w16cid:paraId="33CCF242" w16cid:durableId="33CCF242"/>
  <w16cid:commentId w16cid:paraId="5876AD82" w16cid:durableId="5876AD82"/>
  <w16cid:commentId w16cid:paraId="5BEB44C4" w16cid:durableId="5BEB44C4"/>
  <w16cid:commentId w16cid:paraId="6BBA0CA9" w16cid:durableId="6BBA0CA9"/>
  <w16cid:commentId w16cid:paraId="5B849A17" w16cid:durableId="5B849A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93D3" w14:textId="77777777" w:rsidR="00067B8A" w:rsidRDefault="00067B8A" w:rsidP="003A42DE">
      <w:pPr>
        <w:spacing w:after="0" w:line="240" w:lineRule="auto"/>
      </w:pPr>
      <w:r>
        <w:separator/>
      </w:r>
    </w:p>
  </w:endnote>
  <w:endnote w:type="continuationSeparator" w:id="0">
    <w:p w14:paraId="7E69E711" w14:textId="77777777" w:rsidR="00067B8A" w:rsidRDefault="00067B8A"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09E57" w14:textId="77777777" w:rsidR="00067B8A" w:rsidRDefault="00067B8A" w:rsidP="003A42DE">
      <w:pPr>
        <w:spacing w:after="0" w:line="240" w:lineRule="auto"/>
      </w:pPr>
      <w:r>
        <w:separator/>
      </w:r>
    </w:p>
  </w:footnote>
  <w:footnote w:type="continuationSeparator" w:id="0">
    <w:p w14:paraId="21B52DC9" w14:textId="77777777" w:rsidR="00067B8A" w:rsidRDefault="00067B8A"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C9835D"/>
    <w:multiLevelType w:val="hybridMultilevel"/>
    <w:tmpl w:val="7F88F254"/>
    <w:lvl w:ilvl="0" w:tplc="3CDC587E">
      <w:start w:val="1"/>
      <w:numFmt w:val="bullet"/>
      <w:lvlText w:val=""/>
      <w:lvlJc w:val="left"/>
      <w:pPr>
        <w:ind w:left="720" w:hanging="360"/>
      </w:pPr>
      <w:rPr>
        <w:rFonts w:ascii="Symbol" w:hAnsi="Symbol" w:hint="default"/>
      </w:rPr>
    </w:lvl>
    <w:lvl w:ilvl="1" w:tplc="46605F4E">
      <w:start w:val="1"/>
      <w:numFmt w:val="bullet"/>
      <w:lvlText w:val="o"/>
      <w:lvlJc w:val="left"/>
      <w:pPr>
        <w:ind w:left="1440" w:hanging="360"/>
      </w:pPr>
      <w:rPr>
        <w:rFonts w:ascii="Courier New" w:hAnsi="Courier New" w:hint="default"/>
      </w:rPr>
    </w:lvl>
    <w:lvl w:ilvl="2" w:tplc="C6100A80">
      <w:start w:val="1"/>
      <w:numFmt w:val="bullet"/>
      <w:lvlText w:val=""/>
      <w:lvlJc w:val="left"/>
      <w:pPr>
        <w:ind w:left="2160" w:hanging="360"/>
      </w:pPr>
      <w:rPr>
        <w:rFonts w:ascii="Wingdings" w:hAnsi="Wingdings" w:hint="default"/>
      </w:rPr>
    </w:lvl>
    <w:lvl w:ilvl="3" w:tplc="158CDB24">
      <w:start w:val="1"/>
      <w:numFmt w:val="bullet"/>
      <w:lvlText w:val=""/>
      <w:lvlJc w:val="left"/>
      <w:pPr>
        <w:ind w:left="2880" w:hanging="360"/>
      </w:pPr>
      <w:rPr>
        <w:rFonts w:ascii="Symbol" w:hAnsi="Symbol" w:hint="default"/>
      </w:rPr>
    </w:lvl>
    <w:lvl w:ilvl="4" w:tplc="8668D948">
      <w:start w:val="1"/>
      <w:numFmt w:val="bullet"/>
      <w:lvlText w:val="o"/>
      <w:lvlJc w:val="left"/>
      <w:pPr>
        <w:ind w:left="3600" w:hanging="360"/>
      </w:pPr>
      <w:rPr>
        <w:rFonts w:ascii="Courier New" w:hAnsi="Courier New" w:hint="default"/>
      </w:rPr>
    </w:lvl>
    <w:lvl w:ilvl="5" w:tplc="45CE48A0">
      <w:start w:val="1"/>
      <w:numFmt w:val="bullet"/>
      <w:lvlText w:val=""/>
      <w:lvlJc w:val="left"/>
      <w:pPr>
        <w:ind w:left="4320" w:hanging="360"/>
      </w:pPr>
      <w:rPr>
        <w:rFonts w:ascii="Wingdings" w:hAnsi="Wingdings" w:hint="default"/>
      </w:rPr>
    </w:lvl>
    <w:lvl w:ilvl="6" w:tplc="B99E656C">
      <w:start w:val="1"/>
      <w:numFmt w:val="bullet"/>
      <w:lvlText w:val=""/>
      <w:lvlJc w:val="left"/>
      <w:pPr>
        <w:ind w:left="5040" w:hanging="360"/>
      </w:pPr>
      <w:rPr>
        <w:rFonts w:ascii="Symbol" w:hAnsi="Symbol" w:hint="default"/>
      </w:rPr>
    </w:lvl>
    <w:lvl w:ilvl="7" w:tplc="76367CBE">
      <w:start w:val="1"/>
      <w:numFmt w:val="bullet"/>
      <w:lvlText w:val="o"/>
      <w:lvlJc w:val="left"/>
      <w:pPr>
        <w:ind w:left="5760" w:hanging="360"/>
      </w:pPr>
      <w:rPr>
        <w:rFonts w:ascii="Courier New" w:hAnsi="Courier New" w:hint="default"/>
      </w:rPr>
    </w:lvl>
    <w:lvl w:ilvl="8" w:tplc="F4B4481C">
      <w:start w:val="1"/>
      <w:numFmt w:val="bullet"/>
      <w:lvlText w:val=""/>
      <w:lvlJc w:val="left"/>
      <w:pPr>
        <w:ind w:left="6480" w:hanging="360"/>
      </w:pPr>
      <w:rPr>
        <w:rFonts w:ascii="Wingdings" w:hAnsi="Wingdings" w:hint="default"/>
      </w:r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D9E7CE9"/>
    <w:multiLevelType w:val="hybridMultilevel"/>
    <w:tmpl w:val="7AF0D1AA"/>
    <w:lvl w:ilvl="0" w:tplc="FC9811D6">
      <w:start w:val="1"/>
      <w:numFmt w:val="bullet"/>
      <w:lvlText w:val=""/>
      <w:lvlJc w:val="left"/>
      <w:pPr>
        <w:ind w:left="720" w:hanging="360"/>
      </w:pPr>
      <w:rPr>
        <w:rFonts w:ascii="Symbol" w:hAnsi="Symbol" w:hint="default"/>
      </w:rPr>
    </w:lvl>
    <w:lvl w:ilvl="1" w:tplc="7A3AA864">
      <w:start w:val="1"/>
      <w:numFmt w:val="bullet"/>
      <w:lvlText w:val="o"/>
      <w:lvlJc w:val="left"/>
      <w:pPr>
        <w:ind w:left="1440" w:hanging="360"/>
      </w:pPr>
      <w:rPr>
        <w:rFonts w:ascii="Courier New" w:hAnsi="Courier New" w:hint="default"/>
      </w:rPr>
    </w:lvl>
    <w:lvl w:ilvl="2" w:tplc="A5D68992">
      <w:start w:val="1"/>
      <w:numFmt w:val="bullet"/>
      <w:lvlText w:val=""/>
      <w:lvlJc w:val="left"/>
      <w:pPr>
        <w:ind w:left="2160" w:hanging="360"/>
      </w:pPr>
      <w:rPr>
        <w:rFonts w:ascii="Wingdings" w:hAnsi="Wingdings" w:hint="default"/>
      </w:rPr>
    </w:lvl>
    <w:lvl w:ilvl="3" w:tplc="2DB4D0DC">
      <w:start w:val="1"/>
      <w:numFmt w:val="bullet"/>
      <w:lvlText w:val=""/>
      <w:lvlJc w:val="left"/>
      <w:pPr>
        <w:ind w:left="2880" w:hanging="360"/>
      </w:pPr>
      <w:rPr>
        <w:rFonts w:ascii="Symbol" w:hAnsi="Symbol" w:hint="default"/>
      </w:rPr>
    </w:lvl>
    <w:lvl w:ilvl="4" w:tplc="384AD274">
      <w:start w:val="1"/>
      <w:numFmt w:val="bullet"/>
      <w:lvlText w:val="o"/>
      <w:lvlJc w:val="left"/>
      <w:pPr>
        <w:ind w:left="3600" w:hanging="360"/>
      </w:pPr>
      <w:rPr>
        <w:rFonts w:ascii="Courier New" w:hAnsi="Courier New" w:hint="default"/>
      </w:rPr>
    </w:lvl>
    <w:lvl w:ilvl="5" w:tplc="56545DC0">
      <w:start w:val="1"/>
      <w:numFmt w:val="bullet"/>
      <w:lvlText w:val=""/>
      <w:lvlJc w:val="left"/>
      <w:pPr>
        <w:ind w:left="4320" w:hanging="360"/>
      </w:pPr>
      <w:rPr>
        <w:rFonts w:ascii="Wingdings" w:hAnsi="Wingdings" w:hint="default"/>
      </w:rPr>
    </w:lvl>
    <w:lvl w:ilvl="6" w:tplc="F8E28C30">
      <w:start w:val="1"/>
      <w:numFmt w:val="bullet"/>
      <w:lvlText w:val=""/>
      <w:lvlJc w:val="left"/>
      <w:pPr>
        <w:ind w:left="5040" w:hanging="360"/>
      </w:pPr>
      <w:rPr>
        <w:rFonts w:ascii="Symbol" w:hAnsi="Symbol" w:hint="default"/>
      </w:rPr>
    </w:lvl>
    <w:lvl w:ilvl="7" w:tplc="6FA21656">
      <w:start w:val="1"/>
      <w:numFmt w:val="bullet"/>
      <w:lvlText w:val="o"/>
      <w:lvlJc w:val="left"/>
      <w:pPr>
        <w:ind w:left="5760" w:hanging="360"/>
      </w:pPr>
      <w:rPr>
        <w:rFonts w:ascii="Courier New" w:hAnsi="Courier New" w:hint="default"/>
      </w:rPr>
    </w:lvl>
    <w:lvl w:ilvl="8" w:tplc="3E9EABAA">
      <w:start w:val="1"/>
      <w:numFmt w:val="bullet"/>
      <w:lvlText w:val=""/>
      <w:lvlJc w:val="left"/>
      <w:pPr>
        <w:ind w:left="6480" w:hanging="360"/>
      </w:pPr>
      <w:rPr>
        <w:rFonts w:ascii="Wingdings" w:hAnsi="Wingdings" w:hint="default"/>
      </w:rPr>
    </w:lvl>
  </w:abstractNum>
  <w:abstractNum w:abstractNumId="5"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78F3603"/>
    <w:multiLevelType w:val="hybridMultilevel"/>
    <w:tmpl w:val="BFB4F8BA"/>
    <w:lvl w:ilvl="0" w:tplc="7E40ED86">
      <w:start w:val="8"/>
      <w:numFmt w:val="decimal"/>
      <w:lvlText w:val="%1."/>
      <w:lvlJc w:val="left"/>
      <w:pPr>
        <w:ind w:left="720" w:hanging="360"/>
      </w:pPr>
    </w:lvl>
    <w:lvl w:ilvl="1" w:tplc="B3D8DE9A">
      <w:start w:val="1"/>
      <w:numFmt w:val="lowerLetter"/>
      <w:lvlText w:val="%2."/>
      <w:lvlJc w:val="left"/>
      <w:pPr>
        <w:ind w:left="1440" w:hanging="360"/>
      </w:pPr>
    </w:lvl>
    <w:lvl w:ilvl="2" w:tplc="4E72C3FE">
      <w:start w:val="1"/>
      <w:numFmt w:val="lowerRoman"/>
      <w:lvlText w:val="%3."/>
      <w:lvlJc w:val="right"/>
      <w:pPr>
        <w:ind w:left="2160" w:hanging="180"/>
      </w:pPr>
    </w:lvl>
    <w:lvl w:ilvl="3" w:tplc="7E24B6FE">
      <w:start w:val="1"/>
      <w:numFmt w:val="decimal"/>
      <w:lvlText w:val="%4."/>
      <w:lvlJc w:val="left"/>
      <w:pPr>
        <w:ind w:left="2880" w:hanging="360"/>
      </w:pPr>
    </w:lvl>
    <w:lvl w:ilvl="4" w:tplc="E15E8D14">
      <w:start w:val="1"/>
      <w:numFmt w:val="lowerLetter"/>
      <w:lvlText w:val="%5."/>
      <w:lvlJc w:val="left"/>
      <w:pPr>
        <w:ind w:left="3600" w:hanging="360"/>
      </w:pPr>
    </w:lvl>
    <w:lvl w:ilvl="5" w:tplc="D3E0B258">
      <w:start w:val="1"/>
      <w:numFmt w:val="lowerRoman"/>
      <w:lvlText w:val="%6."/>
      <w:lvlJc w:val="right"/>
      <w:pPr>
        <w:ind w:left="4320" w:hanging="180"/>
      </w:pPr>
    </w:lvl>
    <w:lvl w:ilvl="6" w:tplc="47FE4B90">
      <w:start w:val="1"/>
      <w:numFmt w:val="decimal"/>
      <w:lvlText w:val="%7."/>
      <w:lvlJc w:val="left"/>
      <w:pPr>
        <w:ind w:left="5040" w:hanging="360"/>
      </w:pPr>
    </w:lvl>
    <w:lvl w:ilvl="7" w:tplc="4CE09D8E">
      <w:start w:val="1"/>
      <w:numFmt w:val="lowerLetter"/>
      <w:lvlText w:val="%8."/>
      <w:lvlJc w:val="left"/>
      <w:pPr>
        <w:ind w:left="5760" w:hanging="360"/>
      </w:pPr>
    </w:lvl>
    <w:lvl w:ilvl="8" w:tplc="ED3A908A">
      <w:start w:val="1"/>
      <w:numFmt w:val="lowerRoman"/>
      <w:lvlText w:val="%9."/>
      <w:lvlJc w:val="right"/>
      <w:pPr>
        <w:ind w:left="6480" w:hanging="180"/>
      </w:pPr>
    </w:lvl>
  </w:abstractNum>
  <w:abstractNum w:abstractNumId="7" w15:restartNumberingAfterBreak="0">
    <w:nsid w:val="391192A7"/>
    <w:multiLevelType w:val="hybridMultilevel"/>
    <w:tmpl w:val="75DE4BAE"/>
    <w:lvl w:ilvl="0" w:tplc="C18E10FC">
      <w:start w:val="6"/>
      <w:numFmt w:val="decimal"/>
      <w:lvlText w:val="%1."/>
      <w:lvlJc w:val="left"/>
      <w:pPr>
        <w:ind w:left="720" w:hanging="360"/>
      </w:pPr>
    </w:lvl>
    <w:lvl w:ilvl="1" w:tplc="F6720644">
      <w:start w:val="1"/>
      <w:numFmt w:val="lowerLetter"/>
      <w:lvlText w:val="%2."/>
      <w:lvlJc w:val="left"/>
      <w:pPr>
        <w:ind w:left="1440" w:hanging="360"/>
      </w:pPr>
    </w:lvl>
    <w:lvl w:ilvl="2" w:tplc="B4F6D734">
      <w:start w:val="1"/>
      <w:numFmt w:val="lowerRoman"/>
      <w:lvlText w:val="%3."/>
      <w:lvlJc w:val="right"/>
      <w:pPr>
        <w:ind w:left="2160" w:hanging="180"/>
      </w:pPr>
    </w:lvl>
    <w:lvl w:ilvl="3" w:tplc="A33259B4">
      <w:start w:val="1"/>
      <w:numFmt w:val="decimal"/>
      <w:lvlText w:val="%4."/>
      <w:lvlJc w:val="left"/>
      <w:pPr>
        <w:ind w:left="2880" w:hanging="360"/>
      </w:pPr>
    </w:lvl>
    <w:lvl w:ilvl="4" w:tplc="CBB8EECC">
      <w:start w:val="1"/>
      <w:numFmt w:val="lowerLetter"/>
      <w:lvlText w:val="%5."/>
      <w:lvlJc w:val="left"/>
      <w:pPr>
        <w:ind w:left="3600" w:hanging="360"/>
      </w:pPr>
    </w:lvl>
    <w:lvl w:ilvl="5" w:tplc="8CD4198C">
      <w:start w:val="1"/>
      <w:numFmt w:val="lowerRoman"/>
      <w:lvlText w:val="%6."/>
      <w:lvlJc w:val="right"/>
      <w:pPr>
        <w:ind w:left="4320" w:hanging="180"/>
      </w:pPr>
    </w:lvl>
    <w:lvl w:ilvl="6" w:tplc="83885BBC">
      <w:start w:val="1"/>
      <w:numFmt w:val="decimal"/>
      <w:lvlText w:val="%7."/>
      <w:lvlJc w:val="left"/>
      <w:pPr>
        <w:ind w:left="5040" w:hanging="360"/>
      </w:pPr>
    </w:lvl>
    <w:lvl w:ilvl="7" w:tplc="C9B82180">
      <w:start w:val="1"/>
      <w:numFmt w:val="lowerLetter"/>
      <w:lvlText w:val="%8."/>
      <w:lvlJc w:val="left"/>
      <w:pPr>
        <w:ind w:left="5760" w:hanging="360"/>
      </w:pPr>
    </w:lvl>
    <w:lvl w:ilvl="8" w:tplc="73561594">
      <w:start w:val="1"/>
      <w:numFmt w:val="lowerRoman"/>
      <w:lvlText w:val="%9."/>
      <w:lvlJc w:val="right"/>
      <w:pPr>
        <w:ind w:left="6480" w:hanging="180"/>
      </w:pPr>
    </w:lvl>
  </w:abstractNum>
  <w:abstractNum w:abstractNumId="8" w15:restartNumberingAfterBreak="0">
    <w:nsid w:val="3FA25B0D"/>
    <w:multiLevelType w:val="hybridMultilevel"/>
    <w:tmpl w:val="D464A2B8"/>
    <w:lvl w:ilvl="0" w:tplc="116A60F8">
      <w:start w:val="3"/>
      <w:numFmt w:val="decimal"/>
      <w:lvlText w:val="%1."/>
      <w:lvlJc w:val="left"/>
      <w:pPr>
        <w:ind w:left="720" w:hanging="360"/>
      </w:pPr>
    </w:lvl>
    <w:lvl w:ilvl="1" w:tplc="A3D0E07C">
      <w:start w:val="1"/>
      <w:numFmt w:val="lowerLetter"/>
      <w:lvlText w:val="%2."/>
      <w:lvlJc w:val="left"/>
      <w:pPr>
        <w:ind w:left="1440" w:hanging="360"/>
      </w:pPr>
    </w:lvl>
    <w:lvl w:ilvl="2" w:tplc="9AD67554">
      <w:start w:val="1"/>
      <w:numFmt w:val="lowerRoman"/>
      <w:lvlText w:val="%3."/>
      <w:lvlJc w:val="right"/>
      <w:pPr>
        <w:ind w:left="2160" w:hanging="180"/>
      </w:pPr>
    </w:lvl>
    <w:lvl w:ilvl="3" w:tplc="8C923D6C">
      <w:start w:val="1"/>
      <w:numFmt w:val="decimal"/>
      <w:lvlText w:val="%4."/>
      <w:lvlJc w:val="left"/>
      <w:pPr>
        <w:ind w:left="2880" w:hanging="360"/>
      </w:pPr>
    </w:lvl>
    <w:lvl w:ilvl="4" w:tplc="DAC8CA98">
      <w:start w:val="1"/>
      <w:numFmt w:val="lowerLetter"/>
      <w:lvlText w:val="%5."/>
      <w:lvlJc w:val="left"/>
      <w:pPr>
        <w:ind w:left="3600" w:hanging="360"/>
      </w:pPr>
    </w:lvl>
    <w:lvl w:ilvl="5" w:tplc="BEA8D54A">
      <w:start w:val="1"/>
      <w:numFmt w:val="lowerRoman"/>
      <w:lvlText w:val="%6."/>
      <w:lvlJc w:val="right"/>
      <w:pPr>
        <w:ind w:left="4320" w:hanging="180"/>
      </w:pPr>
    </w:lvl>
    <w:lvl w:ilvl="6" w:tplc="163C68A2">
      <w:start w:val="1"/>
      <w:numFmt w:val="decimal"/>
      <w:lvlText w:val="%7."/>
      <w:lvlJc w:val="left"/>
      <w:pPr>
        <w:ind w:left="5040" w:hanging="360"/>
      </w:pPr>
    </w:lvl>
    <w:lvl w:ilvl="7" w:tplc="8DD4A920">
      <w:start w:val="1"/>
      <w:numFmt w:val="lowerLetter"/>
      <w:lvlText w:val="%8."/>
      <w:lvlJc w:val="left"/>
      <w:pPr>
        <w:ind w:left="5760" w:hanging="360"/>
      </w:pPr>
    </w:lvl>
    <w:lvl w:ilvl="8" w:tplc="AB7C5A18">
      <w:start w:val="1"/>
      <w:numFmt w:val="lowerRoman"/>
      <w:lvlText w:val="%9."/>
      <w:lvlJc w:val="right"/>
      <w:pPr>
        <w:ind w:left="6480" w:hanging="180"/>
      </w:pPr>
    </w:lvl>
  </w:abstractNum>
  <w:abstractNum w:abstractNumId="9" w15:restartNumberingAfterBreak="0">
    <w:nsid w:val="49DBB422"/>
    <w:multiLevelType w:val="hybridMultilevel"/>
    <w:tmpl w:val="8FEAA1BE"/>
    <w:lvl w:ilvl="0" w:tplc="9BD81EC8">
      <w:start w:val="1"/>
      <w:numFmt w:val="decimal"/>
      <w:lvlText w:val="%1."/>
      <w:lvlJc w:val="left"/>
      <w:pPr>
        <w:ind w:left="720" w:hanging="360"/>
      </w:pPr>
    </w:lvl>
    <w:lvl w:ilvl="1" w:tplc="220462CA">
      <w:start w:val="1"/>
      <w:numFmt w:val="lowerLetter"/>
      <w:lvlText w:val="%2."/>
      <w:lvlJc w:val="left"/>
      <w:pPr>
        <w:ind w:left="1440" w:hanging="360"/>
      </w:pPr>
    </w:lvl>
    <w:lvl w:ilvl="2" w:tplc="4A204674">
      <w:start w:val="1"/>
      <w:numFmt w:val="lowerRoman"/>
      <w:lvlText w:val="%3."/>
      <w:lvlJc w:val="right"/>
      <w:pPr>
        <w:ind w:left="2160" w:hanging="180"/>
      </w:pPr>
    </w:lvl>
    <w:lvl w:ilvl="3" w:tplc="4094FBE8">
      <w:start w:val="1"/>
      <w:numFmt w:val="decimal"/>
      <w:lvlText w:val="%4."/>
      <w:lvlJc w:val="left"/>
      <w:pPr>
        <w:ind w:left="2880" w:hanging="360"/>
      </w:pPr>
    </w:lvl>
    <w:lvl w:ilvl="4" w:tplc="9C7A6674">
      <w:start w:val="1"/>
      <w:numFmt w:val="lowerLetter"/>
      <w:lvlText w:val="%5."/>
      <w:lvlJc w:val="left"/>
      <w:pPr>
        <w:ind w:left="3600" w:hanging="360"/>
      </w:pPr>
    </w:lvl>
    <w:lvl w:ilvl="5" w:tplc="CE82069A">
      <w:start w:val="1"/>
      <w:numFmt w:val="lowerRoman"/>
      <w:lvlText w:val="%6."/>
      <w:lvlJc w:val="right"/>
      <w:pPr>
        <w:ind w:left="4320" w:hanging="180"/>
      </w:pPr>
    </w:lvl>
    <w:lvl w:ilvl="6" w:tplc="7F5416B0">
      <w:start w:val="1"/>
      <w:numFmt w:val="decimal"/>
      <w:lvlText w:val="%7."/>
      <w:lvlJc w:val="left"/>
      <w:pPr>
        <w:ind w:left="5040" w:hanging="360"/>
      </w:pPr>
    </w:lvl>
    <w:lvl w:ilvl="7" w:tplc="DF509A6A">
      <w:start w:val="1"/>
      <w:numFmt w:val="lowerLetter"/>
      <w:lvlText w:val="%8."/>
      <w:lvlJc w:val="left"/>
      <w:pPr>
        <w:ind w:left="5760" w:hanging="360"/>
      </w:pPr>
    </w:lvl>
    <w:lvl w:ilvl="8" w:tplc="3BEC2208">
      <w:start w:val="1"/>
      <w:numFmt w:val="lowerRoman"/>
      <w:lvlText w:val="%9."/>
      <w:lvlJc w:val="right"/>
      <w:pPr>
        <w:ind w:left="6480" w:hanging="180"/>
      </w:pPr>
    </w:lvl>
  </w:abstractNum>
  <w:abstractNum w:abstractNumId="10" w15:restartNumberingAfterBreak="0">
    <w:nsid w:val="5B809874"/>
    <w:multiLevelType w:val="hybridMultilevel"/>
    <w:tmpl w:val="932ED884"/>
    <w:lvl w:ilvl="0" w:tplc="BD70F742">
      <w:start w:val="1"/>
      <w:numFmt w:val="upperLetter"/>
      <w:lvlText w:val="%1)"/>
      <w:lvlJc w:val="left"/>
      <w:pPr>
        <w:ind w:left="3762" w:hanging="360"/>
      </w:pPr>
    </w:lvl>
    <w:lvl w:ilvl="1" w:tplc="542206A4">
      <w:start w:val="1"/>
      <w:numFmt w:val="lowerLetter"/>
      <w:lvlText w:val="%2."/>
      <w:lvlJc w:val="left"/>
      <w:pPr>
        <w:ind w:left="4482" w:hanging="360"/>
      </w:pPr>
    </w:lvl>
    <w:lvl w:ilvl="2" w:tplc="40B6FB36">
      <w:start w:val="1"/>
      <w:numFmt w:val="lowerRoman"/>
      <w:lvlText w:val="%3."/>
      <w:lvlJc w:val="right"/>
      <w:pPr>
        <w:ind w:left="5202" w:hanging="180"/>
      </w:pPr>
    </w:lvl>
    <w:lvl w:ilvl="3" w:tplc="0068E222">
      <w:start w:val="1"/>
      <w:numFmt w:val="decimal"/>
      <w:lvlText w:val="%4."/>
      <w:lvlJc w:val="left"/>
      <w:pPr>
        <w:ind w:left="5922" w:hanging="360"/>
      </w:pPr>
    </w:lvl>
    <w:lvl w:ilvl="4" w:tplc="C73CBFCC">
      <w:start w:val="1"/>
      <w:numFmt w:val="lowerLetter"/>
      <w:lvlText w:val="%5."/>
      <w:lvlJc w:val="left"/>
      <w:pPr>
        <w:ind w:left="6642" w:hanging="360"/>
      </w:pPr>
    </w:lvl>
    <w:lvl w:ilvl="5" w:tplc="7C728CA0">
      <w:start w:val="1"/>
      <w:numFmt w:val="lowerRoman"/>
      <w:lvlText w:val="%6."/>
      <w:lvlJc w:val="right"/>
      <w:pPr>
        <w:ind w:left="7362" w:hanging="180"/>
      </w:pPr>
    </w:lvl>
    <w:lvl w:ilvl="6" w:tplc="50CAEBB4">
      <w:start w:val="1"/>
      <w:numFmt w:val="decimal"/>
      <w:lvlText w:val="%7."/>
      <w:lvlJc w:val="left"/>
      <w:pPr>
        <w:ind w:left="8082" w:hanging="360"/>
      </w:pPr>
    </w:lvl>
    <w:lvl w:ilvl="7" w:tplc="ED7E99C6">
      <w:start w:val="1"/>
      <w:numFmt w:val="lowerLetter"/>
      <w:lvlText w:val="%8."/>
      <w:lvlJc w:val="left"/>
      <w:pPr>
        <w:ind w:left="8802" w:hanging="360"/>
      </w:pPr>
    </w:lvl>
    <w:lvl w:ilvl="8" w:tplc="C5AA864A">
      <w:start w:val="1"/>
      <w:numFmt w:val="lowerRoman"/>
      <w:lvlText w:val="%9."/>
      <w:lvlJc w:val="right"/>
      <w:pPr>
        <w:ind w:left="9522" w:hanging="18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1122A95"/>
    <w:multiLevelType w:val="hybridMultilevel"/>
    <w:tmpl w:val="2FA65E12"/>
    <w:lvl w:ilvl="0" w:tplc="35763AAE">
      <w:start w:val="9"/>
      <w:numFmt w:val="decimal"/>
      <w:lvlText w:val="%1."/>
      <w:lvlJc w:val="left"/>
      <w:pPr>
        <w:ind w:left="720" w:hanging="360"/>
      </w:pPr>
    </w:lvl>
    <w:lvl w:ilvl="1" w:tplc="98C65C84">
      <w:start w:val="1"/>
      <w:numFmt w:val="lowerLetter"/>
      <w:lvlText w:val="%2."/>
      <w:lvlJc w:val="left"/>
      <w:pPr>
        <w:ind w:left="1440" w:hanging="360"/>
      </w:pPr>
    </w:lvl>
    <w:lvl w:ilvl="2" w:tplc="9716C6EE">
      <w:start w:val="1"/>
      <w:numFmt w:val="lowerRoman"/>
      <w:lvlText w:val="%3."/>
      <w:lvlJc w:val="right"/>
      <w:pPr>
        <w:ind w:left="2160" w:hanging="180"/>
      </w:pPr>
    </w:lvl>
    <w:lvl w:ilvl="3" w:tplc="2C283FE2">
      <w:start w:val="1"/>
      <w:numFmt w:val="decimal"/>
      <w:lvlText w:val="%4."/>
      <w:lvlJc w:val="left"/>
      <w:pPr>
        <w:ind w:left="2880" w:hanging="360"/>
      </w:pPr>
    </w:lvl>
    <w:lvl w:ilvl="4" w:tplc="54DCF43C">
      <w:start w:val="1"/>
      <w:numFmt w:val="lowerLetter"/>
      <w:lvlText w:val="%5."/>
      <w:lvlJc w:val="left"/>
      <w:pPr>
        <w:ind w:left="3600" w:hanging="360"/>
      </w:pPr>
    </w:lvl>
    <w:lvl w:ilvl="5" w:tplc="25E29C14">
      <w:start w:val="1"/>
      <w:numFmt w:val="lowerRoman"/>
      <w:lvlText w:val="%6."/>
      <w:lvlJc w:val="right"/>
      <w:pPr>
        <w:ind w:left="4320" w:hanging="180"/>
      </w:pPr>
    </w:lvl>
    <w:lvl w:ilvl="6" w:tplc="34D42D72">
      <w:start w:val="1"/>
      <w:numFmt w:val="decimal"/>
      <w:lvlText w:val="%7."/>
      <w:lvlJc w:val="left"/>
      <w:pPr>
        <w:ind w:left="5040" w:hanging="360"/>
      </w:pPr>
    </w:lvl>
    <w:lvl w:ilvl="7" w:tplc="D7BE341A">
      <w:start w:val="1"/>
      <w:numFmt w:val="lowerLetter"/>
      <w:lvlText w:val="%8."/>
      <w:lvlJc w:val="left"/>
      <w:pPr>
        <w:ind w:left="5760" w:hanging="360"/>
      </w:pPr>
    </w:lvl>
    <w:lvl w:ilvl="8" w:tplc="12EC4816">
      <w:start w:val="1"/>
      <w:numFmt w:val="lowerRoman"/>
      <w:lvlText w:val="%9."/>
      <w:lvlJc w:val="right"/>
      <w:pPr>
        <w:ind w:left="6480" w:hanging="180"/>
      </w:pPr>
    </w:lvl>
  </w:abstractNum>
  <w:abstractNum w:abstractNumId="13" w15:restartNumberingAfterBreak="0">
    <w:nsid w:val="635EAD90"/>
    <w:multiLevelType w:val="hybridMultilevel"/>
    <w:tmpl w:val="7DE8BD7E"/>
    <w:lvl w:ilvl="0" w:tplc="0B6A2580">
      <w:start w:val="2"/>
      <w:numFmt w:val="decimal"/>
      <w:lvlText w:val="%1."/>
      <w:lvlJc w:val="left"/>
      <w:pPr>
        <w:ind w:left="720" w:hanging="360"/>
      </w:pPr>
    </w:lvl>
    <w:lvl w:ilvl="1" w:tplc="0206F668">
      <w:start w:val="1"/>
      <w:numFmt w:val="lowerLetter"/>
      <w:lvlText w:val="%2."/>
      <w:lvlJc w:val="left"/>
      <w:pPr>
        <w:ind w:left="1440" w:hanging="360"/>
      </w:pPr>
    </w:lvl>
    <w:lvl w:ilvl="2" w:tplc="A6FC8B38">
      <w:start w:val="1"/>
      <w:numFmt w:val="lowerRoman"/>
      <w:lvlText w:val="%3."/>
      <w:lvlJc w:val="right"/>
      <w:pPr>
        <w:ind w:left="2160" w:hanging="180"/>
      </w:pPr>
    </w:lvl>
    <w:lvl w:ilvl="3" w:tplc="7B4464BA">
      <w:start w:val="1"/>
      <w:numFmt w:val="decimal"/>
      <w:lvlText w:val="%4."/>
      <w:lvlJc w:val="left"/>
      <w:pPr>
        <w:ind w:left="2880" w:hanging="360"/>
      </w:pPr>
    </w:lvl>
    <w:lvl w:ilvl="4" w:tplc="B84E252E">
      <w:start w:val="1"/>
      <w:numFmt w:val="lowerLetter"/>
      <w:lvlText w:val="%5."/>
      <w:lvlJc w:val="left"/>
      <w:pPr>
        <w:ind w:left="3600" w:hanging="360"/>
      </w:pPr>
    </w:lvl>
    <w:lvl w:ilvl="5" w:tplc="A1941EEA">
      <w:start w:val="1"/>
      <w:numFmt w:val="lowerRoman"/>
      <w:lvlText w:val="%6."/>
      <w:lvlJc w:val="right"/>
      <w:pPr>
        <w:ind w:left="4320" w:hanging="180"/>
      </w:pPr>
    </w:lvl>
    <w:lvl w:ilvl="6" w:tplc="51188496">
      <w:start w:val="1"/>
      <w:numFmt w:val="decimal"/>
      <w:lvlText w:val="%7."/>
      <w:lvlJc w:val="left"/>
      <w:pPr>
        <w:ind w:left="5040" w:hanging="360"/>
      </w:pPr>
    </w:lvl>
    <w:lvl w:ilvl="7" w:tplc="D7B84716">
      <w:start w:val="1"/>
      <w:numFmt w:val="lowerLetter"/>
      <w:lvlText w:val="%8."/>
      <w:lvlJc w:val="left"/>
      <w:pPr>
        <w:ind w:left="5760" w:hanging="360"/>
      </w:pPr>
    </w:lvl>
    <w:lvl w:ilvl="8" w:tplc="8DDCA286">
      <w:start w:val="1"/>
      <w:numFmt w:val="lowerRoman"/>
      <w:lvlText w:val="%9."/>
      <w:lvlJc w:val="right"/>
      <w:pPr>
        <w:ind w:left="6480" w:hanging="180"/>
      </w:pPr>
    </w:lvl>
  </w:abstractNum>
  <w:num w:numId="1" w16cid:durableId="1097597342">
    <w:abstractNumId w:val="12"/>
  </w:num>
  <w:num w:numId="2" w16cid:durableId="118036675">
    <w:abstractNumId w:val="6"/>
  </w:num>
  <w:num w:numId="3" w16cid:durableId="2065181996">
    <w:abstractNumId w:val="7"/>
  </w:num>
  <w:num w:numId="4" w16cid:durableId="1810900861">
    <w:abstractNumId w:val="8"/>
  </w:num>
  <w:num w:numId="5" w16cid:durableId="1978560798">
    <w:abstractNumId w:val="13"/>
  </w:num>
  <w:num w:numId="6" w16cid:durableId="709955232">
    <w:abstractNumId w:val="9"/>
  </w:num>
  <w:num w:numId="7" w16cid:durableId="808279409">
    <w:abstractNumId w:val="4"/>
  </w:num>
  <w:num w:numId="8" w16cid:durableId="1663193787">
    <w:abstractNumId w:val="1"/>
  </w:num>
  <w:num w:numId="9" w16cid:durableId="1020474385">
    <w:abstractNumId w:val="10"/>
  </w:num>
  <w:num w:numId="10" w16cid:durableId="1892040057">
    <w:abstractNumId w:val="2"/>
  </w:num>
  <w:num w:numId="11" w16cid:durableId="1365403601">
    <w:abstractNumId w:val="0"/>
  </w:num>
  <w:num w:numId="12" w16cid:durableId="1699744316">
    <w:abstractNumId w:val="11"/>
  </w:num>
  <w:num w:numId="13" w16cid:durableId="1036810075">
    <w:abstractNumId w:val="3"/>
  </w:num>
  <w:num w:numId="14" w16cid:durableId="18811670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rson w15:author="Lorena Cardoso Ávila Niemeyer - GDACA">
    <w15:presenceInfo w15:providerId="AD" w15:userId="S::t319383@tjdft.jus.br::7c88176c-1282-4218-896b-4b7b926c4e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2596"/>
    <w:rsid w:val="0002189B"/>
    <w:rsid w:val="000229D4"/>
    <w:rsid w:val="0002738F"/>
    <w:rsid w:val="00033421"/>
    <w:rsid w:val="00033AFD"/>
    <w:rsid w:val="00036B36"/>
    <w:rsid w:val="00041063"/>
    <w:rsid w:val="00045242"/>
    <w:rsid w:val="000474CA"/>
    <w:rsid w:val="00052AE3"/>
    <w:rsid w:val="0006080C"/>
    <w:rsid w:val="000619E0"/>
    <w:rsid w:val="00064301"/>
    <w:rsid w:val="00067B8A"/>
    <w:rsid w:val="00071455"/>
    <w:rsid w:val="00074B53"/>
    <w:rsid w:val="00076D7D"/>
    <w:rsid w:val="00080A11"/>
    <w:rsid w:val="000839F9"/>
    <w:rsid w:val="0009174A"/>
    <w:rsid w:val="00091ABC"/>
    <w:rsid w:val="000951D5"/>
    <w:rsid w:val="00096544"/>
    <w:rsid w:val="00097BBF"/>
    <w:rsid w:val="000A1352"/>
    <w:rsid w:val="000A22DA"/>
    <w:rsid w:val="000A7009"/>
    <w:rsid w:val="000B0FC6"/>
    <w:rsid w:val="000B1659"/>
    <w:rsid w:val="000B7AF7"/>
    <w:rsid w:val="000C7A0F"/>
    <w:rsid w:val="000D2E62"/>
    <w:rsid w:val="000D59B2"/>
    <w:rsid w:val="000E3106"/>
    <w:rsid w:val="000E6E19"/>
    <w:rsid w:val="000F08E8"/>
    <w:rsid w:val="000F1358"/>
    <w:rsid w:val="000F1817"/>
    <w:rsid w:val="000F19EB"/>
    <w:rsid w:val="000F1B93"/>
    <w:rsid w:val="000F49CD"/>
    <w:rsid w:val="000F6570"/>
    <w:rsid w:val="000F7187"/>
    <w:rsid w:val="001009CC"/>
    <w:rsid w:val="00107928"/>
    <w:rsid w:val="00111C2B"/>
    <w:rsid w:val="00115074"/>
    <w:rsid w:val="0011527A"/>
    <w:rsid w:val="00115458"/>
    <w:rsid w:val="00115569"/>
    <w:rsid w:val="00120BBB"/>
    <w:rsid w:val="00122133"/>
    <w:rsid w:val="00125329"/>
    <w:rsid w:val="00126195"/>
    <w:rsid w:val="00126492"/>
    <w:rsid w:val="00131A63"/>
    <w:rsid w:val="00137A7E"/>
    <w:rsid w:val="001510C1"/>
    <w:rsid w:val="00151611"/>
    <w:rsid w:val="00155A95"/>
    <w:rsid w:val="00155BC4"/>
    <w:rsid w:val="00157247"/>
    <w:rsid w:val="00161CD2"/>
    <w:rsid w:val="00166A9A"/>
    <w:rsid w:val="001676A4"/>
    <w:rsid w:val="00167F3A"/>
    <w:rsid w:val="00174E46"/>
    <w:rsid w:val="00175B22"/>
    <w:rsid w:val="001801E9"/>
    <w:rsid w:val="00183B77"/>
    <w:rsid w:val="00187598"/>
    <w:rsid w:val="001939F3"/>
    <w:rsid w:val="00197B9E"/>
    <w:rsid w:val="001A09B8"/>
    <w:rsid w:val="001A4323"/>
    <w:rsid w:val="001C466B"/>
    <w:rsid w:val="001D2162"/>
    <w:rsid w:val="001D422D"/>
    <w:rsid w:val="001D42FC"/>
    <w:rsid w:val="001D46A4"/>
    <w:rsid w:val="001D70DC"/>
    <w:rsid w:val="001E0D41"/>
    <w:rsid w:val="001E4974"/>
    <w:rsid w:val="001E7903"/>
    <w:rsid w:val="00203B1D"/>
    <w:rsid w:val="0020478E"/>
    <w:rsid w:val="00206304"/>
    <w:rsid w:val="00206887"/>
    <w:rsid w:val="00211D80"/>
    <w:rsid w:val="002126F1"/>
    <w:rsid w:val="0021526A"/>
    <w:rsid w:val="00232EEB"/>
    <w:rsid w:val="002437F6"/>
    <w:rsid w:val="0025175E"/>
    <w:rsid w:val="00253451"/>
    <w:rsid w:val="00254E51"/>
    <w:rsid w:val="00261F8D"/>
    <w:rsid w:val="00264107"/>
    <w:rsid w:val="00266514"/>
    <w:rsid w:val="0026656C"/>
    <w:rsid w:val="0027049A"/>
    <w:rsid w:val="002714FE"/>
    <w:rsid w:val="00273130"/>
    <w:rsid w:val="00274644"/>
    <w:rsid w:val="00277029"/>
    <w:rsid w:val="00281B46"/>
    <w:rsid w:val="00281ED5"/>
    <w:rsid w:val="0028300E"/>
    <w:rsid w:val="0028319F"/>
    <w:rsid w:val="002876CA"/>
    <w:rsid w:val="00290D21"/>
    <w:rsid w:val="002926F9"/>
    <w:rsid w:val="00292E82"/>
    <w:rsid w:val="00294647"/>
    <w:rsid w:val="002947D7"/>
    <w:rsid w:val="00296DAE"/>
    <w:rsid w:val="002A1E51"/>
    <w:rsid w:val="002A2038"/>
    <w:rsid w:val="002A3D11"/>
    <w:rsid w:val="002A4668"/>
    <w:rsid w:val="002A5205"/>
    <w:rsid w:val="002A61BE"/>
    <w:rsid w:val="002B1184"/>
    <w:rsid w:val="002B15F7"/>
    <w:rsid w:val="002B1C0E"/>
    <w:rsid w:val="002B210E"/>
    <w:rsid w:val="002C088F"/>
    <w:rsid w:val="002C2464"/>
    <w:rsid w:val="002C42D2"/>
    <w:rsid w:val="002C5A5D"/>
    <w:rsid w:val="002C741B"/>
    <w:rsid w:val="002D127E"/>
    <w:rsid w:val="002D2D56"/>
    <w:rsid w:val="002D3FF3"/>
    <w:rsid w:val="002E4D0C"/>
    <w:rsid w:val="002E7803"/>
    <w:rsid w:val="002F13AB"/>
    <w:rsid w:val="002F22EC"/>
    <w:rsid w:val="002F7666"/>
    <w:rsid w:val="00302029"/>
    <w:rsid w:val="00303FAE"/>
    <w:rsid w:val="00310161"/>
    <w:rsid w:val="0031063D"/>
    <w:rsid w:val="00312120"/>
    <w:rsid w:val="00312291"/>
    <w:rsid w:val="00316B1F"/>
    <w:rsid w:val="00321068"/>
    <w:rsid w:val="00321450"/>
    <w:rsid w:val="00323779"/>
    <w:rsid w:val="00323D27"/>
    <w:rsid w:val="00326E14"/>
    <w:rsid w:val="0033735F"/>
    <w:rsid w:val="00341D84"/>
    <w:rsid w:val="0034247B"/>
    <w:rsid w:val="003432F8"/>
    <w:rsid w:val="003448B4"/>
    <w:rsid w:val="0034511C"/>
    <w:rsid w:val="00346768"/>
    <w:rsid w:val="00347818"/>
    <w:rsid w:val="00351653"/>
    <w:rsid w:val="003524E5"/>
    <w:rsid w:val="00352D66"/>
    <w:rsid w:val="00354AA2"/>
    <w:rsid w:val="00355C73"/>
    <w:rsid w:val="00362293"/>
    <w:rsid w:val="003624B4"/>
    <w:rsid w:val="003633D8"/>
    <w:rsid w:val="00370C48"/>
    <w:rsid w:val="003717FC"/>
    <w:rsid w:val="00371EC5"/>
    <w:rsid w:val="00373754"/>
    <w:rsid w:val="00373FFB"/>
    <w:rsid w:val="003749AB"/>
    <w:rsid w:val="00375F08"/>
    <w:rsid w:val="003771B4"/>
    <w:rsid w:val="00380298"/>
    <w:rsid w:val="00382DC8"/>
    <w:rsid w:val="003840E2"/>
    <w:rsid w:val="003915BA"/>
    <w:rsid w:val="0039446A"/>
    <w:rsid w:val="0039766F"/>
    <w:rsid w:val="003A42DE"/>
    <w:rsid w:val="003A4E55"/>
    <w:rsid w:val="003A5C8E"/>
    <w:rsid w:val="003A650C"/>
    <w:rsid w:val="003B3398"/>
    <w:rsid w:val="003B3DC9"/>
    <w:rsid w:val="003B4B64"/>
    <w:rsid w:val="003C14F3"/>
    <w:rsid w:val="003D11BE"/>
    <w:rsid w:val="003D3998"/>
    <w:rsid w:val="003D3FEE"/>
    <w:rsid w:val="003D7A7B"/>
    <w:rsid w:val="003E436D"/>
    <w:rsid w:val="003F1F82"/>
    <w:rsid w:val="0040257D"/>
    <w:rsid w:val="0041068A"/>
    <w:rsid w:val="00413928"/>
    <w:rsid w:val="00414862"/>
    <w:rsid w:val="00415CB2"/>
    <w:rsid w:val="00421372"/>
    <w:rsid w:val="00421568"/>
    <w:rsid w:val="00423538"/>
    <w:rsid w:val="0044529E"/>
    <w:rsid w:val="00445ED9"/>
    <w:rsid w:val="00451A6D"/>
    <w:rsid w:val="004556F2"/>
    <w:rsid w:val="00457502"/>
    <w:rsid w:val="00461543"/>
    <w:rsid w:val="00463A0E"/>
    <w:rsid w:val="00464963"/>
    <w:rsid w:val="00465A25"/>
    <w:rsid w:val="00466CCD"/>
    <w:rsid w:val="004720E7"/>
    <w:rsid w:val="0047216B"/>
    <w:rsid w:val="004762F1"/>
    <w:rsid w:val="00480A33"/>
    <w:rsid w:val="00485185"/>
    <w:rsid w:val="00495B3F"/>
    <w:rsid w:val="00495C31"/>
    <w:rsid w:val="00495EB5"/>
    <w:rsid w:val="00496EB5"/>
    <w:rsid w:val="004A02E8"/>
    <w:rsid w:val="004A039F"/>
    <w:rsid w:val="004A1974"/>
    <w:rsid w:val="004B2A9C"/>
    <w:rsid w:val="004C0465"/>
    <w:rsid w:val="004C148F"/>
    <w:rsid w:val="004C4DB8"/>
    <w:rsid w:val="004C591E"/>
    <w:rsid w:val="004C7413"/>
    <w:rsid w:val="004C7418"/>
    <w:rsid w:val="004D00CF"/>
    <w:rsid w:val="004E4DFD"/>
    <w:rsid w:val="004F13B2"/>
    <w:rsid w:val="005059AC"/>
    <w:rsid w:val="00506A7D"/>
    <w:rsid w:val="00506D76"/>
    <w:rsid w:val="005071AF"/>
    <w:rsid w:val="00510CBF"/>
    <w:rsid w:val="00511630"/>
    <w:rsid w:val="005164F6"/>
    <w:rsid w:val="00517F10"/>
    <w:rsid w:val="00520442"/>
    <w:rsid w:val="00525FCB"/>
    <w:rsid w:val="00530C7C"/>
    <w:rsid w:val="005319BC"/>
    <w:rsid w:val="0053344F"/>
    <w:rsid w:val="00534725"/>
    <w:rsid w:val="00535322"/>
    <w:rsid w:val="005377A4"/>
    <w:rsid w:val="00537926"/>
    <w:rsid w:val="00550361"/>
    <w:rsid w:val="0055172B"/>
    <w:rsid w:val="00557342"/>
    <w:rsid w:val="00560427"/>
    <w:rsid w:val="005634C5"/>
    <w:rsid w:val="00570F63"/>
    <w:rsid w:val="00573C5D"/>
    <w:rsid w:val="005746FF"/>
    <w:rsid w:val="00576A45"/>
    <w:rsid w:val="0057726B"/>
    <w:rsid w:val="0057769E"/>
    <w:rsid w:val="00581D3A"/>
    <w:rsid w:val="00582319"/>
    <w:rsid w:val="005825C5"/>
    <w:rsid w:val="00586EB6"/>
    <w:rsid w:val="005925FC"/>
    <w:rsid w:val="005931BA"/>
    <w:rsid w:val="0059689A"/>
    <w:rsid w:val="00597864"/>
    <w:rsid w:val="005A0074"/>
    <w:rsid w:val="005A1443"/>
    <w:rsid w:val="005A1AD9"/>
    <w:rsid w:val="005A2854"/>
    <w:rsid w:val="005A7C42"/>
    <w:rsid w:val="005B194F"/>
    <w:rsid w:val="005B7297"/>
    <w:rsid w:val="005B7851"/>
    <w:rsid w:val="005C0505"/>
    <w:rsid w:val="005C1F52"/>
    <w:rsid w:val="005C31C4"/>
    <w:rsid w:val="005C4BE1"/>
    <w:rsid w:val="005C69F8"/>
    <w:rsid w:val="005D305E"/>
    <w:rsid w:val="005D5744"/>
    <w:rsid w:val="005D6206"/>
    <w:rsid w:val="005D6F5F"/>
    <w:rsid w:val="005E3F4E"/>
    <w:rsid w:val="005E4CD8"/>
    <w:rsid w:val="005E5A03"/>
    <w:rsid w:val="005E6B1B"/>
    <w:rsid w:val="005F6D8E"/>
    <w:rsid w:val="00601B09"/>
    <w:rsid w:val="006032BC"/>
    <w:rsid w:val="0060333D"/>
    <w:rsid w:val="00606A76"/>
    <w:rsid w:val="0061111F"/>
    <w:rsid w:val="00611216"/>
    <w:rsid w:val="0061262D"/>
    <w:rsid w:val="00615051"/>
    <w:rsid w:val="006151F2"/>
    <w:rsid w:val="00617770"/>
    <w:rsid w:val="006226C6"/>
    <w:rsid w:val="00632EAA"/>
    <w:rsid w:val="00633371"/>
    <w:rsid w:val="00633703"/>
    <w:rsid w:val="0063376A"/>
    <w:rsid w:val="00635527"/>
    <w:rsid w:val="006419EC"/>
    <w:rsid w:val="00641BB6"/>
    <w:rsid w:val="00655DE1"/>
    <w:rsid w:val="00657866"/>
    <w:rsid w:val="00661CF3"/>
    <w:rsid w:val="006640E4"/>
    <w:rsid w:val="0066418B"/>
    <w:rsid w:val="006658A2"/>
    <w:rsid w:val="006658D5"/>
    <w:rsid w:val="00674B48"/>
    <w:rsid w:val="00674B97"/>
    <w:rsid w:val="00675CD2"/>
    <w:rsid w:val="00685581"/>
    <w:rsid w:val="0069073F"/>
    <w:rsid w:val="006921E1"/>
    <w:rsid w:val="00692F55"/>
    <w:rsid w:val="00693B0D"/>
    <w:rsid w:val="0069401B"/>
    <w:rsid w:val="006A4A46"/>
    <w:rsid w:val="006A7431"/>
    <w:rsid w:val="006B2A89"/>
    <w:rsid w:val="006B555B"/>
    <w:rsid w:val="006B59EB"/>
    <w:rsid w:val="006C1E5B"/>
    <w:rsid w:val="006C41F7"/>
    <w:rsid w:val="006C6211"/>
    <w:rsid w:val="006C6319"/>
    <w:rsid w:val="006C6E29"/>
    <w:rsid w:val="006D07B9"/>
    <w:rsid w:val="006D0993"/>
    <w:rsid w:val="006D3824"/>
    <w:rsid w:val="006D595E"/>
    <w:rsid w:val="006E5386"/>
    <w:rsid w:val="006E68A1"/>
    <w:rsid w:val="006F725D"/>
    <w:rsid w:val="00700AD3"/>
    <w:rsid w:val="0071178C"/>
    <w:rsid w:val="00711FE9"/>
    <w:rsid w:val="00720064"/>
    <w:rsid w:val="00722486"/>
    <w:rsid w:val="00723A63"/>
    <w:rsid w:val="00723C0A"/>
    <w:rsid w:val="00726567"/>
    <w:rsid w:val="00730800"/>
    <w:rsid w:val="00733DC8"/>
    <w:rsid w:val="00736F0B"/>
    <w:rsid w:val="00743745"/>
    <w:rsid w:val="00744B60"/>
    <w:rsid w:val="00744BDF"/>
    <w:rsid w:val="00745710"/>
    <w:rsid w:val="00747176"/>
    <w:rsid w:val="0074731D"/>
    <w:rsid w:val="00751D58"/>
    <w:rsid w:val="007569C6"/>
    <w:rsid w:val="00757EDE"/>
    <w:rsid w:val="00763140"/>
    <w:rsid w:val="007637D5"/>
    <w:rsid w:val="00764A80"/>
    <w:rsid w:val="00765709"/>
    <w:rsid w:val="00770E7F"/>
    <w:rsid w:val="0077693D"/>
    <w:rsid w:val="0077719E"/>
    <w:rsid w:val="00782446"/>
    <w:rsid w:val="007844F9"/>
    <w:rsid w:val="00791D48"/>
    <w:rsid w:val="007A3F4D"/>
    <w:rsid w:val="007A5F7B"/>
    <w:rsid w:val="007A6C2A"/>
    <w:rsid w:val="007B265E"/>
    <w:rsid w:val="007C0FEF"/>
    <w:rsid w:val="007C196D"/>
    <w:rsid w:val="007C2C16"/>
    <w:rsid w:val="007C4990"/>
    <w:rsid w:val="007C4A7E"/>
    <w:rsid w:val="007C5F86"/>
    <w:rsid w:val="007D00F1"/>
    <w:rsid w:val="007D0272"/>
    <w:rsid w:val="007D1CE6"/>
    <w:rsid w:val="007D27C7"/>
    <w:rsid w:val="007D3BA7"/>
    <w:rsid w:val="007D42A8"/>
    <w:rsid w:val="007D4432"/>
    <w:rsid w:val="007D5DAF"/>
    <w:rsid w:val="007E1C8C"/>
    <w:rsid w:val="007E291D"/>
    <w:rsid w:val="007E3BF9"/>
    <w:rsid w:val="007E53D9"/>
    <w:rsid w:val="007F0F43"/>
    <w:rsid w:val="007F4412"/>
    <w:rsid w:val="007F609A"/>
    <w:rsid w:val="007F7839"/>
    <w:rsid w:val="00800051"/>
    <w:rsid w:val="00804386"/>
    <w:rsid w:val="00804C45"/>
    <w:rsid w:val="00810BF5"/>
    <w:rsid w:val="008134CE"/>
    <w:rsid w:val="008151BB"/>
    <w:rsid w:val="008235A6"/>
    <w:rsid w:val="00825BFF"/>
    <w:rsid w:val="00826B35"/>
    <w:rsid w:val="0082746E"/>
    <w:rsid w:val="00840427"/>
    <w:rsid w:val="00841951"/>
    <w:rsid w:val="008420F8"/>
    <w:rsid w:val="00842A8F"/>
    <w:rsid w:val="008439F2"/>
    <w:rsid w:val="0085425F"/>
    <w:rsid w:val="00854697"/>
    <w:rsid w:val="008626CA"/>
    <w:rsid w:val="0086390F"/>
    <w:rsid w:val="00870DAE"/>
    <w:rsid w:val="00873B75"/>
    <w:rsid w:val="008766F4"/>
    <w:rsid w:val="00877CCC"/>
    <w:rsid w:val="00877F2B"/>
    <w:rsid w:val="008809C2"/>
    <w:rsid w:val="0088148B"/>
    <w:rsid w:val="00882188"/>
    <w:rsid w:val="00886ABA"/>
    <w:rsid w:val="00894211"/>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8F5922"/>
    <w:rsid w:val="00903940"/>
    <w:rsid w:val="00907CD5"/>
    <w:rsid w:val="00911601"/>
    <w:rsid w:val="0092389C"/>
    <w:rsid w:val="00923D2C"/>
    <w:rsid w:val="0092538F"/>
    <w:rsid w:val="009300C5"/>
    <w:rsid w:val="00933600"/>
    <w:rsid w:val="00934FF9"/>
    <w:rsid w:val="00937017"/>
    <w:rsid w:val="0093754A"/>
    <w:rsid w:val="009431B2"/>
    <w:rsid w:val="00944F7C"/>
    <w:rsid w:val="00945DCA"/>
    <w:rsid w:val="00946FF7"/>
    <w:rsid w:val="00947A5B"/>
    <w:rsid w:val="009506E0"/>
    <w:rsid w:val="00951CAD"/>
    <w:rsid w:val="00953710"/>
    <w:rsid w:val="009554D8"/>
    <w:rsid w:val="00955868"/>
    <w:rsid w:val="00962A91"/>
    <w:rsid w:val="00966A46"/>
    <w:rsid w:val="0097075D"/>
    <w:rsid w:val="00972EF3"/>
    <w:rsid w:val="0097780C"/>
    <w:rsid w:val="0098197A"/>
    <w:rsid w:val="0098225D"/>
    <w:rsid w:val="009849A4"/>
    <w:rsid w:val="009942D4"/>
    <w:rsid w:val="009958FB"/>
    <w:rsid w:val="0099680F"/>
    <w:rsid w:val="009A136D"/>
    <w:rsid w:val="009A37F4"/>
    <w:rsid w:val="009A7C85"/>
    <w:rsid w:val="009A7F1A"/>
    <w:rsid w:val="009B7D9D"/>
    <w:rsid w:val="009C1026"/>
    <w:rsid w:val="009C4045"/>
    <w:rsid w:val="009C58E4"/>
    <w:rsid w:val="009D0BA0"/>
    <w:rsid w:val="009D1137"/>
    <w:rsid w:val="009D201D"/>
    <w:rsid w:val="009D548C"/>
    <w:rsid w:val="009D6676"/>
    <w:rsid w:val="009E1D8D"/>
    <w:rsid w:val="009E3373"/>
    <w:rsid w:val="009E3BE9"/>
    <w:rsid w:val="009E6182"/>
    <w:rsid w:val="009F11BA"/>
    <w:rsid w:val="009F1CEA"/>
    <w:rsid w:val="009F2BB1"/>
    <w:rsid w:val="009F36E1"/>
    <w:rsid w:val="009F5582"/>
    <w:rsid w:val="009F684C"/>
    <w:rsid w:val="009F759D"/>
    <w:rsid w:val="00A0065C"/>
    <w:rsid w:val="00A010D1"/>
    <w:rsid w:val="00A03057"/>
    <w:rsid w:val="00A03807"/>
    <w:rsid w:val="00A14193"/>
    <w:rsid w:val="00A14A3F"/>
    <w:rsid w:val="00A2026D"/>
    <w:rsid w:val="00A232FC"/>
    <w:rsid w:val="00A2661C"/>
    <w:rsid w:val="00A27243"/>
    <w:rsid w:val="00A319B6"/>
    <w:rsid w:val="00A31B1F"/>
    <w:rsid w:val="00A31C13"/>
    <w:rsid w:val="00A32945"/>
    <w:rsid w:val="00A330C4"/>
    <w:rsid w:val="00A33CC1"/>
    <w:rsid w:val="00A34BB5"/>
    <w:rsid w:val="00A3595E"/>
    <w:rsid w:val="00A372A6"/>
    <w:rsid w:val="00A4058A"/>
    <w:rsid w:val="00A44A87"/>
    <w:rsid w:val="00A4573B"/>
    <w:rsid w:val="00A46B3D"/>
    <w:rsid w:val="00A47C66"/>
    <w:rsid w:val="00A52CC2"/>
    <w:rsid w:val="00A53BE2"/>
    <w:rsid w:val="00A56326"/>
    <w:rsid w:val="00A60D9A"/>
    <w:rsid w:val="00A61B38"/>
    <w:rsid w:val="00A6481B"/>
    <w:rsid w:val="00A72414"/>
    <w:rsid w:val="00A73C84"/>
    <w:rsid w:val="00A773CE"/>
    <w:rsid w:val="00A80091"/>
    <w:rsid w:val="00A81072"/>
    <w:rsid w:val="00A828A6"/>
    <w:rsid w:val="00A8583D"/>
    <w:rsid w:val="00A85AFE"/>
    <w:rsid w:val="00A87227"/>
    <w:rsid w:val="00A90021"/>
    <w:rsid w:val="00A958AF"/>
    <w:rsid w:val="00A95AD1"/>
    <w:rsid w:val="00A96CB3"/>
    <w:rsid w:val="00A97525"/>
    <w:rsid w:val="00AA1C23"/>
    <w:rsid w:val="00AA26D9"/>
    <w:rsid w:val="00AA2C79"/>
    <w:rsid w:val="00AA7E81"/>
    <w:rsid w:val="00AB1DE4"/>
    <w:rsid w:val="00AB7E65"/>
    <w:rsid w:val="00AC1EA3"/>
    <w:rsid w:val="00AC20E1"/>
    <w:rsid w:val="00AC73F3"/>
    <w:rsid w:val="00AD11AD"/>
    <w:rsid w:val="00AD7F36"/>
    <w:rsid w:val="00AF048A"/>
    <w:rsid w:val="00AF1042"/>
    <w:rsid w:val="00AF1BFD"/>
    <w:rsid w:val="00AF2D56"/>
    <w:rsid w:val="00B02D8D"/>
    <w:rsid w:val="00B04942"/>
    <w:rsid w:val="00B127BC"/>
    <w:rsid w:val="00B1523D"/>
    <w:rsid w:val="00B167DD"/>
    <w:rsid w:val="00B17310"/>
    <w:rsid w:val="00B26E4F"/>
    <w:rsid w:val="00B30DAE"/>
    <w:rsid w:val="00B4118F"/>
    <w:rsid w:val="00B41866"/>
    <w:rsid w:val="00B427E5"/>
    <w:rsid w:val="00B46823"/>
    <w:rsid w:val="00B52ED0"/>
    <w:rsid w:val="00B5663B"/>
    <w:rsid w:val="00B606B1"/>
    <w:rsid w:val="00B60851"/>
    <w:rsid w:val="00B61EAC"/>
    <w:rsid w:val="00B64C60"/>
    <w:rsid w:val="00B73FAD"/>
    <w:rsid w:val="00B74FB6"/>
    <w:rsid w:val="00B75D6D"/>
    <w:rsid w:val="00B862AF"/>
    <w:rsid w:val="00B91D9B"/>
    <w:rsid w:val="00B93948"/>
    <w:rsid w:val="00B950AB"/>
    <w:rsid w:val="00B9696E"/>
    <w:rsid w:val="00BA3360"/>
    <w:rsid w:val="00BA65D0"/>
    <w:rsid w:val="00BA700C"/>
    <w:rsid w:val="00BB2608"/>
    <w:rsid w:val="00BB4ADB"/>
    <w:rsid w:val="00BB6749"/>
    <w:rsid w:val="00BD0D73"/>
    <w:rsid w:val="00BD430F"/>
    <w:rsid w:val="00BE29E8"/>
    <w:rsid w:val="00BE36DC"/>
    <w:rsid w:val="00BE75D7"/>
    <w:rsid w:val="00BF13E4"/>
    <w:rsid w:val="00BF1494"/>
    <w:rsid w:val="00BF173F"/>
    <w:rsid w:val="00BF4903"/>
    <w:rsid w:val="00BF7139"/>
    <w:rsid w:val="00C01659"/>
    <w:rsid w:val="00C02D7F"/>
    <w:rsid w:val="00C03089"/>
    <w:rsid w:val="00C12218"/>
    <w:rsid w:val="00C12FE9"/>
    <w:rsid w:val="00C15AEA"/>
    <w:rsid w:val="00C21B40"/>
    <w:rsid w:val="00C22469"/>
    <w:rsid w:val="00C249B8"/>
    <w:rsid w:val="00C27895"/>
    <w:rsid w:val="00C302CB"/>
    <w:rsid w:val="00C33B77"/>
    <w:rsid w:val="00C341CF"/>
    <w:rsid w:val="00C40A19"/>
    <w:rsid w:val="00C41C64"/>
    <w:rsid w:val="00C4378B"/>
    <w:rsid w:val="00C57E17"/>
    <w:rsid w:val="00C613A8"/>
    <w:rsid w:val="00C6664A"/>
    <w:rsid w:val="00C66B00"/>
    <w:rsid w:val="00C742BC"/>
    <w:rsid w:val="00C8058B"/>
    <w:rsid w:val="00C81DCF"/>
    <w:rsid w:val="00C82656"/>
    <w:rsid w:val="00C82911"/>
    <w:rsid w:val="00C876FA"/>
    <w:rsid w:val="00C92C2F"/>
    <w:rsid w:val="00C93912"/>
    <w:rsid w:val="00C94119"/>
    <w:rsid w:val="00CA2EA8"/>
    <w:rsid w:val="00CA324E"/>
    <w:rsid w:val="00CB0408"/>
    <w:rsid w:val="00CB0848"/>
    <w:rsid w:val="00CB1569"/>
    <w:rsid w:val="00CB25CC"/>
    <w:rsid w:val="00CB2632"/>
    <w:rsid w:val="00CB4E4C"/>
    <w:rsid w:val="00CB7FF8"/>
    <w:rsid w:val="00CC4443"/>
    <w:rsid w:val="00CC7150"/>
    <w:rsid w:val="00CD14DB"/>
    <w:rsid w:val="00CD3726"/>
    <w:rsid w:val="00CE30EC"/>
    <w:rsid w:val="00CE38A8"/>
    <w:rsid w:val="00CF0581"/>
    <w:rsid w:val="00CF247F"/>
    <w:rsid w:val="00CF64E3"/>
    <w:rsid w:val="00D02B77"/>
    <w:rsid w:val="00D046A4"/>
    <w:rsid w:val="00D04BD8"/>
    <w:rsid w:val="00D071D6"/>
    <w:rsid w:val="00D07310"/>
    <w:rsid w:val="00D101EF"/>
    <w:rsid w:val="00D1067B"/>
    <w:rsid w:val="00D12D71"/>
    <w:rsid w:val="00D131A3"/>
    <w:rsid w:val="00D135AB"/>
    <w:rsid w:val="00D13B2F"/>
    <w:rsid w:val="00D14D52"/>
    <w:rsid w:val="00D15484"/>
    <w:rsid w:val="00D172D9"/>
    <w:rsid w:val="00D17E79"/>
    <w:rsid w:val="00D21983"/>
    <w:rsid w:val="00D2423F"/>
    <w:rsid w:val="00D34305"/>
    <w:rsid w:val="00D34492"/>
    <w:rsid w:val="00D374CC"/>
    <w:rsid w:val="00D375A2"/>
    <w:rsid w:val="00D4104B"/>
    <w:rsid w:val="00D416EA"/>
    <w:rsid w:val="00D42B4A"/>
    <w:rsid w:val="00D42F3D"/>
    <w:rsid w:val="00D514EB"/>
    <w:rsid w:val="00D516B2"/>
    <w:rsid w:val="00D52E56"/>
    <w:rsid w:val="00D57E55"/>
    <w:rsid w:val="00D6661D"/>
    <w:rsid w:val="00D71DE4"/>
    <w:rsid w:val="00D743B7"/>
    <w:rsid w:val="00D80EBC"/>
    <w:rsid w:val="00D8334B"/>
    <w:rsid w:val="00D84490"/>
    <w:rsid w:val="00D85E07"/>
    <w:rsid w:val="00D918C9"/>
    <w:rsid w:val="00D936CB"/>
    <w:rsid w:val="00DA55F2"/>
    <w:rsid w:val="00DB1301"/>
    <w:rsid w:val="00DB342D"/>
    <w:rsid w:val="00DB797F"/>
    <w:rsid w:val="00DC525C"/>
    <w:rsid w:val="00DC71DB"/>
    <w:rsid w:val="00DD6AC2"/>
    <w:rsid w:val="00DEB51A"/>
    <w:rsid w:val="00DF0654"/>
    <w:rsid w:val="00DF0CFD"/>
    <w:rsid w:val="00DF2670"/>
    <w:rsid w:val="00DF2730"/>
    <w:rsid w:val="00DF3CF4"/>
    <w:rsid w:val="00E01BD3"/>
    <w:rsid w:val="00E03FD5"/>
    <w:rsid w:val="00E07B96"/>
    <w:rsid w:val="00E10ABE"/>
    <w:rsid w:val="00E211F5"/>
    <w:rsid w:val="00E25F23"/>
    <w:rsid w:val="00E26735"/>
    <w:rsid w:val="00E42341"/>
    <w:rsid w:val="00E437CF"/>
    <w:rsid w:val="00E46FCB"/>
    <w:rsid w:val="00E47EC5"/>
    <w:rsid w:val="00E526A2"/>
    <w:rsid w:val="00E53472"/>
    <w:rsid w:val="00E53CAF"/>
    <w:rsid w:val="00E54958"/>
    <w:rsid w:val="00E55667"/>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658C"/>
    <w:rsid w:val="00EA7333"/>
    <w:rsid w:val="00EA78BA"/>
    <w:rsid w:val="00EA7F94"/>
    <w:rsid w:val="00EB3378"/>
    <w:rsid w:val="00EB3F6A"/>
    <w:rsid w:val="00EB54B5"/>
    <w:rsid w:val="00EC5732"/>
    <w:rsid w:val="00ED0A9E"/>
    <w:rsid w:val="00ED20FD"/>
    <w:rsid w:val="00ED44BA"/>
    <w:rsid w:val="00ED5E8E"/>
    <w:rsid w:val="00EE027D"/>
    <w:rsid w:val="00EE34F1"/>
    <w:rsid w:val="00EE37CB"/>
    <w:rsid w:val="00EE4F9E"/>
    <w:rsid w:val="00EE51D7"/>
    <w:rsid w:val="00EE6760"/>
    <w:rsid w:val="00EE760E"/>
    <w:rsid w:val="00EF2715"/>
    <w:rsid w:val="00EF4777"/>
    <w:rsid w:val="00EF7F22"/>
    <w:rsid w:val="00F00F1C"/>
    <w:rsid w:val="00F041BA"/>
    <w:rsid w:val="00F048BB"/>
    <w:rsid w:val="00F07B06"/>
    <w:rsid w:val="00F10D23"/>
    <w:rsid w:val="00F12768"/>
    <w:rsid w:val="00F13A75"/>
    <w:rsid w:val="00F143F5"/>
    <w:rsid w:val="00F1627D"/>
    <w:rsid w:val="00F20A80"/>
    <w:rsid w:val="00F2499A"/>
    <w:rsid w:val="00F26381"/>
    <w:rsid w:val="00F3251E"/>
    <w:rsid w:val="00F32608"/>
    <w:rsid w:val="00F3776A"/>
    <w:rsid w:val="00F43DDE"/>
    <w:rsid w:val="00F45E87"/>
    <w:rsid w:val="00F509BB"/>
    <w:rsid w:val="00F50BA6"/>
    <w:rsid w:val="00F51BA9"/>
    <w:rsid w:val="00F51F47"/>
    <w:rsid w:val="00F547F1"/>
    <w:rsid w:val="00F55AAF"/>
    <w:rsid w:val="00F63CDB"/>
    <w:rsid w:val="00F66640"/>
    <w:rsid w:val="00F73EEA"/>
    <w:rsid w:val="00F74A5F"/>
    <w:rsid w:val="00F82BAF"/>
    <w:rsid w:val="00F83757"/>
    <w:rsid w:val="00F8450D"/>
    <w:rsid w:val="00F84974"/>
    <w:rsid w:val="00F87022"/>
    <w:rsid w:val="00F90066"/>
    <w:rsid w:val="00F90DC1"/>
    <w:rsid w:val="00F9351B"/>
    <w:rsid w:val="00F9387B"/>
    <w:rsid w:val="00FB5E6F"/>
    <w:rsid w:val="00FB7389"/>
    <w:rsid w:val="00FC0273"/>
    <w:rsid w:val="00FC0C0F"/>
    <w:rsid w:val="00FC2DF0"/>
    <w:rsid w:val="00FC613E"/>
    <w:rsid w:val="00FD10A7"/>
    <w:rsid w:val="00FD3202"/>
    <w:rsid w:val="00FD5831"/>
    <w:rsid w:val="00FE2AC4"/>
    <w:rsid w:val="00FE52C7"/>
    <w:rsid w:val="00FE5FFE"/>
    <w:rsid w:val="00FE78F9"/>
    <w:rsid w:val="00FF5783"/>
    <w:rsid w:val="00FF6C39"/>
    <w:rsid w:val="0100D07F"/>
    <w:rsid w:val="01185055"/>
    <w:rsid w:val="012B7E23"/>
    <w:rsid w:val="01427B94"/>
    <w:rsid w:val="0158BBC6"/>
    <w:rsid w:val="017FE440"/>
    <w:rsid w:val="019439D1"/>
    <w:rsid w:val="01A66EBB"/>
    <w:rsid w:val="01D42E1B"/>
    <w:rsid w:val="01D6EF40"/>
    <w:rsid w:val="01EE34AA"/>
    <w:rsid w:val="021027B2"/>
    <w:rsid w:val="022EAC11"/>
    <w:rsid w:val="023799ED"/>
    <w:rsid w:val="026738FE"/>
    <w:rsid w:val="026E497E"/>
    <w:rsid w:val="0274EEA7"/>
    <w:rsid w:val="029D1330"/>
    <w:rsid w:val="030F4AFC"/>
    <w:rsid w:val="031F6722"/>
    <w:rsid w:val="03313658"/>
    <w:rsid w:val="0351A3E6"/>
    <w:rsid w:val="036D5F26"/>
    <w:rsid w:val="0384EA32"/>
    <w:rsid w:val="03C37C58"/>
    <w:rsid w:val="03E4A558"/>
    <w:rsid w:val="0406F2B1"/>
    <w:rsid w:val="044BECC1"/>
    <w:rsid w:val="044CBF24"/>
    <w:rsid w:val="047091A0"/>
    <w:rsid w:val="048DE1A7"/>
    <w:rsid w:val="04EB9BAA"/>
    <w:rsid w:val="04EEDBD3"/>
    <w:rsid w:val="0508B67A"/>
    <w:rsid w:val="052F37F6"/>
    <w:rsid w:val="053C8DC2"/>
    <w:rsid w:val="058D4B33"/>
    <w:rsid w:val="05A4CF70"/>
    <w:rsid w:val="05BB4403"/>
    <w:rsid w:val="05C072E5"/>
    <w:rsid w:val="061EE5CE"/>
    <w:rsid w:val="063CC2AA"/>
    <w:rsid w:val="066636ED"/>
    <w:rsid w:val="067EAC20"/>
    <w:rsid w:val="06993E1E"/>
    <w:rsid w:val="06E0E38B"/>
    <w:rsid w:val="06F2FACD"/>
    <w:rsid w:val="071A89D1"/>
    <w:rsid w:val="0741BAA1"/>
    <w:rsid w:val="07915F87"/>
    <w:rsid w:val="07B5615F"/>
    <w:rsid w:val="07BAB62F"/>
    <w:rsid w:val="08624999"/>
    <w:rsid w:val="08BDBA2B"/>
    <w:rsid w:val="09753969"/>
    <w:rsid w:val="09A2E5F5"/>
    <w:rsid w:val="09BE0E12"/>
    <w:rsid w:val="09FA172E"/>
    <w:rsid w:val="0A299346"/>
    <w:rsid w:val="0A2FD095"/>
    <w:rsid w:val="0A795B63"/>
    <w:rsid w:val="0AB42EEB"/>
    <w:rsid w:val="0AB6A4C6"/>
    <w:rsid w:val="0AEDE4E3"/>
    <w:rsid w:val="0B28BBE7"/>
    <w:rsid w:val="0B5B8A57"/>
    <w:rsid w:val="0B5BD10B"/>
    <w:rsid w:val="0C283EE7"/>
    <w:rsid w:val="0C5C0DC5"/>
    <w:rsid w:val="0C6668D6"/>
    <w:rsid w:val="0C9DA02E"/>
    <w:rsid w:val="0CEE264F"/>
    <w:rsid w:val="0D003B5C"/>
    <w:rsid w:val="0D0B4392"/>
    <w:rsid w:val="0D144C7C"/>
    <w:rsid w:val="0D167788"/>
    <w:rsid w:val="0D2E90F1"/>
    <w:rsid w:val="0DC6F52C"/>
    <w:rsid w:val="0DFBBC79"/>
    <w:rsid w:val="0E6FA69D"/>
    <w:rsid w:val="0E7DFC3D"/>
    <w:rsid w:val="0E7F1BE3"/>
    <w:rsid w:val="0EAF1217"/>
    <w:rsid w:val="0EC60EE3"/>
    <w:rsid w:val="0EE44DC9"/>
    <w:rsid w:val="0F16BAD4"/>
    <w:rsid w:val="0F33F83F"/>
    <w:rsid w:val="0F49A558"/>
    <w:rsid w:val="0F4CCC86"/>
    <w:rsid w:val="0FAC6562"/>
    <w:rsid w:val="0FC9B72A"/>
    <w:rsid w:val="0FE0F17A"/>
    <w:rsid w:val="100F9965"/>
    <w:rsid w:val="105856A2"/>
    <w:rsid w:val="107B7F85"/>
    <w:rsid w:val="10853884"/>
    <w:rsid w:val="10981890"/>
    <w:rsid w:val="10E575B9"/>
    <w:rsid w:val="10E89CE7"/>
    <w:rsid w:val="10F69169"/>
    <w:rsid w:val="11374258"/>
    <w:rsid w:val="1172D350"/>
    <w:rsid w:val="11C2DECB"/>
    <w:rsid w:val="124CCE39"/>
    <w:rsid w:val="124CF3B8"/>
    <w:rsid w:val="127E8418"/>
    <w:rsid w:val="1281461A"/>
    <w:rsid w:val="128ECFF4"/>
    <w:rsid w:val="12CC5A0F"/>
    <w:rsid w:val="133559C4"/>
    <w:rsid w:val="13E3DDAA"/>
    <w:rsid w:val="13EA022D"/>
    <w:rsid w:val="140828BF"/>
    <w:rsid w:val="1424A5FA"/>
    <w:rsid w:val="14FA9F27"/>
    <w:rsid w:val="15075F5D"/>
    <w:rsid w:val="1522DC33"/>
    <w:rsid w:val="1543F6B2"/>
    <w:rsid w:val="159010E4"/>
    <w:rsid w:val="15D73D64"/>
    <w:rsid w:val="161D075D"/>
    <w:rsid w:val="1685D88B"/>
    <w:rsid w:val="16AFD0FD"/>
    <w:rsid w:val="16E4F0D0"/>
    <w:rsid w:val="1754F7B4"/>
    <w:rsid w:val="177D2A06"/>
    <w:rsid w:val="1795411D"/>
    <w:rsid w:val="17986102"/>
    <w:rsid w:val="17CD3CA6"/>
    <w:rsid w:val="183805E8"/>
    <w:rsid w:val="1844C5CA"/>
    <w:rsid w:val="18516F03"/>
    <w:rsid w:val="18BBA766"/>
    <w:rsid w:val="1917B675"/>
    <w:rsid w:val="194071AB"/>
    <w:rsid w:val="194ECACD"/>
    <w:rsid w:val="198F9282"/>
    <w:rsid w:val="19A63049"/>
    <w:rsid w:val="19BAB43C"/>
    <w:rsid w:val="19CA7B40"/>
    <w:rsid w:val="19E60D61"/>
    <w:rsid w:val="1A3663CD"/>
    <w:rsid w:val="1A5C2634"/>
    <w:rsid w:val="1A909507"/>
    <w:rsid w:val="1AE5334B"/>
    <w:rsid w:val="1AEC9D2F"/>
    <w:rsid w:val="1B195298"/>
    <w:rsid w:val="1B28D73C"/>
    <w:rsid w:val="1B464FA5"/>
    <w:rsid w:val="1B5AA01F"/>
    <w:rsid w:val="1B5E27CF"/>
    <w:rsid w:val="1B6F770A"/>
    <w:rsid w:val="1B897297"/>
    <w:rsid w:val="1B9B6D17"/>
    <w:rsid w:val="1B9BBE47"/>
    <w:rsid w:val="1BCA8EF2"/>
    <w:rsid w:val="1BD880F9"/>
    <w:rsid w:val="1D5A6A85"/>
    <w:rsid w:val="1D73FD00"/>
    <w:rsid w:val="1D8A9227"/>
    <w:rsid w:val="1D8C05DE"/>
    <w:rsid w:val="1DCB177C"/>
    <w:rsid w:val="1DE275A0"/>
    <w:rsid w:val="1DEAD118"/>
    <w:rsid w:val="1E3E6500"/>
    <w:rsid w:val="1E6FAA06"/>
    <w:rsid w:val="1F6C716C"/>
    <w:rsid w:val="1FA11737"/>
    <w:rsid w:val="1FAFCC66"/>
    <w:rsid w:val="1FFBAAF2"/>
    <w:rsid w:val="20083A8F"/>
    <w:rsid w:val="201DB77B"/>
    <w:rsid w:val="2063DB3A"/>
    <w:rsid w:val="206D318E"/>
    <w:rsid w:val="2072CE43"/>
    <w:rsid w:val="208231D2"/>
    <w:rsid w:val="20D08CE0"/>
    <w:rsid w:val="20E4CE1C"/>
    <w:rsid w:val="20EF5200"/>
    <w:rsid w:val="20F9E2B3"/>
    <w:rsid w:val="21580751"/>
    <w:rsid w:val="21D3B298"/>
    <w:rsid w:val="21E019B6"/>
    <w:rsid w:val="22173CF7"/>
    <w:rsid w:val="22242253"/>
    <w:rsid w:val="2259356D"/>
    <w:rsid w:val="22DE8FCF"/>
    <w:rsid w:val="22E0F60F"/>
    <w:rsid w:val="2322EF8D"/>
    <w:rsid w:val="232923D0"/>
    <w:rsid w:val="232A16D2"/>
    <w:rsid w:val="23459D0C"/>
    <w:rsid w:val="2353DEDA"/>
    <w:rsid w:val="237513EF"/>
    <w:rsid w:val="23FB3667"/>
    <w:rsid w:val="242F8314"/>
    <w:rsid w:val="24589524"/>
    <w:rsid w:val="248F4127"/>
    <w:rsid w:val="249E222A"/>
    <w:rsid w:val="24A04EB5"/>
    <w:rsid w:val="25194880"/>
    <w:rsid w:val="25359510"/>
    <w:rsid w:val="254F95E1"/>
    <w:rsid w:val="258BA988"/>
    <w:rsid w:val="2676AAA9"/>
    <w:rsid w:val="26A9A53C"/>
    <w:rsid w:val="26C92518"/>
    <w:rsid w:val="27623DE6"/>
    <w:rsid w:val="276C372C"/>
    <w:rsid w:val="27F746EB"/>
    <w:rsid w:val="282F3618"/>
    <w:rsid w:val="28790C6B"/>
    <w:rsid w:val="28E71FC8"/>
    <w:rsid w:val="28F142CB"/>
    <w:rsid w:val="29097639"/>
    <w:rsid w:val="29747E1B"/>
    <w:rsid w:val="29A751EF"/>
    <w:rsid w:val="29C0A215"/>
    <w:rsid w:val="29FC1AE8"/>
    <w:rsid w:val="2A569C3D"/>
    <w:rsid w:val="2A8636D9"/>
    <w:rsid w:val="2AC218B2"/>
    <w:rsid w:val="2AE1B6B7"/>
    <w:rsid w:val="2AE79E71"/>
    <w:rsid w:val="2AF5D78B"/>
    <w:rsid w:val="2AFC5081"/>
    <w:rsid w:val="2B178A91"/>
    <w:rsid w:val="2B355BBD"/>
    <w:rsid w:val="2B68E605"/>
    <w:rsid w:val="2B6E0D0F"/>
    <w:rsid w:val="2BDF0338"/>
    <w:rsid w:val="2BE602A9"/>
    <w:rsid w:val="2C70F80B"/>
    <w:rsid w:val="2D0497CD"/>
    <w:rsid w:val="2D14C99E"/>
    <w:rsid w:val="2D710E78"/>
    <w:rsid w:val="2DA777C0"/>
    <w:rsid w:val="2DBE6963"/>
    <w:rsid w:val="2DD61D48"/>
    <w:rsid w:val="2E5519B2"/>
    <w:rsid w:val="2E9247A0"/>
    <w:rsid w:val="2ECFCE83"/>
    <w:rsid w:val="2F0DA918"/>
    <w:rsid w:val="2F1C19A9"/>
    <w:rsid w:val="2FAAFD0D"/>
    <w:rsid w:val="30374EDC"/>
    <w:rsid w:val="303ED86D"/>
    <w:rsid w:val="30508782"/>
    <w:rsid w:val="30587508"/>
    <w:rsid w:val="3066990F"/>
    <w:rsid w:val="31B58E38"/>
    <w:rsid w:val="31CA4217"/>
    <w:rsid w:val="31EC57E3"/>
    <w:rsid w:val="31F7CFFF"/>
    <w:rsid w:val="3245A369"/>
    <w:rsid w:val="32857CBF"/>
    <w:rsid w:val="32C4B53E"/>
    <w:rsid w:val="32D70703"/>
    <w:rsid w:val="3342D66F"/>
    <w:rsid w:val="335E63AF"/>
    <w:rsid w:val="337E8983"/>
    <w:rsid w:val="33A53F7A"/>
    <w:rsid w:val="33C40B54"/>
    <w:rsid w:val="347E6566"/>
    <w:rsid w:val="348DB4EB"/>
    <w:rsid w:val="35842FDE"/>
    <w:rsid w:val="35B742E8"/>
    <w:rsid w:val="3601BA69"/>
    <w:rsid w:val="367267F9"/>
    <w:rsid w:val="36CA94C4"/>
    <w:rsid w:val="36D73EC6"/>
    <w:rsid w:val="36FFE74C"/>
    <w:rsid w:val="370C73D9"/>
    <w:rsid w:val="37236F33"/>
    <w:rsid w:val="372DCAE4"/>
    <w:rsid w:val="37408DCC"/>
    <w:rsid w:val="3746131F"/>
    <w:rsid w:val="3757F389"/>
    <w:rsid w:val="3777A416"/>
    <w:rsid w:val="381123D8"/>
    <w:rsid w:val="38AD93E7"/>
    <w:rsid w:val="38C95781"/>
    <w:rsid w:val="38CC1809"/>
    <w:rsid w:val="38EEAB87"/>
    <w:rsid w:val="3929AA94"/>
    <w:rsid w:val="395F27C1"/>
    <w:rsid w:val="39AE4A8D"/>
    <w:rsid w:val="39DE7DFA"/>
    <w:rsid w:val="39FF574E"/>
    <w:rsid w:val="3A017A19"/>
    <w:rsid w:val="3A024394"/>
    <w:rsid w:val="3A5589BD"/>
    <w:rsid w:val="3A8F7D11"/>
    <w:rsid w:val="3AAF41C4"/>
    <w:rsid w:val="3AC3763D"/>
    <w:rsid w:val="3AD2045E"/>
    <w:rsid w:val="3AE42F36"/>
    <w:rsid w:val="3B040AF5"/>
    <w:rsid w:val="3BB47562"/>
    <w:rsid w:val="3BBEDFF9"/>
    <w:rsid w:val="3C5D9607"/>
    <w:rsid w:val="3C8C6A60"/>
    <w:rsid w:val="3CAA4798"/>
    <w:rsid w:val="3CDD8ED3"/>
    <w:rsid w:val="3D1A2DB7"/>
    <w:rsid w:val="3D4C00F3"/>
    <w:rsid w:val="3DB16259"/>
    <w:rsid w:val="3E1D029A"/>
    <w:rsid w:val="3E8B371F"/>
    <w:rsid w:val="3EBBCC4C"/>
    <w:rsid w:val="3EE3824D"/>
    <w:rsid w:val="3EFCA0CA"/>
    <w:rsid w:val="3F248071"/>
    <w:rsid w:val="3F2CDD4C"/>
    <w:rsid w:val="3F3BF9B3"/>
    <w:rsid w:val="3FBD6A61"/>
    <w:rsid w:val="3FD06354"/>
    <w:rsid w:val="3FFE3DCC"/>
    <w:rsid w:val="40690886"/>
    <w:rsid w:val="40700CFE"/>
    <w:rsid w:val="40CBECDF"/>
    <w:rsid w:val="4107E398"/>
    <w:rsid w:val="413FE707"/>
    <w:rsid w:val="41551D36"/>
    <w:rsid w:val="41E1021E"/>
    <w:rsid w:val="420D9061"/>
    <w:rsid w:val="4228454C"/>
    <w:rsid w:val="423F72EC"/>
    <w:rsid w:val="42624BFE"/>
    <w:rsid w:val="42870D7F"/>
    <w:rsid w:val="42EA6893"/>
    <w:rsid w:val="42F63EA0"/>
    <w:rsid w:val="42FE33E0"/>
    <w:rsid w:val="4380C41B"/>
    <w:rsid w:val="43A63994"/>
    <w:rsid w:val="43A67A0B"/>
    <w:rsid w:val="43FEC96E"/>
    <w:rsid w:val="44688134"/>
    <w:rsid w:val="44A44C56"/>
    <w:rsid w:val="457B5DF7"/>
    <w:rsid w:val="45CC8256"/>
    <w:rsid w:val="45D7D81A"/>
    <w:rsid w:val="45EE95F0"/>
    <w:rsid w:val="4614B705"/>
    <w:rsid w:val="46223337"/>
    <w:rsid w:val="463AD933"/>
    <w:rsid w:val="469F3217"/>
    <w:rsid w:val="46A53D34"/>
    <w:rsid w:val="46C7D927"/>
    <w:rsid w:val="46DE1ACD"/>
    <w:rsid w:val="47054480"/>
    <w:rsid w:val="474B3D0C"/>
    <w:rsid w:val="4750BB53"/>
    <w:rsid w:val="476E6FF3"/>
    <w:rsid w:val="47A76BB4"/>
    <w:rsid w:val="483F857C"/>
    <w:rsid w:val="48A6571F"/>
    <w:rsid w:val="48B6BAA7"/>
    <w:rsid w:val="48C9C523"/>
    <w:rsid w:val="491A323B"/>
    <w:rsid w:val="49420DA2"/>
    <w:rsid w:val="49620232"/>
    <w:rsid w:val="4962903A"/>
    <w:rsid w:val="49AAD572"/>
    <w:rsid w:val="49B41FB8"/>
    <w:rsid w:val="4A704416"/>
    <w:rsid w:val="4AF457DF"/>
    <w:rsid w:val="4B099D2F"/>
    <w:rsid w:val="4B409B22"/>
    <w:rsid w:val="4B760A45"/>
    <w:rsid w:val="4BBCB2D9"/>
    <w:rsid w:val="4C005EAE"/>
    <w:rsid w:val="4C203680"/>
    <w:rsid w:val="4C57F236"/>
    <w:rsid w:val="4C800CD7"/>
    <w:rsid w:val="4C86EF0E"/>
    <w:rsid w:val="4C951EB8"/>
    <w:rsid w:val="4CD075CC"/>
    <w:rsid w:val="4D11A94B"/>
    <w:rsid w:val="4D3433F4"/>
    <w:rsid w:val="4D45AE2A"/>
    <w:rsid w:val="4E48676A"/>
    <w:rsid w:val="4EB5970F"/>
    <w:rsid w:val="4EC67C5E"/>
    <w:rsid w:val="4EC7DD80"/>
    <w:rsid w:val="4EDC7F81"/>
    <w:rsid w:val="4F3537B0"/>
    <w:rsid w:val="4F3CC75C"/>
    <w:rsid w:val="4FC3D44F"/>
    <w:rsid w:val="4FE32128"/>
    <w:rsid w:val="5001B09C"/>
    <w:rsid w:val="5066E2E2"/>
    <w:rsid w:val="50A687ED"/>
    <w:rsid w:val="50B4E88D"/>
    <w:rsid w:val="50FC7D60"/>
    <w:rsid w:val="513659F0"/>
    <w:rsid w:val="513CCE8C"/>
    <w:rsid w:val="515B94DB"/>
    <w:rsid w:val="515F5732"/>
    <w:rsid w:val="517F6EC5"/>
    <w:rsid w:val="51F12441"/>
    <w:rsid w:val="521012C2"/>
    <w:rsid w:val="5212BFAD"/>
    <w:rsid w:val="5299D440"/>
    <w:rsid w:val="52B5BCF9"/>
    <w:rsid w:val="52E52664"/>
    <w:rsid w:val="53565BE8"/>
    <w:rsid w:val="536D684C"/>
    <w:rsid w:val="53A37578"/>
    <w:rsid w:val="5438D9F1"/>
    <w:rsid w:val="54AAEF1D"/>
    <w:rsid w:val="54B6A0B3"/>
    <w:rsid w:val="54BF30C3"/>
    <w:rsid w:val="559A2722"/>
    <w:rsid w:val="559D2FF8"/>
    <w:rsid w:val="55D40C5F"/>
    <w:rsid w:val="55D91614"/>
    <w:rsid w:val="562B41D7"/>
    <w:rsid w:val="562B9355"/>
    <w:rsid w:val="5641BE3E"/>
    <w:rsid w:val="5653283A"/>
    <w:rsid w:val="56788C01"/>
    <w:rsid w:val="56A6ED43"/>
    <w:rsid w:val="56AB9FAA"/>
    <w:rsid w:val="56C4067D"/>
    <w:rsid w:val="56C5E14A"/>
    <w:rsid w:val="56E18DA1"/>
    <w:rsid w:val="57021A49"/>
    <w:rsid w:val="574B2252"/>
    <w:rsid w:val="57505687"/>
    <w:rsid w:val="57608C97"/>
    <w:rsid w:val="5774762B"/>
    <w:rsid w:val="57F8885F"/>
    <w:rsid w:val="58084F37"/>
    <w:rsid w:val="5855F7C1"/>
    <w:rsid w:val="585BDF78"/>
    <w:rsid w:val="5889AF6F"/>
    <w:rsid w:val="58A2373F"/>
    <w:rsid w:val="58BC1B45"/>
    <w:rsid w:val="58C60D3E"/>
    <w:rsid w:val="58FC04C0"/>
    <w:rsid w:val="5936B96F"/>
    <w:rsid w:val="595140BA"/>
    <w:rsid w:val="59A6EE5B"/>
    <w:rsid w:val="59E80FB2"/>
    <w:rsid w:val="5A0DF086"/>
    <w:rsid w:val="5A8EEF6C"/>
    <w:rsid w:val="5AB31943"/>
    <w:rsid w:val="5B188E3D"/>
    <w:rsid w:val="5BEB51D7"/>
    <w:rsid w:val="5C0A4B1B"/>
    <w:rsid w:val="5CD66B26"/>
    <w:rsid w:val="5D151945"/>
    <w:rsid w:val="5D21D29C"/>
    <w:rsid w:val="5D37D7FE"/>
    <w:rsid w:val="5D3DA593"/>
    <w:rsid w:val="5D6083BC"/>
    <w:rsid w:val="5D7B9C4D"/>
    <w:rsid w:val="5DC7BB1E"/>
    <w:rsid w:val="5DE49326"/>
    <w:rsid w:val="5E27D90B"/>
    <w:rsid w:val="5E6879DC"/>
    <w:rsid w:val="5E837696"/>
    <w:rsid w:val="5E8B84B5"/>
    <w:rsid w:val="5ECD0133"/>
    <w:rsid w:val="5EE13CAF"/>
    <w:rsid w:val="5F1409FE"/>
    <w:rsid w:val="5F39FFA5"/>
    <w:rsid w:val="600B56EE"/>
    <w:rsid w:val="606F78C0"/>
    <w:rsid w:val="6079F161"/>
    <w:rsid w:val="60987A23"/>
    <w:rsid w:val="60D463FF"/>
    <w:rsid w:val="60D920B7"/>
    <w:rsid w:val="60EC9E2B"/>
    <w:rsid w:val="612F02EE"/>
    <w:rsid w:val="61757AFC"/>
    <w:rsid w:val="617B9D2E"/>
    <w:rsid w:val="617C72E6"/>
    <w:rsid w:val="61D520EB"/>
    <w:rsid w:val="61E6BA91"/>
    <w:rsid w:val="6207C558"/>
    <w:rsid w:val="620B4921"/>
    <w:rsid w:val="62AAAE4B"/>
    <w:rsid w:val="62C261FF"/>
    <w:rsid w:val="62C2836A"/>
    <w:rsid w:val="62E85CED"/>
    <w:rsid w:val="63342658"/>
    <w:rsid w:val="639AD81F"/>
    <w:rsid w:val="63C11CD1"/>
    <w:rsid w:val="63C2EF9E"/>
    <w:rsid w:val="63CADAAF"/>
    <w:rsid w:val="63EC5803"/>
    <w:rsid w:val="643043B2"/>
    <w:rsid w:val="6465318A"/>
    <w:rsid w:val="6466E740"/>
    <w:rsid w:val="64971A8F"/>
    <w:rsid w:val="64A42216"/>
    <w:rsid w:val="64BEBE7C"/>
    <w:rsid w:val="64C7DFA6"/>
    <w:rsid w:val="64E63EB0"/>
    <w:rsid w:val="6542E9E3"/>
    <w:rsid w:val="65C26DF6"/>
    <w:rsid w:val="65F20F86"/>
    <w:rsid w:val="65FB2E22"/>
    <w:rsid w:val="65FD33D0"/>
    <w:rsid w:val="666768FE"/>
    <w:rsid w:val="666FB38E"/>
    <w:rsid w:val="66A65482"/>
    <w:rsid w:val="66ADA113"/>
    <w:rsid w:val="67519E2B"/>
    <w:rsid w:val="675A84C2"/>
    <w:rsid w:val="677A64F8"/>
    <w:rsid w:val="67CD610C"/>
    <w:rsid w:val="68DB0799"/>
    <w:rsid w:val="6992F2E6"/>
    <w:rsid w:val="69BE8AD7"/>
    <w:rsid w:val="6A117113"/>
    <w:rsid w:val="6A1CED46"/>
    <w:rsid w:val="6A2193CD"/>
    <w:rsid w:val="6A9BD73A"/>
    <w:rsid w:val="6AF4B7AD"/>
    <w:rsid w:val="6B8A3170"/>
    <w:rsid w:val="6BB8BDA7"/>
    <w:rsid w:val="6BC51F58"/>
    <w:rsid w:val="6C0A2864"/>
    <w:rsid w:val="6C299A10"/>
    <w:rsid w:val="6C53CF78"/>
    <w:rsid w:val="6C83761F"/>
    <w:rsid w:val="6C8C31DD"/>
    <w:rsid w:val="6CAA19FA"/>
    <w:rsid w:val="6D09AFC2"/>
    <w:rsid w:val="6D53E1DA"/>
    <w:rsid w:val="6DAC4D93"/>
    <w:rsid w:val="6DF4BDEC"/>
    <w:rsid w:val="6E29E015"/>
    <w:rsid w:val="6E776DB3"/>
    <w:rsid w:val="6EA8014D"/>
    <w:rsid w:val="6EE9C512"/>
    <w:rsid w:val="6F633D70"/>
    <w:rsid w:val="6F6F6E1D"/>
    <w:rsid w:val="6F9330D1"/>
    <w:rsid w:val="6F97FBD0"/>
    <w:rsid w:val="6FA9F512"/>
    <w:rsid w:val="6FB44F01"/>
    <w:rsid w:val="6FD12438"/>
    <w:rsid w:val="6FFDEF11"/>
    <w:rsid w:val="70125987"/>
    <w:rsid w:val="70226657"/>
    <w:rsid w:val="70BC1230"/>
    <w:rsid w:val="70C49520"/>
    <w:rsid w:val="710EEACD"/>
    <w:rsid w:val="712DA350"/>
    <w:rsid w:val="7153BFE0"/>
    <w:rsid w:val="7170D29C"/>
    <w:rsid w:val="71E77B4D"/>
    <w:rsid w:val="72010F21"/>
    <w:rsid w:val="7203AB01"/>
    <w:rsid w:val="720A263D"/>
    <w:rsid w:val="722458E0"/>
    <w:rsid w:val="7306BEE6"/>
    <w:rsid w:val="73A11397"/>
    <w:rsid w:val="73EF20FB"/>
    <w:rsid w:val="740B9C4C"/>
    <w:rsid w:val="74A6FEA9"/>
    <w:rsid w:val="74A8135C"/>
    <w:rsid w:val="74B1F543"/>
    <w:rsid w:val="74B6442D"/>
    <w:rsid w:val="74B9330C"/>
    <w:rsid w:val="74C3606D"/>
    <w:rsid w:val="751EFAC2"/>
    <w:rsid w:val="752194A3"/>
    <w:rsid w:val="7557E461"/>
    <w:rsid w:val="756F79F5"/>
    <w:rsid w:val="75A5566E"/>
    <w:rsid w:val="7631349C"/>
    <w:rsid w:val="763E3645"/>
    <w:rsid w:val="76C76A18"/>
    <w:rsid w:val="76D2C7C4"/>
    <w:rsid w:val="772D2BEE"/>
    <w:rsid w:val="7766C009"/>
    <w:rsid w:val="7774B114"/>
    <w:rsid w:val="77B6480F"/>
    <w:rsid w:val="793F1403"/>
    <w:rsid w:val="7945D1AE"/>
    <w:rsid w:val="79A6ABFC"/>
    <w:rsid w:val="7A4471FC"/>
    <w:rsid w:val="7A7156FE"/>
    <w:rsid w:val="7AFA900C"/>
    <w:rsid w:val="7B4F852D"/>
    <w:rsid w:val="7C0D5C19"/>
    <w:rsid w:val="7C0E8D77"/>
    <w:rsid w:val="7D03CCE3"/>
    <w:rsid w:val="7D137662"/>
    <w:rsid w:val="7DAFE1BE"/>
    <w:rsid w:val="7DC177A1"/>
    <w:rsid w:val="7DCF9433"/>
    <w:rsid w:val="7E272F86"/>
    <w:rsid w:val="7E65F309"/>
    <w:rsid w:val="7EB9D008"/>
    <w:rsid w:val="7EF3FF0F"/>
    <w:rsid w:val="7F023EFE"/>
    <w:rsid w:val="7F36A8BB"/>
    <w:rsid w:val="7FED249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96A31055-F0BA-46FD-8BE5-540E9E7B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36BAB"/>
    <w:rsid w:val="00046837"/>
    <w:rsid w:val="0012395D"/>
    <w:rsid w:val="001E2AC0"/>
    <w:rsid w:val="00211D80"/>
    <w:rsid w:val="00277029"/>
    <w:rsid w:val="002F13AB"/>
    <w:rsid w:val="003169B4"/>
    <w:rsid w:val="00354CBB"/>
    <w:rsid w:val="003B38E0"/>
    <w:rsid w:val="0040257D"/>
    <w:rsid w:val="004214D0"/>
    <w:rsid w:val="00465A25"/>
    <w:rsid w:val="004C591E"/>
    <w:rsid w:val="004F13B2"/>
    <w:rsid w:val="0053344F"/>
    <w:rsid w:val="00617896"/>
    <w:rsid w:val="00730800"/>
    <w:rsid w:val="007425D5"/>
    <w:rsid w:val="0077693D"/>
    <w:rsid w:val="007D5396"/>
    <w:rsid w:val="007E53D9"/>
    <w:rsid w:val="007E66CB"/>
    <w:rsid w:val="00802750"/>
    <w:rsid w:val="008C4978"/>
    <w:rsid w:val="00962A91"/>
    <w:rsid w:val="009A37F4"/>
    <w:rsid w:val="009C58E4"/>
    <w:rsid w:val="00B91D9B"/>
    <w:rsid w:val="00B97477"/>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3E4C00F6-281A-4B29-B7C4-388A0F2BD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F6413D37-9C95-4B5B-9D2A-35DC13DD23A3}">
  <ds:schemaRefs>
    <ds:schemaRef ds:uri="http://schemas.openxmlformats.org/officeDocument/2006/bibliography"/>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4500</Words>
  <Characters>24301</Characters>
  <Application>Microsoft Office Word</Application>
  <DocSecurity>0</DocSecurity>
  <Lines>202</Lines>
  <Paragraphs>57</Paragraphs>
  <ScaleCrop>false</ScaleCrop>
  <Company/>
  <LinksUpToDate>false</LinksUpToDate>
  <CharactersWithSpaces>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230</cp:revision>
  <dcterms:created xsi:type="dcterms:W3CDTF">2026-08-27T20:27:00Z</dcterms:created>
  <dcterms:modified xsi:type="dcterms:W3CDTF">2026-10-29T20:21:00Z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