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asks.xml" ContentType="application/vnd.ms-office.documenttask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5896"/>
      </w:tblGrid>
      <w:tr xmlns:wp14="http://schemas.microsoft.com/office/word/2010/wordml" w:rsidTr="7A6EA4F2" w14:paraId="32AA7D4D" wp14:textId="77777777">
        <w:tc>
          <w:tcPr>
            <w:tcW w:w="2608" w:type="dxa"/>
            <w:tcMar/>
            <w:vAlign w:val="center"/>
          </w:tcPr>
          <w:p w14:paraId="672A6659" wp14:textId="77777777">
            <w:pPr>
              <w:spacing w:line="240" w:lineRule="auto"/>
              <w:jc w:val="center"/>
            </w:pPr>
            <w:r w:rsidR="7A6EA4F2">
              <w:drawing>
                <wp:inline xmlns:wp14="http://schemas.microsoft.com/office/word/2010/wordprocessingDrawing" wp14:editId="3625830C" wp14:anchorId="7C4C8523">
                  <wp:extent cx="1512000" cy="426918"/>
                  <wp:effectExtent l="0" t="0" r="0" b="0"/>
                  <wp:docPr id="1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timbre.png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269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6" w:type="dxa"/>
            <w:tcMar/>
            <w:vAlign w:val="center"/>
          </w:tcPr>
          <w:p w14:paraId="056807CB" wp14:textId="77777777">
            <w:pPr>
              <w:spacing w:before="0" w:after="0" w:line="240" w:lineRule="auto"/>
              <w:jc w:val="left"/>
            </w:pPr>
            <w:r>
              <w:rPr>
                <w:b/>
                <w:color w:val="000000"/>
                <w:sz w:val="24"/>
              </w:rPr>
              <w:t>Poder Judiciário da União</w:t>
            </w:r>
          </w:p>
          <w:p w14:paraId="0C21EA25" wp14:textId="77777777">
            <w:pPr>
              <w:spacing w:before="0" w:after="0" w:line="240" w:lineRule="auto"/>
              <w:jc w:val="left"/>
            </w:pPr>
            <w:r>
              <w:rPr>
                <w:b w:val="0"/>
                <w:color w:val="000000"/>
                <w:sz w:val="22"/>
              </w:rPr>
              <w:t>Tribunal de Justiça do Distrito Federal e dos Territórios</w:t>
            </w:r>
          </w:p>
          <w:p w14:paraId="5F994615" wp14:textId="77777777">
            <w:pPr>
              <w:spacing w:before="0" w:after="0" w:line="240" w:lineRule="auto"/>
              <w:jc w:val="left"/>
            </w:pPr>
            <w:r>
              <w:rPr>
                <w:b w:val="0"/>
                <w:color w:val="000000"/>
                <w:sz w:val="22"/>
              </w:rPr>
              <w:t>GDSXSR</w:t>
            </w:r>
          </w:p>
          <w:p w14:paraId="51F8A651" wp14:textId="77777777">
            <w:pPr>
              <w:spacing w:before="0" w:after="0" w:line="240" w:lineRule="auto"/>
              <w:jc w:val="left"/>
            </w:pPr>
            <w:r>
              <w:rPr>
                <w:b w:val="0"/>
                <w:color w:val="000000"/>
                <w:sz w:val="22"/>
              </w:rPr>
              <w:t>GABINETE DO DESEMBARGADOR SÉRGIO ROCHA</w:t>
            </w: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97"/>
        <w:gridCol w:w="5839"/>
      </w:tblGrid>
      <w:tr xmlns:wp14="http://schemas.microsoft.com/office/word/2010/wordml" w:rsidTr="7A6EA4F2" w14:paraId="443659CF" wp14:textId="77777777">
        <w:tc>
          <w:tcPr>
            <w:tcW w:w="2268" w:type="dxa"/>
            <w:tcMar/>
          </w:tcPr>
          <w:p w14:paraId="6F66D78F" wp14:textId="77777777">
            <w:pPr>
              <w:spacing w:before="0" w:after="0" w:line="360" w:lineRule="auto"/>
              <w:jc w:val="left"/>
            </w:pPr>
            <w:r>
              <w:rPr>
                <w:b w:val="0"/>
                <w:i w:val="0"/>
                <w:color w:val="000000"/>
                <w:sz w:val="24"/>
              </w:rPr>
              <w:t>Órgão</w:t>
            </w:r>
          </w:p>
        </w:tc>
        <w:tc>
          <w:tcPr>
            <w:tcW w:w="397" w:type="dxa"/>
            <w:tcMar/>
          </w:tcPr>
          <w:p w14:paraId="2127E81B" wp14:textId="77777777">
            <w:pPr>
              <w:spacing w:before="0" w:after="0" w:line="360" w:lineRule="auto"/>
              <w:jc w:val="left"/>
            </w:pPr>
            <w:r w:rsidRPr="7A6EA4F2" w:rsidR="7A6EA4F2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:</w:t>
            </w:r>
          </w:p>
        </w:tc>
        <w:tc>
          <w:tcPr>
            <w:tcW w:w="5839" w:type="dxa"/>
            <w:tcMar/>
          </w:tcPr>
          <w:p w14:paraId="7BC8F9EF" wp14:textId="77777777">
            <w:pPr>
              <w:spacing w:before="0" w:after="0" w:line="360" w:lineRule="auto"/>
              <w:jc w:val="left"/>
            </w:pPr>
            <w:commentRangeStart w:id="0"/>
            <w:commentRangeStart w:id="295744808"/>
            <w:commentRangeStart w:id="2008684976"/>
            <w:r>
              <w:rPr>
                <w:b w:val="0"/>
                <w:i w:val="0"/>
                <w:color w:val="000000"/>
                <w:sz w:val="24"/>
              </w:rPr>
              <w:t>4ª Turma Cível</w:t>
            </w:r>
            <w:commentRangeEnd w:id="0"/>
            <w:r>
              <w:rPr>
                <w:rStyle w:val="CommentReference"/>
              </w:rPr>
              <w:commentReference w:id="0"/>
            </w:r>
            <w:commentRangeEnd w:id="295744808"/>
            <w:r>
              <w:rPr>
                <w:rStyle w:val="CommentReference"/>
              </w:rPr>
              <w:commentReference w:id="295744808"/>
            </w:r>
            <w:commentRangeEnd w:id="2008684976"/>
            <w:r>
              <w:rPr>
                <w:rStyle w:val="CommentReference"/>
              </w:rPr>
              <w:commentReference w:id="2008684976"/>
            </w:r>
          </w:p>
        </w:tc>
      </w:tr>
      <w:tr xmlns:wp14="http://schemas.microsoft.com/office/word/2010/wordml" w:rsidTr="7A6EA4F2" w14:paraId="2314F5FD" wp14:textId="77777777">
        <w:tc>
          <w:tcPr>
            <w:tcW w:w="2268" w:type="dxa"/>
            <w:tcMar/>
          </w:tcPr>
          <w:p w14:paraId="671FE9FF" wp14:textId="77777777">
            <w:pPr>
              <w:spacing w:before="0" w:after="0" w:line="360" w:lineRule="auto"/>
              <w:jc w:val="left"/>
            </w:pPr>
            <w:r>
              <w:rPr>
                <w:b w:val="0"/>
                <w:i w:val="0"/>
                <w:color w:val="000000"/>
                <w:sz w:val="24"/>
              </w:rPr>
              <w:t>Classe</w:t>
            </w:r>
          </w:p>
        </w:tc>
        <w:tc>
          <w:tcPr>
            <w:tcW w:w="397" w:type="dxa"/>
            <w:tcMar/>
          </w:tcPr>
          <w:p w14:paraId="67A8245E" wp14:textId="77777777">
            <w:pPr>
              <w:spacing w:before="0" w:after="0" w:line="360" w:lineRule="auto"/>
              <w:jc w:val="left"/>
            </w:pPr>
            <w:r w:rsidRPr="7A6EA4F2" w:rsidR="7A6EA4F2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:</w:t>
            </w:r>
          </w:p>
        </w:tc>
        <w:tc>
          <w:tcPr>
            <w:tcW w:w="5839" w:type="dxa"/>
            <w:tcMar/>
          </w:tcPr>
          <w:p w14:paraId="45598A79" wp14:textId="77777777">
            <w:pPr>
              <w:spacing w:before="0" w:after="0" w:line="360" w:lineRule="auto"/>
              <w:jc w:val="left"/>
            </w:pPr>
            <w:r w:rsidRPr="7A6EA4F2" w:rsidR="7A6EA4F2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Agravo de Instrumento</w:t>
            </w:r>
          </w:p>
        </w:tc>
      </w:tr>
      <w:tr xmlns:wp14="http://schemas.microsoft.com/office/word/2010/wordml" w:rsidTr="7A6EA4F2" w14:paraId="5BDF8430" wp14:textId="77777777">
        <w:tc>
          <w:tcPr>
            <w:tcW w:w="2268" w:type="dxa"/>
            <w:tcMar/>
          </w:tcPr>
          <w:p w14:paraId="7386709D" wp14:textId="77777777">
            <w:pPr>
              <w:spacing w:before="0" w:after="0" w:line="360" w:lineRule="auto"/>
              <w:jc w:val="left"/>
            </w:pPr>
            <w:r>
              <w:rPr>
                <w:b w:val="0"/>
                <w:i w:val="0"/>
                <w:color w:val="000000"/>
                <w:sz w:val="24"/>
              </w:rPr>
              <w:t>Processo nº</w:t>
            </w:r>
          </w:p>
        </w:tc>
        <w:tc>
          <w:tcPr>
            <w:tcW w:w="397" w:type="dxa"/>
            <w:tcMar/>
          </w:tcPr>
          <w:p w14:paraId="56A8759A" wp14:textId="77777777">
            <w:pPr>
              <w:spacing w:before="0" w:after="0" w:line="360" w:lineRule="auto"/>
              <w:jc w:val="left"/>
            </w:pPr>
            <w:r w:rsidRPr="7A6EA4F2" w:rsidR="7A6EA4F2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:</w:t>
            </w:r>
          </w:p>
        </w:tc>
        <w:tc>
          <w:tcPr>
            <w:tcW w:w="5839" w:type="dxa"/>
            <w:tcMar/>
          </w:tcPr>
          <w:p w14:paraId="762AC99E" wp14:textId="77777777">
            <w:pPr>
              <w:spacing w:before="0" w:after="0" w:line="360" w:lineRule="auto"/>
              <w:jc w:val="left"/>
            </w:pPr>
            <w:r w:rsidRPr="7A6EA4F2" w:rsidR="7A6EA4F2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0717687-69.2026.8.07.0000</w:t>
            </w:r>
          </w:p>
        </w:tc>
      </w:tr>
      <w:tr xmlns:wp14="http://schemas.microsoft.com/office/word/2010/wordml" w:rsidTr="7A6EA4F2" w14:paraId="09A71FFC" wp14:textId="77777777">
        <w:tc>
          <w:tcPr>
            <w:tcW w:w="2268" w:type="dxa"/>
            <w:tcMar/>
          </w:tcPr>
          <w:p w14:paraId="15901F2C" wp14:textId="77777777">
            <w:pPr>
              <w:spacing w:before="0" w:after="0" w:line="360" w:lineRule="auto"/>
              <w:jc w:val="left"/>
            </w:pPr>
            <w:r>
              <w:rPr>
                <w:b w:val="0"/>
                <w:i w:val="0"/>
                <w:color w:val="000000"/>
                <w:sz w:val="24"/>
              </w:rPr>
              <w:t>Agravante (s)</w:t>
            </w:r>
          </w:p>
        </w:tc>
        <w:tc>
          <w:tcPr>
            <w:tcW w:w="397" w:type="dxa"/>
            <w:tcMar/>
          </w:tcPr>
          <w:p w14:paraId="18329EB3" wp14:textId="77777777">
            <w:pPr>
              <w:spacing w:before="0" w:after="0" w:line="360" w:lineRule="auto"/>
              <w:jc w:val="left"/>
            </w:pPr>
            <w:r w:rsidRPr="7A6EA4F2" w:rsidR="7A6EA4F2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:</w:t>
            </w:r>
          </w:p>
        </w:tc>
        <w:tc>
          <w:tcPr>
            <w:tcW w:w="5839" w:type="dxa"/>
            <w:tcMar/>
          </w:tcPr>
          <w:p w14:paraId="692CFCBD" wp14:textId="77777777">
            <w:pPr>
              <w:spacing w:before="0" w:after="0" w:line="360" w:lineRule="auto"/>
              <w:jc w:val="left"/>
            </w:pPr>
            <w:commentRangeStart w:id="3"/>
            <w:r>
              <w:rPr>
                <w:b w:val="0"/>
                <w:i w:val="0"/>
                <w:color w:val="000000"/>
                <w:sz w:val="24"/>
              </w:rPr>
              <w:t>OSVALDO GONDIM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xmlns:wp14="http://schemas.microsoft.com/office/word/2010/wordml" w:rsidTr="7A6EA4F2" w14:paraId="404FA486" wp14:textId="77777777">
        <w:tc>
          <w:tcPr>
            <w:tcW w:w="2268" w:type="dxa"/>
            <w:tcMar/>
          </w:tcPr>
          <w:p w14:paraId="384CDB1A" wp14:textId="77777777">
            <w:pPr>
              <w:spacing w:before="0" w:after="0" w:line="360" w:lineRule="auto"/>
              <w:jc w:val="left"/>
            </w:pPr>
            <w:r>
              <w:rPr>
                <w:b w:val="0"/>
                <w:i w:val="0"/>
                <w:color w:val="000000"/>
                <w:sz w:val="24"/>
              </w:rPr>
              <w:t>Agravado (a)(s)</w:t>
            </w:r>
          </w:p>
        </w:tc>
        <w:tc>
          <w:tcPr>
            <w:tcW w:w="397" w:type="dxa"/>
            <w:tcMar/>
          </w:tcPr>
          <w:p w14:paraId="370CD116" wp14:textId="77777777">
            <w:pPr>
              <w:spacing w:before="0" w:after="0" w:line="360" w:lineRule="auto"/>
              <w:jc w:val="left"/>
            </w:pPr>
            <w:r w:rsidRPr="7A6EA4F2" w:rsidR="7A6EA4F2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:</w:t>
            </w:r>
          </w:p>
        </w:tc>
        <w:tc>
          <w:tcPr>
            <w:tcW w:w="5839" w:type="dxa"/>
            <w:tcMar/>
          </w:tcPr>
          <w:p w14:paraId="415C7692" wp14:textId="77777777">
            <w:pPr>
              <w:spacing w:before="0" w:after="0" w:line="360" w:lineRule="auto"/>
              <w:jc w:val="left"/>
            </w:pPr>
            <w:r>
              <w:rPr>
                <w:b w:val="0"/>
                <w:i w:val="0"/>
                <w:color w:val="000000"/>
                <w:sz w:val="24"/>
              </w:rPr>
              <w:t>CAIXA DE PREVIDÊNCIA DOS FUNCIONÁRIOS DO BANCO DO BRASIL – PREVI</w:t>
            </w:r>
          </w:p>
        </w:tc>
      </w:tr>
      <w:tr xmlns:wp14="http://schemas.microsoft.com/office/word/2010/wordml" w:rsidTr="7A6EA4F2" w14:paraId="3D9F16A8" wp14:textId="77777777">
        <w:tc>
          <w:tcPr>
            <w:tcW w:w="2268" w:type="dxa"/>
            <w:tcMar/>
          </w:tcPr>
          <w:p w14:paraId="42E49AD6" wp14:textId="77777777">
            <w:pPr>
              <w:spacing w:before="0" w:after="0" w:line="360" w:lineRule="auto"/>
              <w:jc w:val="left"/>
            </w:pPr>
            <w:r>
              <w:rPr>
                <w:b w:val="0"/>
                <w:i w:val="0"/>
                <w:color w:val="000000"/>
                <w:sz w:val="24"/>
              </w:rPr>
              <w:t>Relator(a)</w:t>
            </w:r>
          </w:p>
        </w:tc>
        <w:tc>
          <w:tcPr>
            <w:tcW w:w="397" w:type="dxa"/>
            <w:tcMar/>
          </w:tcPr>
          <w:p w14:paraId="69B263F4" wp14:textId="77777777">
            <w:pPr>
              <w:spacing w:before="0" w:after="0" w:line="360" w:lineRule="auto"/>
              <w:jc w:val="left"/>
            </w:pPr>
            <w:r w:rsidRPr="7A6EA4F2" w:rsidR="7A6EA4F2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:</w:t>
            </w:r>
          </w:p>
        </w:tc>
        <w:tc>
          <w:tcPr>
            <w:tcW w:w="5839" w:type="dxa"/>
            <w:tcMar/>
          </w:tcPr>
          <w:p w14:paraId="2DE0CA21" wp14:textId="77777777">
            <w:pPr>
              <w:spacing w:before="0" w:after="0" w:line="360" w:lineRule="auto"/>
              <w:jc w:val="left"/>
            </w:pPr>
            <w:r>
              <w:rPr>
                <w:b/>
                <w:i w:val="0"/>
                <w:color w:val="000000"/>
                <w:sz w:val="24"/>
              </w:rPr>
              <w:t>Des. Sérgio Rocha</w:t>
            </w:r>
          </w:p>
        </w:tc>
      </w:tr>
    </w:tbl>
    <w:p>
      <w:pPr>
        <w:spacing w:line="360" w:lineRule="auto" w:after="0" w:before="0"/>
        <w:jc w:val="left"/>
      </w:pPr>
      <w:r>
        <w:rPr>
          <w:rFonts w:ascii="Arial" w:hAnsi="Arial" w:cs="Arial"/>
          <w:b/>
          <w:i w:val="0"/>
          <w:color w:val="000000"/>
          <w:sz w:val="28"/>
        </w:rPr>
        <w:t>EMENTA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AGRAVO DE INSTRUMENTO. PROCESSO CIVIL. PREVIDÊNCIA COMPLEMENTAR. LIQUIDAÇÃO DE SENTENÇA. HOMOLOGAÇÃO DE LAUDO PERICIAL. RESERVA MATEMÁTICA. COMPENSAÇÃO DAS DIFERENÇAS VENCIDAS COM A RESERVA FUTURA. RECURSO PROVIDO.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000000"/>
          <w:sz w:val="28"/>
        </w:rPr>
        <w:t>I. Caso em exame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1. Liquidação por arbitramento movida por Osvaldo Gondim em face da Caixa de Previdência dos Funcionários do Banco do Brasil – Previ, para apurar a recomposição da reserva matemática necessária à revisão do benefício de complementação de aposentadoria com verbas reconhecidas na Justiça do Trabalho (R$ 152.741,53).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2. A decisão agravada homologou o laudo pericial complementar, concluiu que o autor deve aportar R$ 678.107,82 para receber benefício mensal de R$ 4.420,47, nada tendo a receber, e determinou o arquivamento do feito.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3. O autor agrava requerendo a recomposição da reserva matemática com a compensação das diferenças vencidas, de modo que o aporte seja de R$ 123.725,65.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000000"/>
          <w:sz w:val="28"/>
        </w:rPr>
        <w:t>II. Questão em discussão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4. Há duas questões em discussão: (i) saber se o agravo deve ser conhecido, diante da apresentação na origem e do pagamento das custas antes da distribuição; e (ii) saber se o laudo homologado observou a compensação determinada no acórdão do agravo anterior.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000000"/>
          <w:sz w:val="28"/>
        </w:rPr>
        <w:t>III. Razões de decidir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5. O agravo apresentado na origem no último dia do prazo é tempestivo, pois o CPC 1.017 § 2º II admite o protocolo na comarca de origem, inclusive nos autos eletrônicos (STJ, AREsp 2.310.193).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6. As custas foram pagas e certificadas nos autos de origem antes da distribuição do agravo, o que afasta a deserção (CPC 1.007 § 4º).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7. O acórdão do agravo anterior, transitado em julgado, determinou que o valor a ser recebido pelo autor fosse compensado com a reserva matemática futura, em conformidade com o acórdão paradigma n. 1978927, e o STJ admite a compensação na liquidação (STJ, AgInt no REsp 2.119.684).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8. O laudo homologado anulou as diferenças vencidas contra a reserva matemática passada, de modo que o aporte equivaleu à reserva futura, sem a compensação determinada.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000000"/>
          <w:sz w:val="28"/>
        </w:rPr>
        <w:t>IV. Dispositivo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9. Deu-se provimento ao agravo de instrumento do autor para anular a decisão agravada e determinar que a perita refaça o cálculo, compensando as diferenças vencidas com a reserva matemática futura.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0000"/>
          <w:sz w:val="28"/>
          <w:u w:val="single"/>
        </w:rPr>
        <w:t>_</w:t>
      </w:r>
      <w:r>
        <w:rPr>
          <w:rFonts w:ascii="Arial" w:hAnsi="Arial" w:cs="Arial"/>
          <w:b w:val="0"/>
          <w:i w:val="0"/>
          <w:color w:val="000000"/>
          <w:sz w:val="28"/>
          <w:u w:val="single"/>
        </w:rPr>
        <w:t>_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/>
          <w:color w:val="000000"/>
          <w:sz w:val="28"/>
        </w:rPr>
        <w:t>Dispositivos relevantes citados: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CPC, art. 1.007, § 4º; art. 1.017, § 2º, II.</w:t>
      </w:r>
    </w:p>
    <w:p>
      <w:pPr>
        <w:spacing w:line="360" w:lineRule="auto" w:after="0" w:before="0"/>
        <w:jc w:val="both"/>
      </w:pPr>
      <w:commentRangeStart w:id="0"/>
      <w:r>
        <w:rPr>
          <w:rFonts w:ascii="Arial" w:hAnsi="Arial" w:cs="Arial"/>
          <w:b w:val="0"/>
          <w:i/>
          <w:color w:val="000000"/>
          <w:sz w:val="28"/>
        </w:rPr>
        <w:t>Jurisprudência relevante citada: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STJ, AREsp nº 2.310.193, Rel. Min. Raul Araújo, Quarta Turma, j. 16/12/2025; STJ, AgInt no REsp nº 2.119.684, Rel. Min. Maria Isabel Gallotti, Quarta Turma, j. 15/06/2026; TJDFT, Acórdão 1978927, Rel. Des. Soníria Rocha Campos D'Assunção, 6ª Turma Cível, j. 12/03/2025, DJe 03/04/2025.</w:t>
      </w:r>
      <w:commentRangeEnd w:id="0"/>
      <w:r>
        <w:rPr>
          <w:rStyle w:val="CommentReference"/>
          <w:color w:val="000000"/>
        </w:rPr>
        <w:commentReference w:id="0"/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  <w:highlight w:val="yellow"/>
        </w:rPr>
        <w:t>RESUMO DA DECISÃO EM SENTIDO CONTRÁRIO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I. RAZÕES DE DECIDIR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1. Cumprimento do acórdão do agravo anterior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Os laudos complementares (IDs 260734965 e 267956335 da origem) trazem os detalhamentos determinados no acórdão e impugnam tecnicamente as alegações do autor, de modo que foram cumpridas as determinações e respondidos os quesitos.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2. Reserva matemática vencida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A formação da reserva matemática vencida e vincenda decorre da determinação do STJ, que condiciona a revisão do benefício à recomposição prévia e integral pelo participante, e está superada a tese de exclusão da reserva vencida.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3. Compensação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Nos embargos de declaração, a revisão depende do custeio prévio e da formação da reserva, e acórdão da 1ª Turma Cível (Acórdão 1799250) entende inviável a compensação, por faltarem obrigações líquidas e certas (CC 368 e 369).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II. DISPOSITIVO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Homologou o laudo, concluiu que o autor deve aportar R$ 678.107,82 para receber benefício de R$ 4.420,47, nada tendo a receber, encerrou a liquidação, determinou o arquivamento e rejeitou os embargos de declaração.</w:t>
      </w:r>
    </w:p>
    <w:p>
      <w:pPr>
        <w:pageBreakBefore/>
        <w:spacing w:line="360" w:lineRule="auto" w:after="0" w:before="0"/>
        <w:jc w:val="center"/>
      </w:pPr>
      <w:r>
        <w:rPr>
          <w:rFonts w:ascii="Arial" w:hAnsi="Arial" w:cs="Arial"/>
          <w:b/>
          <w:i w:val="0"/>
          <w:color w:val="000000"/>
          <w:sz w:val="28"/>
        </w:rPr>
        <w:t>RELATÓRIO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Trata-se de agravo de instrumento interposto por OSVALDO GONDIM contra decisão que, na liquidação por arbitramento (R$ 152.741,53) movida em face da CAIXA DE PREVIDÊNCIA DOS FUNCIONÁRIOS DO BANCO DO BRASIL – PREVI, homologou o laudo pericial complementar e encerrou a liquidação, nos seguintes termos (ID 269498937, do processo de origem):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color w:val="000000"/>
          <w:sz w:val="26"/>
        </w:rPr>
        <w:t>“(...) Analisando os Laudos complementares de IDs 260734965 e 267956335, verifica-se que a ilustre perita traz os detalhamentos apontados no acórdão e impugna, tecnicamente, as alegações do exequente.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color w:val="000000"/>
          <w:sz w:val="26"/>
        </w:rPr>
        <w:t>Com efeito, tenho que os laudos elaborados pela perita (ID 260734965 e 267956335) estão em consonância com os julgados, tendo aquela cumprido com as determinações pretéritas e respondido os questionamentos e quesitos, motivo pelo qual HOMOLOGO O LAUDO PERICIAL, concluindo que ‘a parte autora deve fazer o aporte de R$ 678.107,82 (seiscentos e setenta e oito mil, cento e sete reais e oitenta e dois centavos) à parte ré para vir a receber benefício no valor de R$ 4.420,47. Em outras palavras, a parte autora nada tem a receber.’</w:t>
      </w:r>
    </w:p>
    <w:p>
      <w:pPr>
        <w:spacing w:line="360" w:lineRule="auto" w:after="0" w:before="0"/>
        <w:ind w:firstLine="1134" w:left="2268"/>
        <w:jc w:val="both"/>
      </w:pPr>
      <w:commentRangeStart w:id="1"/>
      <w:r>
        <w:rPr>
          <w:rFonts w:ascii="Arial" w:hAnsi="Arial" w:cs="Arial"/>
          <w:b w:val="0"/>
          <w:i/>
          <w:color w:val="000000"/>
          <w:sz w:val="26"/>
        </w:rPr>
        <w:t>Encerro a fase de Liquidação de Sentença, e não havendo nada a receber a autora, arquivem-se os autos.”</w:t>
      </w:r>
      <w:commentRangeEnd w:id="1"/>
      <w:r>
        <w:rPr>
          <w:rStyle w:val="CommentReference"/>
          <w:color w:val="000000"/>
        </w:rPr>
        <w:commentReference w:id="1"/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Os embargos de declaração foram rejeitados (ID 270725617, do processo de origem).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 xml:space="preserve">O agravante alega, em síntese, que: </w:t>
      </w:r>
      <w:r>
        <w:rPr>
          <w:rFonts w:ascii="Arial" w:hAnsi="Arial" w:cs="Arial"/>
          <w:b/>
          <w:i w:val="0"/>
          <w:color w:val="000000"/>
          <w:sz w:val="28"/>
        </w:rPr>
        <w:t>1)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o laudo complementar 3 descumpriu o acórdão do agravo anterior, pois manteve os valores sem compensar as diferenças vencidas com o custeio da reserva matemática; </w:t>
      </w:r>
      <w:r>
        <w:rPr>
          <w:rFonts w:ascii="Arial" w:hAnsi="Arial" w:cs="Arial"/>
          <w:b/>
          <w:i w:val="0"/>
          <w:color w:val="000000"/>
          <w:sz w:val="28"/>
        </w:rPr>
        <w:t>2)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o critério do acórdão paradigma n. 1978927, que abateu as contribuições das diferenças vencidas e compensou o resultado com a reserva futura, é o mesmo que adota; </w:t>
      </w:r>
      <w:r>
        <w:rPr>
          <w:rFonts w:ascii="Arial" w:hAnsi="Arial" w:cs="Arial"/>
          <w:b/>
          <w:i w:val="0"/>
          <w:color w:val="000000"/>
          <w:sz w:val="28"/>
        </w:rPr>
        <w:t>3)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o Tema 955/STJ prevê a recomposição prévia da reserva só para as parcelas vincendas, e a reserva matemática passada não tem amparo nas decisões, no estatuto nem no regulamento da Previ; </w:t>
      </w:r>
      <w:r>
        <w:rPr>
          <w:rFonts w:ascii="Arial" w:hAnsi="Arial" w:cs="Arial"/>
          <w:b/>
          <w:i w:val="0"/>
          <w:color w:val="000000"/>
          <w:sz w:val="28"/>
        </w:rPr>
        <w:t>4)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compensadas as verbas, o aporte seria de R$ 123.725,65; </w:t>
      </w:r>
      <w:r>
        <w:rPr>
          <w:rFonts w:ascii="Arial" w:hAnsi="Arial" w:cs="Arial"/>
          <w:b/>
          <w:i w:val="0"/>
          <w:color w:val="000000"/>
          <w:sz w:val="28"/>
        </w:rPr>
        <w:t>5)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não tem recursos para aportar de imediato R$ 678.107,82, e a retenção das contribuições pessoais pela Previ seria enriquecimento ilícito.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Requer o provimento do agravo para reformar a decisão agravada e promover a recomposição das reservas matemáticas nos termos do Tema 955/STJ (REsp 1.312.736/RS).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Não houve pedido de efeito suspensivo ou de antecipação da tutela recursal.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 xml:space="preserve">Em contrarrazões, a agravada, PREVI, sustenta que: </w:t>
      </w:r>
      <w:r>
        <w:rPr>
          <w:rFonts w:ascii="Arial" w:hAnsi="Arial" w:cs="Arial"/>
          <w:b/>
          <w:i w:val="0"/>
          <w:color w:val="000000"/>
          <w:sz w:val="28"/>
        </w:rPr>
        <w:t>1)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não é possível compensar o valor da reserva matemática a ser recomposta com as diferenças do benefício, que são mera expectativa de direito enquanto a reserva não for recomposta; </w:t>
      </w:r>
      <w:r>
        <w:rPr>
          <w:rFonts w:ascii="Arial" w:hAnsi="Arial" w:cs="Arial"/>
          <w:b/>
          <w:i w:val="0"/>
          <w:color w:val="000000"/>
          <w:sz w:val="28"/>
        </w:rPr>
        <w:t>2)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o provimento do agravo configuraria enriquecimento sem causa do agravante (ID 84939119).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Por despacho, determinei a intimação do agravante para recolher o preparo em dobro e para se manifestar sobre a aparente intempestividade do recurso (CPC 1.007 § 4º; ID 88383373). O agravante peticionou, esclarecendo que protocolou o agravo na origem em 29/04/2026 e que pagou as custas, de R$ 48,34, na mesma data, e juntou os comprovantes (ID 88780024 e anexos).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É o relatório.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pageBreakBefore/>
        <w:spacing w:line="360" w:lineRule="auto" w:after="0" w:before="0"/>
        <w:jc w:val="center"/>
      </w:pPr>
      <w:r>
        <w:rPr>
          <w:rFonts w:ascii="Arial" w:hAnsi="Arial" w:cs="Arial"/>
          <w:b/>
          <w:i w:val="0"/>
          <w:color w:val="000000"/>
          <w:sz w:val="28"/>
        </w:rPr>
        <w:t>VOTO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000000"/>
          <w:sz w:val="28"/>
        </w:rPr>
        <w:t>O Senhor Desembargador SÉRGIO ROCHA – Relator.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jc w:val="center"/>
      </w:pPr>
      <w:r>
        <w:rPr>
          <w:rFonts w:ascii="Arial" w:hAnsi="Arial" w:cs="Arial"/>
          <w:b/>
          <w:i w:val="0"/>
          <w:color w:val="000000"/>
          <w:sz w:val="28"/>
        </w:rPr>
        <w:t>AGRAVO DE INSTRUMENTO DO AUTOR, OSVALDO GONDIM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jc w:val="center"/>
      </w:pPr>
      <w:r>
        <w:rPr>
          <w:rFonts w:ascii="Arial" w:hAnsi="Arial" w:cs="Arial"/>
          <w:b w:val="0"/>
          <w:i w:val="0"/>
          <w:color w:val="000000"/>
          <w:sz w:val="28"/>
          <w:highlight w:val="yellow"/>
        </w:rPr>
        <w:t>DA TEMPESTIVIDADE E DO PREPARO DO AGRAVO DE INSTRUMENTO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 xml:space="preserve">O agravante alega que: </w:t>
      </w:r>
      <w:r>
        <w:rPr>
          <w:rFonts w:ascii="Arial" w:hAnsi="Arial" w:cs="Arial"/>
          <w:b/>
          <w:i w:val="0"/>
          <w:color w:val="000000"/>
          <w:sz w:val="28"/>
        </w:rPr>
        <w:t>1)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protocolou o agravo, com as razões, na origem em 29/04/2026, último dia do prazo; </w:t>
      </w:r>
      <w:r>
        <w:rPr>
          <w:rFonts w:ascii="Arial" w:hAnsi="Arial" w:cs="Arial"/>
          <w:b/>
          <w:i w:val="0"/>
          <w:color w:val="000000"/>
          <w:sz w:val="28"/>
        </w:rPr>
        <w:t>2)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pagou as custas, de R$ 48,34, nessa mesma data, e o comprovante foi juntado aos autos de origem (ID 88780024).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  <w:highlight w:val="yellow"/>
        </w:rPr>
        <w:t>Com razão o agravante.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O CPC 1.017 § 2º II admite o protocolo do agravo na própria comarca de origem, e o STJ entende que a regra vale também para os autos eletrônicos: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color w:val="000000"/>
          <w:sz w:val="26"/>
        </w:rPr>
        <w:t xml:space="preserve">“(...) 1. O art. 1.017, §2º, II, do CPC/2015, autoriza expressamente o protocolo do agravo de instrumento na comarca ou subseção judiciária de origem, </w:t>
      </w:r>
      <w:r>
        <w:rPr>
          <w:rFonts w:ascii="Arial" w:hAnsi="Arial" w:cs="Arial"/>
          <w:b w:val="0"/>
          <w:i/>
          <w:color w:val="000000"/>
          <w:sz w:val="26"/>
          <w:u w:val="single"/>
        </w:rPr>
        <w:t>sem distinção entre processos físicos ou eletrônicos</w:t>
      </w:r>
      <w:r>
        <w:rPr>
          <w:rFonts w:ascii="Arial" w:hAnsi="Arial" w:cs="Arial"/>
          <w:b w:val="0"/>
          <w:i/>
          <w:color w:val="000000"/>
          <w:sz w:val="26"/>
        </w:rPr>
        <w:t>. (...) 3. Há julgado do Superior Tribunal de Justiça que reconhece que o protocolo do agravo de instrumento no juízo de origem é válido e deve ser considerado para fins de análise da tempestividade do recurso (...).” (STJ, AREsp 2.310.193, Rel. Min. Raul Araújo, Quarta Turma, j. 16/12/2025.) – Grifei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commentRangeStart w:id="2"/>
      <w:r>
        <w:rPr>
          <w:rFonts w:ascii="Arial" w:hAnsi="Arial" w:cs="Arial"/>
          <w:b w:val="0"/>
          <w:i w:val="0"/>
          <w:color w:val="000000"/>
          <w:sz w:val="28"/>
        </w:rPr>
        <w:t>No caso, o prazo terminava em 29/04/2026, e a comunicação de interposição, com o agravo, foi assinada nessa data, às 09:54:30 (ID 88383373 e 274007871, do processo de origem). Logo, o agravo é tempestivo.</w:t>
      </w:r>
      <w:commentRangeEnd w:id="2"/>
      <w:r>
        <w:rPr>
          <w:rStyle w:val="CommentReference"/>
          <w:color w:val="000000"/>
        </w:rPr>
        <w:commentReference w:id="2"/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Quanto ao preparo, as custas do agravo foram pagas em 29/04/2026, às 10:04:58, antes da distribuição do recurso neste Tribunal, ocorrida em 30/04/2026 (ID 88780026 e 88780028).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commentRangeStart w:id="3"/>
      <w:r>
        <w:rPr>
          <w:rFonts w:ascii="Arial" w:hAnsi="Arial" w:cs="Arial"/>
          <w:b w:val="0"/>
          <w:i w:val="0"/>
          <w:color w:val="000000"/>
          <w:sz w:val="28"/>
        </w:rPr>
        <w:t>O comprovante foi certificado pelo sistema do Tribunal e juntado aos autos de origem, em que o agravo foi protocolado, às 10:05 do mesmo dia (ID 274009471, do processo de origem). O agravante o noticiou ao Juízo de origem em 30/04/2026 (ID 274195796, do processo de origem).</w:t>
      </w:r>
      <w:commentRangeEnd w:id="3"/>
      <w:r>
        <w:rPr>
          <w:rStyle w:val="CommentReference"/>
          <w:color w:val="000000"/>
        </w:rPr>
        <w:commentReference w:id="3"/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Assim, o pagamento e a sua comprovação nos autos eletrônicos precederam a distribuição do agravo, de modo que não se justifica a pena de deserção (CPC 1.007 § 4º). Reconsidero, por isso, o despacho que determinou o recolhimento em dobro (ID 88383373).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Presentes os pressupostos de admissibilidade, conheço do agravo de instrumento.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jc w:val="center"/>
      </w:pPr>
      <w:r>
        <w:rPr>
          <w:rFonts w:ascii="Arial" w:hAnsi="Arial" w:cs="Arial"/>
          <w:b w:val="0"/>
          <w:i w:val="0"/>
          <w:color w:val="000000"/>
          <w:sz w:val="28"/>
          <w:highlight w:val="yellow"/>
        </w:rPr>
        <w:t>DA COMPENSAÇÃO DAS DIFERENÇAS VENCIDAS COM A RESERVA MATEMÁTICA FUTURA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 xml:space="preserve">O agravante alega que: </w:t>
      </w:r>
      <w:r>
        <w:rPr>
          <w:rFonts w:ascii="Arial" w:hAnsi="Arial" w:cs="Arial"/>
          <w:b/>
          <w:i w:val="0"/>
          <w:color w:val="000000"/>
          <w:sz w:val="28"/>
        </w:rPr>
        <w:t>1)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o laudo complementar 3 descumpriu o acórdão do agravo anterior, pois manteve os valores sem compensar as diferenças vencidas com o custeio da reserva matemática; </w:t>
      </w:r>
      <w:r>
        <w:rPr>
          <w:rFonts w:ascii="Arial" w:hAnsi="Arial" w:cs="Arial"/>
          <w:b/>
          <w:i w:val="0"/>
          <w:color w:val="000000"/>
          <w:sz w:val="28"/>
        </w:rPr>
        <w:t>2)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o critério do acórdão paradigma n. 1978927 é o mesmo que adota; </w:t>
      </w:r>
      <w:r>
        <w:rPr>
          <w:rFonts w:ascii="Arial" w:hAnsi="Arial" w:cs="Arial"/>
          <w:b/>
          <w:i w:val="0"/>
          <w:color w:val="000000"/>
          <w:sz w:val="28"/>
        </w:rPr>
        <w:t>3)</w:t>
      </w:r>
      <w:r>
        <w:rPr>
          <w:rFonts w:ascii="Arial" w:hAnsi="Arial" w:cs="Arial"/>
          <w:b w:val="0"/>
          <w:i w:val="0"/>
          <w:color w:val="000000"/>
          <w:sz w:val="28"/>
        </w:rPr>
        <w:t xml:space="preserve"> compensadas as verbas, o aporte seria de R$ 123.725,65 (ID 83835668).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Requer a reforma da r. decisão agravada para promover a recomposição das reservas matemáticas com a compensação.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  <w:highlight w:val="yellow"/>
        </w:rPr>
        <w:t>Com razão o agravante.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O acórdão do agravo anterior, transitado em julgado, reconheceu que a recomposição da reserva matemática, vencida e vincenda, é condição para a revisão do benefício (ID 257458886 e 257458885, do processo de origem). Nessa parte, está superada a tese de que a reserva matemática passada seria indevida.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Contudo, o mesmo acórdão anulou a homologação anterior porque o laudo não esclarecia o valor a ser recebido pelo credor, “o qual deve ser compensado com o valor da recomposição da reserva matemática futura” (ID 257458886, do processo de origem).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commentRangeStart w:id="4"/>
      <w:r>
        <w:rPr>
          <w:rFonts w:ascii="Arial" w:hAnsi="Arial" w:cs="Arial"/>
          <w:b w:val="0"/>
          <w:i w:val="0"/>
          <w:color w:val="000000"/>
          <w:sz w:val="28"/>
        </w:rPr>
        <w:t>Determinou, ainda, que o laudo especificasse as reservas, as diferenças a receber e o aporte “em conformidade com os cálculos confirmados pelo acórdão n. 1978927” (ID 257458886, do processo de origem).</w:t>
      </w:r>
      <w:commentRangeEnd w:id="4"/>
      <w:r>
        <w:rPr>
          <w:rStyle w:val="CommentReference"/>
          <w:color w:val="000000"/>
        </w:rPr>
        <w:commentReference w:id="4"/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No acórdão paradigma, o aporte resultou da conciliação entre a reserva matemática vencida, formada pelas diferenças do benefício líquidas das contribuições, e a reserva matemática a vencer: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left="2268"/>
        <w:jc w:val="both"/>
      </w:pPr>
      <w:commentRangeStart w:id="5"/>
      <w:r>
        <w:rPr>
          <w:rFonts w:ascii="Arial" w:hAnsi="Arial" w:cs="Arial"/>
          <w:b w:val="0"/>
          <w:i/>
          <w:color w:val="000000"/>
          <w:sz w:val="26"/>
        </w:rPr>
        <w:t xml:space="preserve">“(...) Ao ser feita esta dedução, o montante resultante, R$ 837.564,43 (...) equivale à Reserva Matemática ‘Vencida’ na data do Laudo. Quando é feita a conciliação entre o montante apurado de Reserva Matemática ‘Vencida’ e o de Reserva Matemática a Vencer, constata-se que </w:t>
      </w:r>
      <w:r>
        <w:rPr>
          <w:rFonts w:ascii="Arial" w:hAnsi="Arial" w:cs="Arial"/>
          <w:b w:val="0"/>
          <w:i/>
          <w:color w:val="000000"/>
          <w:sz w:val="26"/>
          <w:u w:val="single"/>
        </w:rPr>
        <w:t>para o Autor vir a receber as diferenças de benefícios</w:t>
      </w:r>
      <w:r>
        <w:rPr>
          <w:rFonts w:ascii="Arial" w:hAnsi="Arial" w:cs="Arial"/>
          <w:b w:val="0"/>
          <w:i/>
          <w:color w:val="000000"/>
          <w:sz w:val="26"/>
        </w:rPr>
        <w:t xml:space="preserve">, a partir de novembro/2023, </w:t>
      </w:r>
      <w:r>
        <w:rPr>
          <w:rFonts w:ascii="Arial" w:hAnsi="Arial" w:cs="Arial"/>
          <w:b w:val="0"/>
          <w:i/>
          <w:color w:val="000000"/>
          <w:sz w:val="26"/>
          <w:u w:val="single"/>
        </w:rPr>
        <w:t>é necessário um aporte</w:t>
      </w:r>
      <w:r>
        <w:rPr>
          <w:rFonts w:ascii="Arial" w:hAnsi="Arial" w:cs="Arial"/>
          <w:b w:val="0"/>
          <w:i/>
          <w:color w:val="000000"/>
          <w:sz w:val="26"/>
        </w:rPr>
        <w:t xml:space="preserve">, por parte do Requerente, </w:t>
      </w:r>
      <w:r>
        <w:rPr>
          <w:rFonts w:ascii="Arial" w:hAnsi="Arial" w:cs="Arial"/>
          <w:b w:val="0"/>
          <w:i/>
          <w:color w:val="000000"/>
          <w:sz w:val="26"/>
          <w:u w:val="single"/>
        </w:rPr>
        <w:t>de R$ 102.332,46</w:t>
      </w:r>
      <w:r>
        <w:rPr>
          <w:rFonts w:ascii="Arial" w:hAnsi="Arial" w:cs="Arial"/>
          <w:b w:val="0"/>
          <w:i/>
          <w:color w:val="000000"/>
          <w:sz w:val="26"/>
        </w:rPr>
        <w:t xml:space="preserve"> (...).” (TJDFT, Acórdão 1978927, Rel. Des. Soníria Rocha Campos D'Assunção, 6ª Turma Cível, j. 12/03/2025, DJe 03/04/2025.) – Grifei</w:t>
      </w:r>
      <w:commentRangeEnd w:id="5"/>
      <w:r>
        <w:rPr>
          <w:rStyle w:val="CommentReference"/>
          <w:color w:val="000000"/>
        </w:rPr>
        <w:commentReference w:id="5"/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commentRangeStart w:id="6"/>
      <w:r>
        <w:rPr>
          <w:rFonts w:ascii="Arial" w:hAnsi="Arial" w:cs="Arial"/>
          <w:b w:val="0"/>
          <w:i w:val="0"/>
          <w:color w:val="000000"/>
          <w:sz w:val="28"/>
        </w:rPr>
        <w:t>O laudo complementar 3, ao contrário, considerou a reserva matemática passada igual às parcelas vencidas e as anulou entre si. O aporte coincide, assim, com a reserva matemática futura, descontadas as contribuições recolhidas na reclamação trabalhista e abatida a multa de 2% (R$ 749.247,48 − R$ 66.836,46 − R$ 4.303,20 = R$ 678.107,82) (ID 267956335, do processo de origem).</w:t>
      </w:r>
      <w:commentRangeEnd w:id="6"/>
      <w:r>
        <w:rPr>
          <w:rStyle w:val="CommentReference"/>
          <w:color w:val="000000"/>
        </w:rPr>
        <w:commentReference w:id="6"/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Esse resultado não compensa as diferenças vencidas com a reserva futura, como determinado no acórdão.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A compensação, na liquidação, entre o aporte do participante e as diferenças a receber é admitida pelo STJ: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left="2268"/>
        <w:jc w:val="both"/>
      </w:pPr>
      <w:commentRangeStart w:id="7"/>
      <w:r>
        <w:rPr>
          <w:rFonts w:ascii="Arial" w:hAnsi="Arial" w:cs="Arial"/>
          <w:b w:val="0"/>
          <w:i/>
          <w:color w:val="000000"/>
          <w:sz w:val="26"/>
        </w:rPr>
        <w:t xml:space="preserve">“(...) 2. É possível a compensação em liquidação entre o aporte devido e os créditos do participante, desde que previamente constituída a integralidade da reserva técnica e </w:t>
      </w:r>
      <w:r>
        <w:rPr>
          <w:rFonts w:ascii="Arial" w:hAnsi="Arial" w:cs="Arial"/>
          <w:b w:val="0"/>
          <w:i/>
          <w:color w:val="000000"/>
          <w:sz w:val="26"/>
          <w:u w:val="single"/>
        </w:rPr>
        <w:t>observada a mesma data-base</w:t>
      </w:r>
      <w:r>
        <w:rPr>
          <w:rFonts w:ascii="Arial" w:hAnsi="Arial" w:cs="Arial"/>
          <w:b w:val="0"/>
          <w:i/>
          <w:color w:val="000000"/>
          <w:sz w:val="26"/>
        </w:rPr>
        <w:t>. (...)” (STJ, AgInt no REsp 2.119.684, Rel. Min. Maria Isabel Gallotti, Quarta Turma, j. 15/06/2026.) – Grifei</w:t>
      </w:r>
      <w:commentRangeEnd w:id="7"/>
      <w:r>
        <w:rPr>
          <w:rStyle w:val="CommentReference"/>
          <w:color w:val="000000"/>
        </w:rPr>
        <w:commentReference w:id="7"/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commentRangeStart w:id="8"/>
      <w:r>
        <w:rPr>
          <w:rFonts w:ascii="Arial" w:hAnsi="Arial" w:cs="Arial"/>
          <w:b w:val="0"/>
          <w:i w:val="0"/>
          <w:color w:val="000000"/>
          <w:sz w:val="28"/>
        </w:rPr>
        <w:t>Assim, deve ser anulada a decisão agravada, que homologou o laudo sem a compensação determinada, para que a perita refaça o cálculo, na mesma data-base, compensando as diferenças vencidas com a reserva matemática futura, como no acórdão paradigma.</w:t>
      </w:r>
      <w:commentRangeEnd w:id="8"/>
      <w:r>
        <w:rPr>
          <w:rStyle w:val="CommentReference"/>
          <w:color w:val="000000"/>
        </w:rPr>
        <w:commentReference w:id="8"/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jc w:val="center"/>
      </w:pPr>
      <w:r>
        <w:rPr>
          <w:rFonts w:ascii="Arial" w:hAnsi="Arial" w:cs="Arial"/>
          <w:b/>
          <w:i w:val="0"/>
          <w:color w:val="000000"/>
          <w:sz w:val="28"/>
        </w:rPr>
        <w:t>DISPOSITIVO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Ante o exposto, conheço do agravo de instrumento do autor, OSVALDO GONDIM, e dou-lhe provimento para anular a decisão agravada e determinar que a perita refaça o cálculo, na mesma data-base, compensando as diferenças do benefício vencidas com a reserva matemática futura, em conformidade com o acórdão paradigma n. 1978927.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color w:val="000000"/>
          <w:sz w:val="28"/>
        </w:rPr>
        <w:t>É como voto.</w:t>
      </w:r>
    </w:p>
    <w:p>
      <w:pPr>
        <w:spacing w:line="360" w:lineRule="auto" w:after="0"/>
        <w:ind w:firstLine="2268"/>
      </w:pPr>
      <w:r>
        <w:rPr>
          <w:color w:val="000000"/>
          <w:sz w:val="28"/>
        </w:rPr>
      </w:r>
    </w:p>
    <w:p>
      <w:pPr>
        <w:pageBreakBefore/>
        <w:spacing w:line="360" w:lineRule="auto" w:after="0" w:before="0"/>
        <w:jc w:val="center"/>
      </w:pPr>
      <w:r>
        <w:rPr>
          <w:rFonts w:ascii="Arial" w:hAnsi="Arial" w:cs="Arial"/>
          <w:b/>
          <w:i w:val="0"/>
          <w:color w:val="00B050"/>
          <w:sz w:val="27"/>
        </w:rPr>
        <w:t>DECISÃO AGRAVADA (ID 269498937 do processo de origem)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Poder Judiciário da União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TRIBUNAL DE JUSTIÇA DO DISTRITO FEDERAL E DOS TERRITÓRIOS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9ª Vara Cível de Brasília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Classe judicial: LIQUIDAÇÃO POR ARBITRAMENTO (151)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REQUERENTE: OSVALDO GONDIM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REQUERIDO: CAIXA DE PREVIDENCIA DOS FUNCIONARIOS DO BANCO DO BRASIL - PREVI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DECISÃO INTERLOCUTÓRIA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O acórdão de ID 238739911 determinou que o laudo pericial especificasse, detalhadamente, o valor da Reserva Matemática a Vencer (reserva futura); o valor das diferenças do benefício previdenciário a receber, bem como o valor do eventual aporte a ser pago pelo autor para receber as diferenças de benefícios, em conformidade com os cálculos confirmados pelo acórdão n. 1978927, utilizado como paradigma na decisão de ID 234558279.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Intimada, a perita nomeada apresentou laudo complementar ao ID 260734965.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As partes foram intimadas a se manifestarem. Apenas a parte autora impugnou o laudo, alegando, em suma, que as reservas matemáticas vencidas devem ser excluídas e que as decisões judiciais reconheceram a possibilidade de compensação entre a contribuição do participante (reserva matemática) e o valor que lhe é devido (diferenças vencidas e multa de 2%).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Instada a perita a se manifestar, reproduziu o laudo, mantendo-o integralmente. Reforça que os cálculos seguiram as decisões e teses do Superior Tribunal de Justiça.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 parte autora ao ID 268977702 reitera os mesmos argumentos, e a parte ré deixou o prazo transcorrer "in albis", conforme atesta certidão de ID 269461640.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Os autos vieram conclusos.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Decido.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É certo que o acórdão de ID 257458886 proveu o recurso de Agravo de Instrumento interposto pela parte autora ante a necessidade de detalhamento dos cálculos apresentados pela perita, notadamente quanto a especificação detalhada do valor da Reserva Matemática a Vencer (reserva futura); o valor das diferenças do benefício previdenciário a receber, bem como o valor do eventual aporte a ser pago pelo autor para receber as diferenças de benefícios, em conformidade com os cálculos confirmados pelo acórdão n. 1978927, utilizado como paradigma na decisão agravada.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Contudo, o acórdão é firme em consignar que  "a correspondente recomposição da  reserva matemática é condição necessária para a percepção do reflexo patrimonial". Nesse sentido, transcrevo o trecho do voto: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(...) Ademais, a jurisprudência do STJ é firme no sentido que “[o]s valores devidos pelo participante relativos ao aporte da sua cota na recomposição da reserva matemática e aqueles a serem eventualmente recebidos com a revisão do benefício complementar, podem ser compensados.” (STJ - REsp: 1960504, Relator: Ministro HUMBERTO MARTINS, Data de Publicação: Data da Publicação DJ 02/08/2024).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(...)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Com efeito, a necessidade de formação da reserva matemática vencida e vincenda decorre da própria determinação do STJ, que condiciona a revisão da complementação da aposentadoria à recomposição prévia integral pelo participante/assistido.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Portanto, superada a tese de exclusão das reservas matemáticas vencidas.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Analisando os Laudos complementares de  IDs 260734965 e 267956335, verifica-se que a ilustre perita traz os detalhamentos apontados no acórdão e impugna, tecnicamente, as alegações do exequente.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Com efeito, tenho que os laudos elaborados pela perita (ID 260734965 e 267956335) estão em consonância com os julgados, tendo aquela cumprido com as determinações pretéritas e respondido os questionamentos e quesitos, motivo pelo qual HOMOLOGO O LAUDO PERICIAL, concluindo que " a parte autora deve fazer o aporte de R$ 678.107,82 (seiscentos e setenta e oito mil, cento e sete reais e oitenta e dois centavos) à parte ré para vir a receber benefício no valor de R$ 4.420,47. Em outras palavras, a parte autora nada tem a receber.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Encerro a fase de Liquidação de Sentença, e não havendo nada a receber a autora, arquivem-se os autos.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BRASÍLIA, DF, 19 de março de 2026 13:21:43.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GRACE CORREA PEREIRA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Juíza de Direito</w:t>
      </w:r>
    </w:p>
    <w:sectPr w:rsidRPr="0006063C" w:rsidR="00FC693F" w:rsidSect="00034616">
      <w:footerReference w:type="default" r:id="rId9"/>
      <w:pgSz w:w="11906" w:h="16838" w:orient="portrait"/>
      <w:pgMar w:top="1417" w:right="1701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 mc:Ignorable="wp14">
  <w:comment w:id="0" w:author="Minuta GDSXSR" w:initials="MG" w:date="2026-10-29T19:13:12Z">
    <w:p>
      <w:pPr>
        <w:pStyle w:val="CommentText"/>
      </w:pPr>
      <w:r>
        <w:rPr>
          <w:rStyle w:val="CommentReference"/>
        </w:rPr>
        <w:annotationRef/>
      </w:r>
      <w:r>
        <w:t>MINUTA GDSXSR — PENDÊNCIA (C-72): o iajus devolveu o AREsp 2.310.193 e o AgInt no REsp 2.119.684 com relator, órgão e data de julgamento, mas sem UF de origem nem data do DJe. Completar no SCON do STJ (registros 202300623156 e 202400190279). O Acórdão 1978927 foi confirmado no iajus (processo 0702878-11.2024.8.07.9000); o DJe de 03/04/2025 vem da citação feita na decisão de origem.</w:t>
      </w:r>
    </w:p>
  </w:comment>
  <w:comment w:id="1" w:author="Minuta GDSXSR" w:initials="MG" w:date="2026-10-29T19:13:12Z">
    <w:p>
      <w:pPr>
        <w:pStyle w:val="CommentText"/>
      </w:pPr>
      <w:r>
        <w:rPr>
          <w:rStyle w:val="CommentReference"/>
        </w:rPr>
        <w:annotationRef/>
      </w:r>
      <w:r>
        <w:t>MINUTA GDSXSR — A decisão de origem cita o “acórdão de ID 238739911”, que na verdade é a petição de 07/06/2025. O acórdão do agravo anterior é o de ID 257458886. Mantive a transcrição literal e, por isso, o erro da decisão não aparece aqui.</w:t>
      </w:r>
    </w:p>
  </w:comment>
  <w:comment w:id="2" w:author="Minuta GDSXSR" w:initials="MG" w:date="2026-10-29T19:13:12Z">
    <w:p>
      <w:pPr>
        <w:pStyle w:val="CommentText"/>
      </w:pPr>
      <w:r>
        <w:rPr>
          <w:rStyle w:val="CommentReference"/>
        </w:rPr>
        <w:annotationRef/>
      </w:r>
      <w:r>
        <w:t>MINUTA GDSXSR — TEMPESTIVIDADE: o despacho do Relator (ID 88383373) e o agravante concordam que o último dia era 29/04/2026 (publicação em 06/04/2026 pelo expediente de 1º grau, segundo o despacho; em 31/03/2026, segundo o agravante). A certidão de DJEN da decisão dos embargos (ID 271075234, do processo de origem) registra disponibilização em 31/03/2026 e publicação em 01/04/2026, e, contado a partir dela, o prazo terminaria antes de 29/04 (cerca de 24/04/2026, com Sexta-feira Santa e Tiradentes como dias não úteis). Segui o despacho. Conferir a aba de expedientes do PJe de 1º grau antes de assinar. A tese do protocolo na origem tem contra a 8ª Turma Cível do TJDFT (0702222-25.2023.8.07.0000, j. 30/03/2023: erro grosseiro). CPC 1.017 § 2º: “No prazo do recurso, o agravo será interposto por: (...) II - protocolo realizado na própria comarca, seção ou subseção judiciárias;”.</w:t>
      </w:r>
    </w:p>
  </w:comment>
  <w:comment w:id="3" w:author="Minuta GDSXSR" w:initials="MG" w:date="2026-10-29T19:13:12Z">
    <w:p>
      <w:pPr>
        <w:pStyle w:val="CommentText"/>
      </w:pPr>
      <w:r>
        <w:rPr>
          <w:rStyle w:val="CommentReference"/>
        </w:rPr>
        <w:annotationRef/>
      </w:r>
      <w:r>
        <w:t>MINUTA GDSXSR — PREPARO, DIVERGÊNCIA E REGISTRO: o voto afasta a deserção por três fatos dos autos: pagamento antes da distribuição, comprovante certificado pelo Tribunal e juntado aos autos de origem no mesmo dia, e comunicação do agravo na origem 11 minutos antes. A jurisprudência majoritária é contrária quando só se comprova o preparo depois da interposição, ainda que pago no prazo: STJ, REsp 2.238.749 (3ª T., j. 09/03/2026); TJDFT, 5ª T., 0708903-40.2025.8.07.0000 (j. 30/10/2025) e 8ª T., 0703707-89.2025.8.07.0000 (j. 08/07/2025, PagCustas: pagamento imediatamente após a distribuição). Aqui o pagamento foi antes da distribuição e na guia do processo de origem, e o sistema o certificou como preparo de agravo (ID 88780026). Risco: recurso especial da Previ. A fórmula de reconsiderar o despacho do Relator não consta dos modelos; ajustar à sua preferência.</w:t>
      </w:r>
    </w:p>
  </w:comment>
  <w:comment w:id="4" w:author="Minuta GDSXSR" w:initials="MG" w:date="2026-10-29T19:13:12Z">
    <w:p>
      <w:pPr>
        <w:pStyle w:val="CommentText"/>
      </w:pPr>
      <w:r>
        <w:rPr>
          <w:rStyle w:val="CommentReference"/>
        </w:rPr>
        <w:annotationRef/>
      </w:r>
      <w:r>
        <w:t>MINUTA GDSXSR — TRANSCRIÇÃO CONFERIDA nos autos de origem (ID 257458886, voto da Relª. Soníria Rocha Campos D'Assunção, 6ª Turma Cível, AI 0722021-83.2025.8.07.0000, acórdão 2056204, j. 20/10/2025): “Contudo, não está claro qual seria o valor total a ser recebido pelo credor, o qual deve ser compensado com o valor da recomposição da reserva matemática futura.” e “(...) em conformidade com os cálculos confirmados pelo acórdão n. 1978927, utilizado como paradigma na decisão agravada.”</w:t>
      </w:r>
    </w:p>
  </w:comment>
  <w:comment w:id="5" w:author="Minuta GDSXSR" w:initials="MG" w:date="2026-10-29T19:13:12Z">
    <w:p>
      <w:pPr>
        <w:pStyle w:val="CommentText"/>
      </w:pPr>
      <w:r>
        <w:rPr>
          <w:rStyle w:val="CommentReference"/>
        </w:rPr>
        <w:annotationRef/>
      </w:r>
      <w:r>
        <w:t>MINUTA GDSXSR — PENDÊNCIA (C-72): o iajus devolveu o Acórdão 1978927 só com a ementa. O trecho acima é a transcrição que o acórdão faz do laudo paradigma (ID 212237656, págs. 15/16, dos autos de origem), copiada do agravo (ID 83835668, pág. 10) e conferida no laudo complementar 3 (ID 267956335). Conferir a redação literal no JurisDF antes de assinar. Cálculo do paradigma: R$ 939.896,88 (reserva a vencer) − R$ 837.564,43 (reserva vencida) = R$ 102.332,46.</w:t>
      </w:r>
    </w:p>
  </w:comment>
  <w:comment w:id="6" w:author="Minuta GDSXSR" w:initials="MG" w:date="2026-10-29T19:13:12Z">
    <w:p>
      <w:pPr>
        <w:pStyle w:val="CommentText"/>
      </w:pPr>
      <w:r>
        <w:rPr>
          <w:rStyle w:val="CommentReference"/>
        </w:rPr>
        <w:annotationRef/>
      </w:r>
      <w:r>
        <w:t>MINUTA GDSXSR — CONTA DO LAUDO conferida no ID 267956335 (tabelas “Valores Necessários para o Custeio” e “Valores Devidos à Parte Autora”, fev./2025): débito 621.218,63 + 749.247,48 − 66.836,46 = 1.303.629,65; crédito 621.218,63 + 4.303,20; saldo −678.107,82. O agravante chega a R$ 123.725,65 por 749.247,48 − 621.218,63 − 4.303,20, sem descontar os R$ 66.836,46; por isso não homologo o valor dele e devolvo o cálculo à perita (ver dispositivo).</w:t>
      </w:r>
    </w:p>
  </w:comment>
  <w:comment w:id="7" w:author="Minuta GDSXSR" w:initials="MG" w:date="2026-10-29T19:13:12Z">
    <w:p>
      <w:pPr>
        <w:pStyle w:val="CommentText"/>
      </w:pPr>
      <w:r>
        <w:rPr>
          <w:rStyle w:val="CommentReference"/>
        </w:rPr>
        <w:annotationRef/>
      </w:r>
      <w:r>
        <w:t>MINUTA GDSXSR — CONTRA: o Acórdão 1799250 (1ª Turma Cível, j. 06/12/2023), invocado pela decisão dos embargos (ID 270725617), entende inviável a compensação (CC 368 e 369). Em sentido favorável ao agravante, além do acórdão do agravo anterior e do julgado acima, o iajus devolveu STJ, REsp 2.111.002 (3ª T., Rel. Min. Ricardo Villas Bôas Cueva, j. 08/06/2026: “É admissível a compensação dos valores de recomposição da reserva matemática com valores a receber pelo participante, desde que apurada em cálculo atuarial”).</w:t>
      </w:r>
    </w:p>
  </w:comment>
  <w:comment w:id="8" w:author="Minuta GDSXSR" w:initials="MG" w:date="2026-10-29T19:13:12Z">
    <w:p>
      <w:pPr>
        <w:pStyle w:val="CommentText"/>
      </w:pPr>
      <w:r>
        <w:rPr>
          <w:rStyle w:val="CommentReference"/>
        </w:rPr>
        <w:annotationRef/>
      </w:r>
      <w:r>
        <w:t>MINUTA GDSXSR — ESCOLHA DO RESULTADO: Marcos pediu para conhecer do recurso e afastar a deserção, mas não indicou o resultado do mérito. Segui o acórdão do agravo anterior, que já mandou compensar: provimento para anular a decisão e devolver o cálculo à perita, em vez de homologar direto R$ 123.725,65, porque o laudo ainda precisa tratar da data-base, das contribuições da reclamação trabalhista e da multa. Se o senhor preferir reformar a decisão e fixar o aporte, o parágrafo e o dispositivo mudam. Sem honorários recursais (perfil AGI: não há em regra).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C5B8251"/>
  <w15:commentEx w15:done="0" w15:paraId="798E2068"/>
  <w15:commentEx w15:done="0" w15:paraId="2A6D5DD9"/>
  <w15:commentEx w15:done="0" w15:paraId="1B7BE6E4"/>
  <w15:commentEx w15:done="0" w15:paraId="45FAA30E"/>
  <w15:commentEx w15:done="0" w15:paraId="1B306973"/>
  <w15:commentEx w15:done="0" w15:paraId="43E7FB85"/>
  <w15:commentEx w15:done="0" w15:paraId="3F150D51"/>
  <w15:commentEx w15:done="0" w15:paraId="2C79B740"/>
  <w15:commentEx w15:done="0" w15:paraId="7BBA337D"/>
  <w15:commentEx w15:done="0" w15:paraId="2A9E23A0"/>
  <w15:commentEx w15:done="0" w15:paraId="461976A2"/>
  <w15:commentEx w15:done="0" w15:paraId="1D5F2134"/>
  <w15:commentEx w15:done="0" w15:paraId="4316FF66"/>
  <w15:commentEx w15:done="0" w15:paraId="1DFCC4EB"/>
  <w15:commentEx w15:done="0" w15:paraId="459684B9"/>
  <w15:commentEx w15:done="0" w15:paraId="4496DBAF"/>
  <w15:commentEx w15:done="0" w15:paraId="21AD587B"/>
  <w15:commentEx w15:done="0" w15:paraId="715B9FB8"/>
  <w15:commentEx w15:done="0" w15:paraId="3447A896"/>
  <w15:commentEx w15:done="0" w15:paraId="4EF6052F"/>
  <w15:commentEx w15:done="0" w15:paraId="46F698D4"/>
  <w15:commentEx w15:done="0" w15:paraId="1D8A9808" w15:paraIdParent="2C5B8251"/>
  <w15:commentEx w15:done="0" w15:paraId="4A4C1F6B"/>
  <w15:commentEx w15:done="0" w15:paraId="1F83DBEC"/>
  <w15:commentEx w15:done="0" w15:paraId="7F8AAC5A"/>
  <w15:commentEx w15:done="0" w15:paraId="666EF34C"/>
  <w15:commentEx w15:done="0" w15:paraId="5E23538A"/>
  <w15:commentEx w15:done="0" w15:paraId="3A38D848"/>
  <w15:commentEx w15:done="0" w15:paraId="07DCF8DA" w15:paraIdParent="2C5B825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08A9367" w16cex:dateUtc="2026-10-11T19:22:34.373Z">
    <w16cex:extLst>
      <w16:ext w16:uri="{CE6994B0-6A32-4C9F-8C6B-6E91EDA988CE}">
        <cr:reactions xmlns:cr="http://schemas.microsoft.com/office/comments/2020/reactions">
          <cr:reaction reactionType="1">
            <cr:reactionInfo dateUtc="2026-10-11T22:16:33.46Z">
              <cr:user userId="S::t313207@tjdft.jus.br::d29e2de7-00a4-4621-a031-73d81317b1e9" userProvider="AD" userName="Marcelo Ribeiro Da Silva - GDSXSR"/>
            </cr:reactionInfo>
          </cr:reaction>
        </cr:reactions>
      </w16:ext>
    </w16cex:extLst>
  </w16cex:commentExtensible>
  <w16cex:commentExtensible w16cex:durableId="76C443C4" w16cex:dateUtc="2026-10-11T23:03:36.17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C5B8251" w16cid:durableId="0B053848"/>
  <w16cid:commentId w16cid:paraId="798E2068" w16cid:durableId="486E0027"/>
  <w16cid:commentId w16cid:paraId="2A6D5DD9" w16cid:durableId="343AFC76"/>
  <w16cid:commentId w16cid:paraId="1B7BE6E4" w16cid:durableId="06F67560"/>
  <w16cid:commentId w16cid:paraId="45FAA30E" w16cid:durableId="093D3FE9"/>
  <w16cid:commentId w16cid:paraId="1B306973" w16cid:durableId="4416EADA"/>
  <w16cid:commentId w16cid:paraId="43E7FB85" w16cid:durableId="5093624A"/>
  <w16cid:commentId w16cid:paraId="3F150D51" w16cid:durableId="0E7BECA3"/>
  <w16cid:commentId w16cid:paraId="2C79B740" w16cid:durableId="24D767EA"/>
  <w16cid:commentId w16cid:paraId="7BBA337D" w16cid:durableId="721284C8"/>
  <w16cid:commentId w16cid:paraId="2A9E23A0" w16cid:durableId="6828F1F0"/>
  <w16cid:commentId w16cid:paraId="461976A2" w16cid:durableId="251F1A03"/>
  <w16cid:commentId w16cid:paraId="1D5F2134" w16cid:durableId="7584782F"/>
  <w16cid:commentId w16cid:paraId="4316FF66" w16cid:durableId="7FE4C1BE"/>
  <w16cid:commentId w16cid:paraId="1DFCC4EB" w16cid:durableId="29E3DF67"/>
  <w16cid:commentId w16cid:paraId="459684B9" w16cid:durableId="07FCA37E"/>
  <w16cid:commentId w16cid:paraId="4496DBAF" w16cid:durableId="0143BA81"/>
  <w16cid:commentId w16cid:paraId="21AD587B" w16cid:durableId="103F77A3"/>
  <w16cid:commentId w16cid:paraId="715B9FB8" w16cid:durableId="064803E8"/>
  <w16cid:commentId w16cid:paraId="3447A896" w16cid:durableId="40748DA4"/>
  <w16cid:commentId w16cid:paraId="4EF6052F" w16cid:durableId="739C0535"/>
  <w16cid:commentId w16cid:paraId="46F698D4" w16cid:durableId="34F04E7A"/>
  <w16cid:commentId w16cid:paraId="4A4C1F6B" w16cid:durableId="1584374C"/>
  <w16cid:commentId w16cid:paraId="1F83DBEC" w16cid:durableId="59E39858"/>
  <w16cid:commentId w16cid:paraId="7F8AAC5A" w16cid:durableId="7A3A04F1"/>
  <w16cid:commentId w16cid:paraId="666EF34C" w16cid:durableId="624D51AC"/>
  <w16cid:commentId w16cid:paraId="5E23538A" w16cid:durableId="57F971A6"/>
  <w16cid:commentId w16cid:paraId="3A38D848" w16cid:durableId="412C0201"/>
  <w16cid:commentId w16cid:paraId="07DCF8DA" w16cid:durableId="708A9367"/>
  <w16cid:commentId w16cid:paraId="1D8A9808" w16cid:durableId="76C443C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33EDD17" wp14:textId="77777777">
    <w:pPr>
      <w:pStyle w:val="Footer"/>
      <w:jc w:val="right"/>
    </w:pPr>
    <w:r w:rsidRPr="7A6EA4F2">
      <w:rPr>
        <w:sz w:val="20"/>
        <w:szCs w:val="20"/>
      </w:rPr>
      <w:fldChar w:fldCharType="begin"/>
    </w:r>
    <w:r w:rsidRPr="7A6EA4F2">
      <w:rPr>
        <w:sz w:val="20"/>
        <w:szCs w:val="20"/>
      </w:rPr>
      <w:instrText xml:space="preserve">PAGE</w:instrText>
    </w:r>
    <w:r w:rsidRPr="7A6EA4F2">
      <w:rPr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8">
    <w:nsid w:val="72ac45b8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11270f0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af4b861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7753355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6fb714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eebcbc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9802c3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f86ed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215dc09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bd4026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31b8c0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6d5d37d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3e1570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ea1487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f187d8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ec229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9a8bb89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4b5340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8d1c97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98df9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arcos Dwayne Saraiva Costa - GDSXSR">
    <w15:presenceInfo w15:providerId="AD" w15:userId="S::t321760@tjdft.jus.br::71ef89ef-9eb5-4780-8a4d-3f3a792db9c6"/>
  </w15:person>
  <w15:person w15:author="Marcelo Ribeiro Da Silva - GDSXSR">
    <w15:presenceInfo w15:providerId="AD" w15:userId="S::t313207@tjdft.jus.br::d29e2de7-00a4-4621-a031-73d81317b1e9"/>
  </w15:person>
  <w15:person w15:author="Marcelo Ribeiro Da Silva - GDSXSR">
    <w15:presenceInfo w15:providerId="AD" w15:userId="S::t313207@tjdft.jus.br::d29e2de7-00a4-4621-a031-73d81317b1e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 w:percent="100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6E4610"/>
    <w:rsid w:val="03746094"/>
    <w:rsid w:val="070270C6"/>
    <w:rsid w:val="070270C6"/>
    <w:rsid w:val="0CDBB89A"/>
    <w:rsid w:val="0CDBB89A"/>
    <w:rsid w:val="127289C4"/>
    <w:rsid w:val="143FCE2B"/>
    <w:rsid w:val="143FCE2B"/>
    <w:rsid w:val="2579E5BD"/>
    <w:rsid w:val="2671BA38"/>
    <w:rsid w:val="2671BA38"/>
    <w:rsid w:val="27C7E5BF"/>
    <w:rsid w:val="27DC0ACD"/>
    <w:rsid w:val="287199CE"/>
    <w:rsid w:val="2C1D780E"/>
    <w:rsid w:val="304A0FCA"/>
    <w:rsid w:val="30540941"/>
    <w:rsid w:val="30540941"/>
    <w:rsid w:val="31C05ADD"/>
    <w:rsid w:val="3B0A4E47"/>
    <w:rsid w:val="3B52C076"/>
    <w:rsid w:val="3CC530B6"/>
    <w:rsid w:val="3D534256"/>
    <w:rsid w:val="3D98C15A"/>
    <w:rsid w:val="3DB67851"/>
    <w:rsid w:val="40702BEB"/>
    <w:rsid w:val="40702BEB"/>
    <w:rsid w:val="4225855D"/>
    <w:rsid w:val="43BAE1A9"/>
    <w:rsid w:val="45A53B79"/>
    <w:rsid w:val="47433204"/>
    <w:rsid w:val="494E1CDD"/>
    <w:rsid w:val="507E89D7"/>
    <w:rsid w:val="52C5BA21"/>
    <w:rsid w:val="562BD644"/>
    <w:rsid w:val="6043905E"/>
    <w:rsid w:val="6043905E"/>
    <w:rsid w:val="6E02D687"/>
    <w:rsid w:val="6E40A680"/>
    <w:rsid w:val="7924A6A5"/>
    <w:rsid w:val="7A6EA4F2"/>
    <w:rsid w:val="7ABC65D7"/>
    <w:rsid w:val="7E1EE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9ECA6FD-2EDC-408E-AAD6-4A99129672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7A6EA4F2"/>
    <w:rPr>
      <w:rFonts w:ascii="Arial" w:hAnsi="Arial" w:eastAsia="Arial"/>
      <w:noProof w:val="0"/>
      <w:color w:val="808080" w:themeColor="background1" w:themeTint="FF" w:themeShade="80"/>
      <w:sz w:val="28"/>
      <w:szCs w:val="28"/>
      <w:lang w:val="pt-BR"/>
    </w:rPr>
    <w:pPr>
      <w:spacing w:before="0" w:after="0"/>
      <w:jc w:val="both"/>
    </w:pPr>
  </w:style>
  <w:style w:type="paragraph" w:styleId="Header">
    <w:uiPriority w:val="99"/>
    <w:name w:val="header"/>
    <w:basedOn w:val="Normal"/>
    <w:unhideWhenUsed/>
    <w:link w:val="HeaderChar"/>
    <w:rsid w:val="7A6EA4F2"/>
    <w:pPr>
      <w:tabs>
        <w:tab w:val="center" w:leader="none" w:pos="4680"/>
        <w:tab w:val="right" w:leader="none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7A6EA4F2"/>
    <w:pPr>
      <w:tabs>
        <w:tab w:val="center" w:leader="none" w:pos="4680"/>
        <w:tab w:val="right" w:leader="none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7A6EA4F2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</w:rPr>
    <w:pPr>
      <w:keepNext w:val="1"/>
      <w:keepLines w:val="1"/>
      <w:spacing w:before="4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A6EA4F2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A6EA4F2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7A6EA4F2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7A6EA4F2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7A6EA4F2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7A6EA4F2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7A6EA4F2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7A6EA4F2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7A6EA4F2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7A6EA4F2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7A6EA4F2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7A6EA4F2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7A6EA4F2"/>
    <w:pPr>
      <w:spacing w:after="120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7A6EA4F2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7A6EA4F2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7A6EA4F2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7A6EA4F2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7A6EA4F2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7A6EA4F2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7A6EA4F2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7A6EA4F2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7A6EA4F2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7A6EA4F2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7A6EA4F2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7A6EA4F2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7A6EA4F2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7A6EA4F2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7A6EA4F2"/>
    <w:rPr>
      <w:b w:val="1"/>
      <w:bCs w:val="1"/>
      <w:color w:val="4F81BD" w:themeColor="accent1" w:themeTint="FF" w:themeShade="F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7A6EA4F2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asks.xml><?xml version="1.0" encoding="utf-8"?>
<t:Tasks xmlns:t="http://schemas.microsoft.com/office/tasks/2019/documenttasks" xmlns:oel="http://schemas.microsoft.com/office/2019/extlst">
  <t:Task id="{C67BC264-FEFF-415E-97A8-D74601C1B65E}">
    <t:Anchor>
      <t:Comment id="184891464"/>
    </t:Anchor>
    <t:History>
      <t:Event id="{911C2B67-0C42-4768-9461-3255BECCA592}" time="2026-10-11T19:22:34.391Z">
        <t:Attribution userId="S::t321760@tjdft.jus.br::71ef89ef-9eb5-4780-8a4d-3f3a792db9c6" userProvider="AD" userName="Marcos Dwayne Saraiva Costa - GDSXSR"/>
        <t:Anchor>
          <t:Comment id="1888129895"/>
        </t:Anchor>
        <t:Create/>
      </t:Event>
      <t:Event id="{A9099FB8-1FA0-4673-8448-A211D5BA4203}" time="2026-10-11T19:22:34.391Z">
        <t:Attribution userId="S::t321760@tjdft.jus.br::71ef89ef-9eb5-4780-8a4d-3f3a792db9c6" userProvider="AD" userName="Marcos Dwayne Saraiva Costa - GDSXSR"/>
        <t:Anchor>
          <t:Comment id="1888129895"/>
        </t:Anchor>
        <t:Assign userId="S::t313207@tjdft.jus.br::d29e2de7-00a4-4621-a031-73d81317b1e9" userProvider="AD" userName="Marcelo Ribeiro Da Silva - GDSXSR"/>
      </t:Event>
      <t:Event id="{54AC2F5D-21E1-4639-8C81-C89659A16133}" time="2026-10-11T19:22:34.391Z">
        <t:Attribution userId="S::t321760@tjdft.jus.br::71ef89ef-9eb5-4780-8a4d-3f3a792db9c6" userProvider="AD" userName="Marcos Dwayne Saraiva Costa - GDSXSR"/>
        <t:Anchor>
          <t:Comment id="1888129895"/>
        </t:Anchor>
        <t:SetTitle title="@Marcelo Ribeiro Da Silva - GDSXSR indicar quem fez a liminar. Não coloque o nome do assessor que fez a liminar no nome do arquivo, vamos seguir o padrão. Ajuste a ementa ao modelo do gabinte, por favor."/>
      </t:Event>
      <t:Event id="{0C7952B5-5BE8-4F5D-B336-BAFBB63E508B}" time="2026-10-11T23:03:36.181Z">
        <t:Attribution userId="S::t313207@tjdft.jus.br::d29e2de7-00a4-4621-a031-73d81317b1e9" userProvider="AD" userName="Marcelo Ribeiro Da Silva - GDSXSR"/>
        <t:Anchor>
          <t:Comment id="1992573892"/>
        </t:Anchor>
        <t:UnassignAll/>
      </t:Event>
      <t:Event id="{582EBACF-6F68-42EA-911F-B805B123E2FC}" time="2026-10-11T23:03:36.181Z">
        <t:Attribution userId="S::t313207@tjdft.jus.br::d29e2de7-00a4-4621-a031-73d81317b1e9" userProvider="AD" userName="Marcelo Ribeiro Da Silva - GDSXSR"/>
        <t:Anchor>
          <t:Comment id="1992573892"/>
        </t:Anchor>
        <t:Assign userId="S::t321760@tjdft.jus.br::71ef89ef-9eb5-4780-8a4d-3f3a792db9c6" userProvider="AD" userName="Marcos Dwayne Saraiva Costa - GDSXSR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comments" Target="comments.xml"/><Relationship Id="Rcbbabb10f6824d19" Type="http://schemas.microsoft.com/office/2016/09/relationships/commentsIds" Target="commentsIds.xml"/><Relationship Id="R6a89c3e11a324a5c" Type="http://schemas.microsoft.com/office/2011/relationships/commentsExtended" Target="commentsExtended.xml"/><Relationship Id="R87d1abcfb2244ae8" Type="http://schemas.microsoft.com/office/2018/08/relationships/commentsExtensible" Target="commentsExtensible.xml"/><Relationship Id="R3cf21916c7444e12" Type="http://schemas.microsoft.com/office/2011/relationships/people" Target="people.xml"/><Relationship Id="Rc22cb32ae97041e1" Type="http://schemas.microsoft.com/office/2019/05/relationships/documenttasks" Target="task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Marcelo Ribeiro Da Silva - GDSXSR</lastModifiedBy>
  <revision>3</revision>
  <dcterms:created xsi:type="dcterms:W3CDTF">2013-12-23T23:15:00.0000000Z</dcterms:created>
  <dcterms:modified xsi:type="dcterms:W3CDTF">2026-10-11T23:05:46.9913324Z</dcterms:modified>
  <category/>
</coreProperties>
</file>