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3A2B2" w14:textId="77777777" w:rsidR="00B93856" w:rsidRDefault="00000000">
      <w:pPr>
        <w:spacing w:after="0" w:line="360" w:lineRule="auto"/>
        <w:ind w:firstLine="2268"/>
        <w:jc w:val="both"/>
      </w:pPr>
      <w:commentRangeStart w:id="0"/>
      <w:r>
        <w:rPr>
          <w:rFonts w:eastAsia="Arial"/>
          <w:color w:val="FF0000"/>
        </w:rPr>
        <w:t>ATENÇÃO (apagar antes de assinar): A decisão agravada não está nos autos e seu fundamento vem só do relato da agravante. A análise FIRAC+ recomendava deferir a desocupação, condicionada à valoração do e-mail da CredAluga de 07/10/2026; a minuta indefere porque esse documento é posterior à decisão, não foi submetido ao juízo de origem e contradiz as tratativas de setembro de 2026. A solução alternativa é deferir a desocupação em 15 dias, com caução em dinheiro ou, se admitida, pelo crédito locatício, tema em que a 4ª Turma está dividida. Conferir nos autos de origem a decisão ID 292020880 e se a agravante já levou ao juízo o e-mail de exoneração.</w:t>
      </w:r>
      <w:commentRangeEnd w:id="0"/>
      <w:r>
        <w:rPr>
          <w:rStyle w:val="CommentReference"/>
        </w:rPr>
        <w:commentReference w:id="0"/>
      </w:r>
    </w:p>
    <w:p w14:paraId="5705819F" w14:textId="77777777" w:rsidR="00B93856" w:rsidRDefault="00B93856">
      <w:pPr>
        <w:spacing w:after="0" w:line="360" w:lineRule="auto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296"/>
        <w:gridCol w:w="6180"/>
      </w:tblGrid>
      <w:tr w:rsidR="00B93856" w14:paraId="2FDFD81D" w14:textId="77777777">
        <w:tc>
          <w:tcPr>
            <w:tcW w:w="2381" w:type="dxa"/>
          </w:tcPr>
          <w:p w14:paraId="094A8D60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Órgão</w:t>
            </w:r>
          </w:p>
        </w:tc>
        <w:tc>
          <w:tcPr>
            <w:tcW w:w="227" w:type="dxa"/>
          </w:tcPr>
          <w:p w14:paraId="0C1E62D6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:</w:t>
            </w:r>
          </w:p>
        </w:tc>
        <w:tc>
          <w:tcPr>
            <w:tcW w:w="6180" w:type="dxa"/>
          </w:tcPr>
          <w:p w14:paraId="04C25FBF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4ª TURMA CÍVEL</w:t>
            </w:r>
          </w:p>
        </w:tc>
      </w:tr>
      <w:tr w:rsidR="00B93856" w14:paraId="6E171031" w14:textId="77777777">
        <w:tc>
          <w:tcPr>
            <w:tcW w:w="2381" w:type="dxa"/>
          </w:tcPr>
          <w:p w14:paraId="39728D14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Classe</w:t>
            </w:r>
          </w:p>
        </w:tc>
        <w:tc>
          <w:tcPr>
            <w:tcW w:w="227" w:type="dxa"/>
          </w:tcPr>
          <w:p w14:paraId="7A9B091C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:</w:t>
            </w:r>
          </w:p>
        </w:tc>
        <w:tc>
          <w:tcPr>
            <w:tcW w:w="6180" w:type="dxa"/>
          </w:tcPr>
          <w:p w14:paraId="28B97700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AGRAVO DE INSTRUMENTO</w:t>
            </w:r>
          </w:p>
        </w:tc>
      </w:tr>
      <w:tr w:rsidR="00B93856" w14:paraId="5DFAAA59" w14:textId="77777777">
        <w:tc>
          <w:tcPr>
            <w:tcW w:w="2381" w:type="dxa"/>
          </w:tcPr>
          <w:p w14:paraId="05D515CD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Processo número</w:t>
            </w:r>
          </w:p>
        </w:tc>
        <w:tc>
          <w:tcPr>
            <w:tcW w:w="227" w:type="dxa"/>
          </w:tcPr>
          <w:p w14:paraId="5AB1FF76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:</w:t>
            </w:r>
          </w:p>
        </w:tc>
        <w:tc>
          <w:tcPr>
            <w:tcW w:w="6180" w:type="dxa"/>
          </w:tcPr>
          <w:p w14:paraId="79A22F3A" w14:textId="77777777" w:rsidR="00B93856" w:rsidRDefault="00000000">
            <w:pPr>
              <w:spacing w:after="0"/>
            </w:pPr>
            <w:r>
              <w:rPr>
                <w:rFonts w:eastAsia="Arial"/>
              </w:rPr>
              <w:t>0748608-11.2026.8.07.0000</w:t>
            </w:r>
          </w:p>
        </w:tc>
      </w:tr>
      <w:tr w:rsidR="00B93856" w14:paraId="08AFF061" w14:textId="77777777">
        <w:tc>
          <w:tcPr>
            <w:tcW w:w="2381" w:type="dxa"/>
          </w:tcPr>
          <w:p w14:paraId="7465EFEC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Agravante(s)</w:t>
            </w:r>
          </w:p>
        </w:tc>
        <w:tc>
          <w:tcPr>
            <w:tcW w:w="227" w:type="dxa"/>
          </w:tcPr>
          <w:p w14:paraId="05B2178A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:</w:t>
            </w:r>
          </w:p>
        </w:tc>
        <w:tc>
          <w:tcPr>
            <w:tcW w:w="6180" w:type="dxa"/>
          </w:tcPr>
          <w:p w14:paraId="1C3DC4B4" w14:textId="77777777" w:rsidR="00B93856" w:rsidRDefault="00000000">
            <w:pPr>
              <w:spacing w:after="0"/>
            </w:pPr>
            <w:r>
              <w:rPr>
                <w:rFonts w:eastAsia="Arial"/>
              </w:rPr>
              <w:t>MARIA DO CARMO PEREIRA NEVES</w:t>
            </w:r>
          </w:p>
        </w:tc>
      </w:tr>
      <w:tr w:rsidR="00B93856" w14:paraId="32325B53" w14:textId="77777777">
        <w:tc>
          <w:tcPr>
            <w:tcW w:w="2381" w:type="dxa"/>
          </w:tcPr>
          <w:p w14:paraId="60A57B8C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Agravado(a)(s)</w:t>
            </w:r>
          </w:p>
        </w:tc>
        <w:tc>
          <w:tcPr>
            <w:tcW w:w="227" w:type="dxa"/>
          </w:tcPr>
          <w:p w14:paraId="4781A08C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:</w:t>
            </w:r>
          </w:p>
        </w:tc>
        <w:tc>
          <w:tcPr>
            <w:tcW w:w="6180" w:type="dxa"/>
          </w:tcPr>
          <w:p w14:paraId="52F8E9E8" w14:textId="77777777" w:rsidR="00B93856" w:rsidRDefault="00000000">
            <w:pPr>
              <w:spacing w:after="0"/>
            </w:pPr>
            <w:r>
              <w:rPr>
                <w:rFonts w:eastAsia="Arial"/>
              </w:rPr>
              <w:t>ELIENE DE JESUS QUEIROZ, DANIEL QUEIROZ DA SILVA e CREDALUGA LTDA.</w:t>
            </w:r>
          </w:p>
        </w:tc>
      </w:tr>
      <w:tr w:rsidR="00B93856" w14:paraId="0CAE5032" w14:textId="77777777">
        <w:tc>
          <w:tcPr>
            <w:tcW w:w="2381" w:type="dxa"/>
          </w:tcPr>
          <w:p w14:paraId="50E64429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Relator</w:t>
            </w:r>
          </w:p>
        </w:tc>
        <w:tc>
          <w:tcPr>
            <w:tcW w:w="227" w:type="dxa"/>
          </w:tcPr>
          <w:p w14:paraId="2CD1BDE6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:</w:t>
            </w:r>
          </w:p>
        </w:tc>
        <w:tc>
          <w:tcPr>
            <w:tcW w:w="6180" w:type="dxa"/>
          </w:tcPr>
          <w:p w14:paraId="056EF4B4" w14:textId="77777777" w:rsidR="00B93856" w:rsidRDefault="00000000">
            <w:pPr>
              <w:spacing w:after="0"/>
            </w:pPr>
            <w:r>
              <w:rPr>
                <w:rFonts w:eastAsia="Arial"/>
                <w:b/>
              </w:rPr>
              <w:t>Desembargador DEMETRIUS GOMES CAVALCANTI</w:t>
            </w:r>
          </w:p>
        </w:tc>
      </w:tr>
    </w:tbl>
    <w:p w14:paraId="1647477D" w14:textId="77777777" w:rsidR="00B93856" w:rsidRDefault="00B93856">
      <w:pPr>
        <w:spacing w:after="0" w:line="360" w:lineRule="auto"/>
        <w:jc w:val="both"/>
      </w:pPr>
    </w:p>
    <w:p w14:paraId="3C46139F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  <w:color w:val="8B4513"/>
        </w:rPr>
        <w:t>PARECER (apagar antes de assinar): o resultado, indeferir a antecipação da tutela recursal, é juridicamente sustentável, mas a fundamentação precisa de ajustes. Acerta ao exigir, para a liminar do art. 59, § 1º, IX, da Lei nº 8.245/1991, contrato desprovido das garantias do art. 37, entendimento com acórdãos do TJDFT (0728049-67.2025, 0738724-89.2025 e 0729294-16.2025, localizados no iajus), e ao não examinar em primeiro lugar, nesta instância, documento que o juízo de origem não viu (fundamento processual sem precedente citado na minuta).</w:t>
      </w:r>
    </w:p>
    <w:p w14:paraId="3C46139F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  <w:color w:val="8B4513"/>
        </w:rPr>
        <w:t>Fragilidades: (i) decide sem a decisão agravada, apenas pelo relato da agravante; (ii) omite a parte do inciso IX sobre extinção ou pedido de exoneração da garantia 'independentemente de motivo', que é a tese do recurso; (iii) afirma jurisprudência majoritária sem citar precedente; (iv) rejeita o e-mail por não ter sido submetido à origem e, ao mesmo tempo, valora seu conteúdo; (v) tem incoerência de datas (13/07 × 'agosto'); (vi) usa a falta de oitiva dos agravados como razão para negar medida que a lei permite sem audiência; (vii) deixa sem exame a substituição da caução pelo crédito, tema com acórdãos do TJDFT favoráveis. Não há ementa na peça; o parecer foi inserido antes do título DECISÃO.</w:t>
      </w:r>
    </w:p>
    <w:p w14:paraId="360D6E1D" w14:textId="77777777" w:rsidR="00B93856" w:rsidRDefault="00B93856">
      <w:pPr>
        <w:spacing w:after="0" w:line="360" w:lineRule="auto"/>
        <w:jc w:val="both"/>
      </w:pPr>
    </w:p>
    <w:p w14:paraId="478E382A" w14:textId="77777777" w:rsidR="00B93856" w:rsidRDefault="00000000">
      <w:pPr>
        <w:spacing w:after="0" w:line="360" w:lineRule="auto"/>
        <w:jc w:val="center"/>
      </w:pPr>
      <w:r>
        <w:rPr>
          <w:rFonts w:eastAsia="Arial"/>
          <w:b/>
        </w:rPr>
        <w:t>DECISÃO</w:t>
      </w:r>
    </w:p>
    <w:p w14:paraId="360D6E1D" w14:textId="77777777" w:rsidR="00B93856" w:rsidRDefault="00B93856">
      <w:pPr>
        <w:spacing w:after="0" w:line="360" w:lineRule="auto"/>
        <w:jc w:val="both"/>
      </w:pPr>
    </w:p>
    <w:p w14:paraId="3C46139F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>Trata-se de agravo de instrumento, com pedido de antecipação da tutela recursal, interposto por MARIA DO CARMO PEREIRA NEVES contra a decisão ID 292020880, proferida nos autos da ação de despejo por falta de pagamento cumulada com cobrança nº 0711336-38.2026.8.07.0014, ajuizada em desfavor de ELIENE DE JESUS QUEIROZ, DANIEL QUEIROZ DA SILVA e CREDALUGA LTDA., que indeferiu a tutela de urgência de despejo liminar. Segundo a agravante, o juízo de origem considerou que a garantia permanece formalmente vigente e chegou a produzir efeitos durante o inadimplemento, pois um protocolo de cobertura foi aprovado e outro estava em análise, e que não estaria demonstrado o completo esvaziamento da garantia, afastando também a medida pelo art. 300 do CPC.</w:t>
      </w:r>
    </w:p>
    <w:p w14:paraId="676B805E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 xml:space="preserve">A agravante sustenta que o art. 59, § 1º, IX, da Lei nº 8.245/1991 autoriza a desocupação liminar quando o contrato está desprovido das garantias do art. 37, seja por ausência de contratação, seja por extinção ou exoneração, e que a lei não exige que a locação tenha nascido sem garantia. </w:t>
      </w:r>
      <w:r>
        <w:rPr>
          <w:rFonts w:eastAsia="Arial"/>
        </w:rPr>
        <w:lastRenderedPageBreak/>
        <w:t>Afirma que, depois do indeferimento, a garantidora rejeitou todos os protocolos abertos, inclusive o que fora aprovado, e informou ter formalizado a exoneração da garantia em 13/07/2026, o que afastaria o fundamento central da decisão. Junta, para isso, e-mail da CredAluga dirigido à administradora do imóvel e mensagem de reprovação de cobertura.</w:t>
      </w:r>
    </w:p>
    <w:p w14:paraId="22288C8A" w14:textId="77777777" w:rsidR="00B93856" w:rsidRDefault="00000000">
      <w:pPr>
        <w:spacing w:after="0" w:line="360" w:lineRule="auto"/>
        <w:ind w:firstLine="2268"/>
        <w:jc w:val="both"/>
      </w:pPr>
      <w:commentRangeStart w:id="1"/>
      <w:r>
        <w:rPr>
          <w:rFonts w:eastAsia="Arial"/>
        </w:rPr>
        <w:t>Quanto à caução, alega que o débito corresponde a cinco meses de aluguel, no total de R$ 5.977,88, superior à caução legal de R$ 3.571,05, calculada sobre o aluguel atualizado de R$ 1.190,35, e pede que o próprio crédito vencido a substitua. O perigo de dano estaria no aumento progressivo do débito sem garantia, e a purgação da mora prevista no § 3º do art. 59 preservaria os agravados.</w:t>
      </w:r>
      <w:commentRangeEnd w:id="1"/>
      <w:r>
        <w:rPr>
          <w:rStyle w:val="CommentReference"/>
        </w:rPr>
        <w:commentReference w:id="1"/>
      </w:r>
    </w:p>
    <w:p w14:paraId="08A43D50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>Pede a antecipação da tutela recursal para determinar a desocupação do imóvel em 15 dias, com a substituição da caução pelo crédito locatício vencido no equivalente a três meses de aluguel, e, no mérito, a reforma da decisão agravada. O preparo foi recolhido.</w:t>
      </w:r>
    </w:p>
    <w:p w14:paraId="1FD0DBDD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 xml:space="preserve">É o relatório. </w:t>
      </w:r>
      <w:r>
        <w:rPr>
          <w:rFonts w:eastAsia="Arial"/>
          <w:b/>
        </w:rPr>
        <w:t>Decido.</w:t>
      </w:r>
    </w:p>
    <w:p w14:paraId="2A8F70CC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>Conforme relatado, a agravante pretende obter, neste recurso, a desocupação liminar do imóvel locado, que o juízo de origem negou por entender vigente a garantia contratada junto à CredAluga. A controvérsia está em saber se o contrato de locação se encontra desprovido de garantia, para os fins do art. 59, § 1º, IX, da Lei nº 8.245/1991, e se o crédito locatício vencido pode substituir a caução exigida pela lei.</w:t>
      </w:r>
    </w:p>
    <w:p w14:paraId="5BE70ED6" w14:textId="77777777" w:rsidR="00B93856" w:rsidRDefault="00000000">
      <w:pPr>
        <w:spacing w:after="0" w:line="360" w:lineRule="auto"/>
        <w:ind w:firstLine="2268"/>
        <w:jc w:val="both"/>
      </w:pPr>
      <w:commentRangeStart w:id="2"/>
      <w:r>
        <w:rPr>
          <w:rFonts w:eastAsia="Arial"/>
        </w:rPr>
        <w:t>A decisão recorrida não foi juntada a estes autos. Pelo que relata a própria agravante, o juízo de origem indeferiu a liminar ao fundamento de que a garantia permanecia formalmente vigente e havia produzido efeitos durante o inadimplemento, com um protocolo aprovado e outro em análise, e de que não estava demonstrado o completo esvaziamento da garantia. É esse fundamento que o recurso precisa infirmar, e é a partir dele que se examina o pedido de antecipação da tutela recursal.</w:t>
      </w:r>
      <w:commentRangeEnd w:id="2"/>
      <w:r>
        <w:rPr>
          <w:rStyle w:val="CommentReference"/>
        </w:rPr>
        <w:commentReference w:id="2"/>
      </w:r>
    </w:p>
    <w:p w14:paraId="4A310195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 xml:space="preserve">A antecipação da tutela recursal depende da probabilidade de provimento do recurso e do risco de dano grave, de difícil ou impossível reparação, nos termos do art. 1.019, I, combinado com o art. 995, parágrafo único, do Código de Processo Civil. Os dois requisitos são cumulativos, de modo </w:t>
      </w:r>
      <w:r>
        <w:rPr>
          <w:rFonts w:eastAsia="Arial"/>
        </w:rPr>
        <w:lastRenderedPageBreak/>
        <w:t>que a falta de um deles basta para o indeferimento, embora ambos sejam aqui examinados.</w:t>
      </w:r>
    </w:p>
    <w:p w14:paraId="551682CD" w14:textId="77777777" w:rsidR="00B93856" w:rsidRDefault="00000000">
      <w:pPr>
        <w:spacing w:after="0" w:line="360" w:lineRule="auto"/>
        <w:ind w:firstLine="2268"/>
        <w:jc w:val="both"/>
      </w:pPr>
      <w:commentRangeStart w:id="3"/>
      <w:r>
        <w:rPr>
          <w:rFonts w:eastAsia="Arial"/>
        </w:rPr>
        <w:t>Em exame próprio desta fase, não se verifica a probabilidade do direito. O art. 59, § 1º, IX, da Lei nº 8.245/1991 permite a desocupação liminar na ação fundada na falta de pagamento quando o contrato está desprovido de qualquer das garantias do art. 37, e a orientação majoritária deste Tribunal é a de que a garantia locatícia vigente afasta a medida. O fundamento da decisão agravada é precisamente a vigência da garantia, e a agravante não o contesta com os elementos que o juízo examinou. Ela o contesta com um documento novo, o e-mail da CredAluga de 07/10/2026 (ID 90917935), posterior à decisão, disponibilizada em 24/09/2026.</w:t>
      </w:r>
      <w:commentRangeEnd w:id="3"/>
      <w:r>
        <w:rPr>
          <w:rStyle w:val="CommentReference"/>
        </w:rPr>
        <w:commentReference w:id="3"/>
      </w:r>
    </w:p>
    <w:p w14:paraId="5BA4CBDC" w14:textId="77777777" w:rsidR="00B93856" w:rsidRDefault="00000000">
      <w:pPr>
        <w:spacing w:after="0" w:line="360" w:lineRule="auto"/>
        <w:ind w:firstLine="2268"/>
        <w:jc w:val="both"/>
      </w:pPr>
      <w:commentRangeStart w:id="4"/>
      <w:r>
        <w:rPr>
          <w:rFonts w:eastAsia="Arial"/>
        </w:rPr>
        <w:t>Esse documento não foi submetido ao juízo de origem, ao menos pelo que mostram estes autos, e é nele que se apoia toda a tese recursal. O agravo de instrumento serve ao reexame do que a decisão recorrida apreciou, e conceder agora, com base em prova que o juízo não conheceu, a desocupação que ele negou por outro fundamento significaria decidir a questão em primeiro lugar nesta instância. Nada impede, porém, que a agravante leve o documento ao juízo de origem e renove o pedido de tutela de urgência, que poderá ser reexaminado à luz desse fato.</w:t>
      </w:r>
      <w:commentRangeEnd w:id="4"/>
      <w:r>
        <w:rPr>
          <w:rStyle w:val="CommentReference"/>
        </w:rPr>
        <w:commentReference w:id="4"/>
      </w:r>
    </w:p>
    <w:p w14:paraId="5C2DAB82" w14:textId="77777777" w:rsidR="00B93856" w:rsidRDefault="00000000">
      <w:pPr>
        <w:spacing w:after="0" w:line="360" w:lineRule="auto"/>
        <w:ind w:firstLine="2268"/>
        <w:jc w:val="both"/>
      </w:pPr>
      <w:commentRangeStart w:id="5"/>
      <w:r>
        <w:rPr>
          <w:rFonts w:eastAsia="Arial"/>
        </w:rPr>
        <w:t>Tampouco o conteúdo do e-mail, considerado em si, demonstra com segurança a ausência de garantia. A garantidora afirma que "já formalizou a exoneração da garantia em 13/07/2026", mas a notificação e o aviso de recebimento não foram juntados. Em 16/09/2026, mais de trinta dias depois daquela data, a mesma CredAluga orientava a administradora a completar a cláusula obrigatória por aditivo e prometia que daria "sequência imediata ao processamento das demais solicitações", além de anunciar reanálise do caso, enquanto a administradora afirmava que "houve aprovação na inadimplência" de um dos protocolos. Essas tratativas não se conciliam com uma garantia já extinta desde agosto.</w:t>
      </w:r>
      <w:commentRangeEnd w:id="5"/>
      <w:r>
        <w:rPr>
          <w:rStyle w:val="CommentReference"/>
        </w:rPr>
        <w:commentReference w:id="5"/>
      </w:r>
    </w:p>
    <w:p w14:paraId="5F198C57" w14:textId="77777777" w:rsidR="00B93856" w:rsidRDefault="00000000">
      <w:pPr>
        <w:spacing w:after="0" w:line="360" w:lineRule="auto"/>
        <w:ind w:firstLine="2268"/>
        <w:jc w:val="both"/>
      </w:pPr>
      <w:commentRangeStart w:id="6"/>
      <w:r>
        <w:rPr>
          <w:rFonts w:eastAsia="Arial"/>
        </w:rPr>
        <w:t xml:space="preserve">O próprio e-mail, aliás, atribui o indeferimento das coberturas a outra causa. Segundo a garantidora, "a não inserção da Cláusula Obrigatória de Fiança no contrato de locação e o esgotamento do prazo de 60 dias sem o devido saneamento impedem a liberação de qualquer pagamento ou cobertura", e a mensagem de reprovação dos débitos de 09/2026 (ID 90917936) admitia novo </w:t>
      </w:r>
      <w:r>
        <w:rPr>
          <w:rFonts w:eastAsia="Arial"/>
        </w:rPr>
        <w:lastRenderedPageBreak/>
        <w:t>protocolo em até 60 dias. A administradora, por sua vez, declarou que "não existe a possibilidade de celebrar um aditivo, visto que o cliente em questão não está de acordo em assinar". Saber se a falta de cobertura decorre de exoneração válida ou de defeito de formalização do contrato é questão que exige o contraditório com a garantidora, que integra o polo passivo.</w:t>
      </w:r>
      <w:commentRangeEnd w:id="6"/>
      <w:r>
        <w:rPr>
          <w:rStyle w:val="CommentReference"/>
        </w:rPr>
        <w:commentReference w:id="6"/>
      </w:r>
    </w:p>
    <w:p w14:paraId="7229D7F1" w14:textId="77777777" w:rsidR="00B93856" w:rsidRDefault="00000000">
      <w:pPr>
        <w:spacing w:after="0" w:line="360" w:lineRule="auto"/>
        <w:ind w:firstLine="2268"/>
        <w:jc w:val="both"/>
      </w:pPr>
      <w:commentRangeStart w:id="7"/>
      <w:r>
        <w:rPr>
          <w:rFonts w:eastAsia="Arial"/>
        </w:rPr>
        <w:t>Pela mesma razão, fica prejudicado o pedido de substituição da caução pelo crédito locatício vencido. A caução do art. 59, § 1º, da Lei nº 8.245/1991 é condição para a execução da liminar, e só teria sentido discutir a forma de prestá-la se a desocupação fosse cabível. Registre-se, apenas, que o débito de R$ 5.977,88 é conhecido, nestes autos, só pela afirmação da agravante, que remete à petição inicial, não juntada, e que a base de cálculo da caução varia na própria petição entre R$ 3.300,00 e R$ 3.571,05.</w:t>
      </w:r>
      <w:commentRangeEnd w:id="7"/>
      <w:r>
        <w:rPr>
          <w:rStyle w:val="CommentReference"/>
        </w:rPr>
        <w:commentReference w:id="7"/>
      </w:r>
    </w:p>
    <w:p w14:paraId="4A4E3FCC" w14:textId="77777777" w:rsidR="00B93856" w:rsidRDefault="00000000">
      <w:pPr>
        <w:spacing w:after="0" w:line="360" w:lineRule="auto"/>
        <w:ind w:firstLine="2268"/>
        <w:jc w:val="both"/>
      </w:pPr>
      <w:commentRangeStart w:id="8"/>
      <w:r>
        <w:rPr>
          <w:rFonts w:eastAsia="Arial"/>
        </w:rPr>
        <w:t>O perigo de dano também não autoriza a medida. O prejuízo alegado pela agravante é patrimonial e está sendo cobrado na própria ação de origem, com responsabilidade solidária do corresponsável prevista no contrato, ao passo que a desocupação de imóvel residencial, em 15 dias e sem a oitiva dos agravados, produz efeito de difícil reversão para a locatária. O curto tempo necessário à resposta dos agravados neste recurso não agrava de modo relevante a situação da agravante, que pode, além disso, renovar o pedido no juízo de origem. Ausentes, assim, a probabilidade do direito e o perigo de dano, não cabe a antecipação da tutela recursal.</w:t>
      </w:r>
      <w:commentRangeEnd w:id="8"/>
      <w:r>
        <w:rPr>
          <w:rStyle w:val="CommentReference"/>
        </w:rPr>
        <w:commentReference w:id="8"/>
      </w:r>
    </w:p>
    <w:p w14:paraId="36F249B4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 xml:space="preserve">Ante o exposto, </w:t>
      </w:r>
      <w:r>
        <w:rPr>
          <w:rFonts w:eastAsia="Arial"/>
          <w:b/>
        </w:rPr>
        <w:t>INDEFIRO</w:t>
      </w:r>
      <w:r>
        <w:rPr>
          <w:rFonts w:eastAsia="Arial"/>
        </w:rPr>
        <w:t xml:space="preserve"> o pedido de antecipação da tutela recursal para a desocupação liminar do imóvel e julgo prejudicado o pedido de substituição da caução pelo crédito locatício vencido.</w:t>
      </w:r>
    </w:p>
    <w:p w14:paraId="08025B01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>Comunique-se ao juízo de origem, dispensadas as informações.</w:t>
      </w:r>
    </w:p>
    <w:p w14:paraId="5D69FC52" w14:textId="77777777" w:rsidR="00B93856" w:rsidRDefault="00000000">
      <w:pPr>
        <w:spacing w:after="0" w:line="360" w:lineRule="auto"/>
        <w:ind w:firstLine="2268"/>
        <w:jc w:val="both"/>
      </w:pPr>
      <w:commentRangeStart w:id="9"/>
      <w:r>
        <w:rPr>
          <w:rFonts w:eastAsia="Arial"/>
        </w:rPr>
        <w:t>Intimem-se os agravados para responder ao recurso, no prazo legal, pessoalmente, por não terem advogado constituído nos autos (art. 1.019, II, do CPC).</w:t>
      </w:r>
      <w:commentRangeEnd w:id="9"/>
      <w:r>
        <w:rPr>
          <w:rStyle w:val="CommentReference"/>
        </w:rPr>
        <w:commentReference w:id="9"/>
      </w:r>
    </w:p>
    <w:p w14:paraId="4601B027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>Após, retornem os autos conclusos.</w:t>
      </w:r>
    </w:p>
    <w:p w14:paraId="49CFA441" w14:textId="77777777" w:rsidR="00B93856" w:rsidRDefault="00B93856">
      <w:pPr>
        <w:spacing w:after="0" w:line="360" w:lineRule="auto"/>
        <w:jc w:val="both"/>
      </w:pPr>
    </w:p>
    <w:p w14:paraId="3DDD3485" w14:textId="77777777" w:rsidR="00B93856" w:rsidRDefault="00000000">
      <w:pPr>
        <w:spacing w:after="0" w:line="360" w:lineRule="auto"/>
        <w:ind w:firstLine="2268"/>
        <w:jc w:val="both"/>
      </w:pPr>
      <w:r>
        <w:rPr>
          <w:rFonts w:eastAsia="Arial"/>
        </w:rPr>
        <w:t>Brasília, 14/10/2026.</w:t>
      </w:r>
    </w:p>
    <w:p w14:paraId="6A34A329" w14:textId="77777777" w:rsidR="00B93856" w:rsidRDefault="00B93856">
      <w:pPr>
        <w:spacing w:after="0" w:line="360" w:lineRule="auto"/>
        <w:jc w:val="both"/>
      </w:pPr>
    </w:p>
    <w:p w14:paraId="00645BBA" w14:textId="77777777" w:rsidR="00B93856" w:rsidRDefault="00B93856">
      <w:pPr>
        <w:spacing w:after="0" w:line="360" w:lineRule="auto"/>
        <w:jc w:val="both"/>
      </w:pPr>
    </w:p>
    <w:p w14:paraId="251F9D67" w14:textId="77777777" w:rsidR="00B93856" w:rsidRDefault="00000000">
      <w:pPr>
        <w:spacing w:after="0" w:line="360" w:lineRule="auto"/>
        <w:jc w:val="center"/>
      </w:pPr>
      <w:r>
        <w:rPr>
          <w:rFonts w:eastAsia="Arial"/>
          <w:b/>
        </w:rPr>
        <w:lastRenderedPageBreak/>
        <w:t>Desembargador DEMETRIUS GOMES CAVALCANTI</w:t>
      </w:r>
    </w:p>
    <w:p w14:paraId="48E6400D" w14:textId="77777777" w:rsidR="00B93856" w:rsidRDefault="00000000">
      <w:pPr>
        <w:spacing w:after="0" w:line="360" w:lineRule="auto"/>
        <w:jc w:val="center"/>
      </w:pPr>
      <w:r>
        <w:rPr>
          <w:rFonts w:eastAsia="Arial"/>
          <w:b/>
        </w:rPr>
        <w:t>Relator</w:t>
      </w:r>
    </w:p>
    <w:sectPr w:rsidR="00B93856" w:rsidSect="00034616">
      <w:pgSz w:w="11906" w:h="16838"/>
      <w:pgMar w:top="1701" w:right="1134" w:bottom="1134" w:left="198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Conferência pendente: a decisão agravada (ID 292020880) está nos autos eletrônicos de origem e não foi vista nesta análise (sem acesso ao PJe). Decidir só pelo relato da agravante é a maior fragilidade da minuta; o fundamento da decisão (par. 11) e a data de disponibilização (par. 13) precisam ser conferidos nela. Parágrafo a apagar antes de assinar.</w:t>
      </w:r>
    </w:p>
  </w:comment>
  <w:comment w:id="1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Conferir a composição do débito: 5 × R$ 1.190,35 = R$ 5.951,75, e não R$ 5.977,88. A diferença pode ser de acessórios, mas o relatório não diz. O valor da caução (3 × R$ 1.190,35 = R$ 3.571,05) confere.</w:t>
      </w:r>
    </w:p>
  </w:comment>
  <w:comment w:id="2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Premissa dependente de prova que não está nos autos: o fundamento da decisão agravada vem só da narrativa da agravante. Conferir no processo de origem antes de assinar.</w:t>
      </w:r>
    </w:p>
  </w:comment>
  <w:comment w:id="3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(1) A lei não exige apenas contrato 'desprovido' de garantia: o inciso IX também abrange 'extinção ou pedido de exoneração dela, independentemente de motivo' (texto transcrito em acórdão da 6ª Turma Cível, proc. 0728049-67.2025.8.07.0000, 05/11/2025, localizado no iajus). A minuta omite essa parte, que é justamente a tese da agravante; transcrevê-la. (2) 'Orientação majoritária deste Tribunal' sem precedente: o iajus devolveu, entre outros, TJDFT 0728049-67.2025 (6ª T., 05/11/2025), 0738724-89.2025 (1ª T., 28/01/2026) e 0729294-16.2025 (1ª T., 25/03/2026), nenhum da 4ª Turma; citar precedente conferido ou tirar a afirmação. (3) Redação confusa: 'posterior à decisão, disponibilizada em 24/09/2026' dá a entender que o e-mail foi disponibilizado; reescrever para indicar que a decisão foi disponibilizada em 24/09/2026. (4) O e-mail é de 07/10/2026, mas o fato que ele prova (exoneração em 13/07/2026) é anterior à decisão; deixar claro que só a prova é nova.</w:t>
      </w:r>
    </w:p>
  </w:comment>
  <w:comment w:id="4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Fundamento correto em linha geral (não se examina em agravo prova que o juízo de origem não conheceu). Mas os parágrafos seguintes (15 e 16) passam a valorar o conteúdo do e-mail, o que contradiz este parágrafo: se o documento não pode ser decidido em primeiro lugar nesta instância, também não se deve antecipar sua avaliação de mérito. Escolher uma só linha de fundamentação.</w:t>
      </w:r>
    </w:p>
  </w:comment>
  <w:comment w:id="5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(1) Incoerência de datas: a exoneração é de 13/07/2026 e o parágrafo conclui que a garantia não estaria 'extinta desde agosto'; de 13/07 a 16/09 passam 65 dias, e não 'mais de trinta'. (2) A minuta não identifica a modalidade da garantia (fiança, seguro-fiança ou outra do art. 37 da Lei 8.245/1991), e o regime de exoneração e de permanência dos efeitos depende dela; o art. 39 da mesma lei (garantia até a devolução do imóvel, salvo estipulação contratual) aparece em acórdão da 6ª Turma Cível localizado no iajus (0728049-67.2025). Qualificar a garantia e enfrentar esse ponto, em vez de depender de tratativas por e-mail.</w:t>
      </w:r>
    </w:p>
  </w:comment>
  <w:comment w:id="6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Fundamento adequado: o iajus devolveu acórdão da 8ª Turma Cível (0708947-59.2025.8.07.0000, 24/06/2025) no sentido de que a alegada ineficácia da garantia exige dilação probatória, incabível na cognição sumária. Pode ser citado aqui no lugar das inferências sobre o conteúdo do e-mail.</w:t>
      </w:r>
    </w:p>
  </w:comment>
  <w:comment w:id="7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A conclusão de 'prejudicado' é lógica, mas o TJDFT já admitiu a substituição da caução pelo crédito dos aluguéis em atraso (0714042-07.2024.8.07.0000, 6ª T., 24/07/2024; 0738359-35.2025.8.07.0000, 2ª T., 21/01/2026, ambos no iajus). Como a minuta registra que a 4ª Turma está dividida (par. 0), dizer expressamente que o tema não é examinado porque a desocupação não é cabível, sem adotar tese.</w:t>
      </w:r>
    </w:p>
  </w:comment>
  <w:comment w:id="8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(1) 'Sem a oitiva dos agravados' não é razão contra a medida: a própria lei concede a liminar 'independentemente da audiência da parte contrária' (texto reproduzido na ementa do proc. 0725872-67.2024.8.07.0000, 1ª T., 25/09/2024). Retirar esse argumento. (2) A 'responsabilidade solidária do corresponsável prevista no contrato' não tem ID nem trecho; indicar a cláusula ou tirar. (3) O argumento do dano reverso é válido e tem respaldo (0738724-89.2025 cita risco de dano reverso).</w:t>
      </w:r>
    </w:p>
  </w:comment>
  <w:comment w:id="9" w:author="Assessor GDSXSR" w:initials="AG" w:date="2026-10-27T17:14:10Z">
    <w:p>
      <w:pPr>
        <w:pStyle w:val="CommentText"/>
      </w:pPr>
      <w:r>
        <w:rPr>
          <w:rStyle w:val="CommentReference"/>
        </w:rPr>
        <w:annotationRef/>
      </w:r>
      <w:r>
        <w:t>ASSESSOR GDSXSR — Conferir o inciso II do art. 1.019 do CPC (não confirmado nesta análise): para o agravado sem procurador, a intimação se faz por carta com aviso de recebimento, e não 'pessoalmente'. Ajustar a forma de comunicação e informar o prazo.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7719">
    <w:abstractNumId w:val="8"/>
  </w:num>
  <w:num w:numId="2" w16cid:durableId="1839154457">
    <w:abstractNumId w:val="6"/>
  </w:num>
  <w:num w:numId="3" w16cid:durableId="2010254159">
    <w:abstractNumId w:val="5"/>
  </w:num>
  <w:num w:numId="4" w16cid:durableId="1434325391">
    <w:abstractNumId w:val="4"/>
  </w:num>
  <w:num w:numId="5" w16cid:durableId="1536380234">
    <w:abstractNumId w:val="7"/>
  </w:num>
  <w:num w:numId="6" w16cid:durableId="830870029">
    <w:abstractNumId w:val="3"/>
  </w:num>
  <w:num w:numId="7" w16cid:durableId="265692455">
    <w:abstractNumId w:val="2"/>
  </w:num>
  <w:num w:numId="8" w16cid:durableId="826823805">
    <w:abstractNumId w:val="1"/>
  </w:num>
  <w:num w:numId="9" w16cid:durableId="3644492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0D3"/>
    <w:rsid w:val="00961B39"/>
    <w:rsid w:val="00AA1D8D"/>
    <w:rsid w:val="00B47730"/>
    <w:rsid w:val="00B938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07932"/>
  <w14:defaultImageDpi w14:val="300"/>
  <w15:docId w15:val="{6C8F67CC-7DBE-1C4A-BD9C-248E22A7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1398</Words>
  <Characters>7148</Characters>
  <Application>Microsoft Office Word</Application>
  <DocSecurity>0</DocSecurity>
  <Lines>150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Alves Gouvêia</cp:lastModifiedBy>
  <cp:revision>2</cp:revision>
  <dcterms:created xsi:type="dcterms:W3CDTF">2026-10-15T15:16:00Z</dcterms:created>
  <dcterms:modified xsi:type="dcterms:W3CDTF">2026-10-15T15:16:00Z</dcterms:modified>
  <cp:category/>
</cp:coreProperties>
</file>