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39286FAB" w14:paraId="4680266B" w14:textId="77777777">
        <w:tc>
          <w:tcPr>
            <w:tcW w:w="2822" w:type="dxa"/>
            <w:tcBorders>
              <w:top w:val="nil"/>
              <w:left w:val="nil"/>
              <w:bottom w:val="nil"/>
              <w:right w:val="nil"/>
            </w:tcBorders>
            <w:shd w:val="clear" w:color="auto" w:fill="auto"/>
            <w:hideMark/>
          </w:tcPr>
          <w:p w:rsidR="00264107" w:rsidP="00FD470E"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shd w:val="clear" w:color="auto" w:fill="auto"/>
            <w:hideMark/>
          </w:tcPr>
          <w:p w:rsidR="00264107" w:rsidP="39286FA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rsidR="00264107" w:rsidP="00FD470E"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Tribunal de Justiça do Distrito Federal e dos Territórios</w:t>
            </w:r>
            <w:r>
              <w:rPr>
                <w:rStyle w:val="eop"/>
                <w:rFonts w:ascii="Calibri" w:hAnsi="Calibri" w:cs="Calibri"/>
                <w:color w:val="595959"/>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773BBDE1" w14:paraId="39579C6E" w14:textId="77777777">
        <w:trPr>
          <w:cantSplit/>
          <w:trHeight w:val="397"/>
        </w:trPr>
        <w:tc>
          <w:tcPr>
            <w:tcW w:w="3686" w:type="dxa"/>
            <w:shd w:val="clear" w:color="auto" w:fill="auto"/>
            <w:tcMar/>
            <w:vAlign w:val="center"/>
          </w:tcPr>
          <w:p w:rsidRPr="009F36E1" w:rsidR="00770E7F" w:rsidP="00B34ADF" w:rsidRDefault="79304B6F" w14:paraId="0E990AE5" w14:textId="77777777" w14:noSpellErr="1">
            <w:pPr>
              <w:rPr>
                <w:rFonts w:ascii="Arial" w:hAnsi="Arial" w:cs="Arial"/>
                <w:sz w:val="28"/>
                <w:szCs w:val="28"/>
              </w:rPr>
            </w:pPr>
            <w:commentRangeStart w:id="0"/>
            <w:commentRangeStart w:id="1548154177"/>
            <w:r w:rsidRPr="773BBDE1" w:rsidR="79304B6F">
              <w:rPr>
                <w:rFonts w:ascii="Arial" w:hAnsi="Arial" w:cs="Arial"/>
                <w:sz w:val="28"/>
                <w:szCs w:val="28"/>
              </w:rPr>
              <w:t>Ór</w:t>
            </w:r>
            <w:commentRangeEnd w:id="0"/>
            <w:r>
              <w:rPr>
                <w:rStyle w:val="CommentReference"/>
              </w:rPr>
              <w:commentReference w:id="0"/>
            </w:r>
            <w:commentRangeEnd w:id="1548154177"/>
            <w:r>
              <w:rPr>
                <w:rStyle w:val="CommentReference"/>
              </w:rPr>
              <w:commentReference w:id="1548154177"/>
            </w:r>
            <w:r w:rsidRPr="773BBDE1" w:rsidR="79304B6F">
              <w:rPr>
                <w:rFonts w:ascii="Arial" w:hAnsi="Arial" w:cs="Arial"/>
                <w:sz w:val="28"/>
                <w:szCs w:val="28"/>
              </w:rPr>
              <w:t>gão</w:t>
            </w:r>
          </w:p>
        </w:tc>
        <w:tc>
          <w:tcPr>
            <w:tcW w:w="447" w:type="dxa"/>
            <w:shd w:val="clear" w:color="auto" w:fill="auto"/>
            <w:tcMar/>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773BBDE1" w14:paraId="1234CB9C" w14:textId="77777777">
        <w:trPr>
          <w:cantSplit/>
          <w:trHeight w:val="397"/>
        </w:trPr>
        <w:tc>
          <w:tcPr>
            <w:tcW w:w="3686" w:type="dxa"/>
            <w:shd w:val="clear" w:color="auto" w:fill="auto"/>
            <w:tcMar/>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shd w:val="clear" w:color="auto" w:fill="auto"/>
            <w:tcMar/>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sdt>
            <w:sdt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Embargos de Declaração</w:t>
                </w:r>
              </w:p>
            </w:sdtContent>
            <w:sdtEndPr>
              <w:rPr>
                <w:rFonts w:cs="Arial"/>
                <w:i w:val="0"/>
                <w:iCs w:val="0"/>
                <w:sz w:val="28"/>
                <w:szCs w:val="28"/>
              </w:rPr>
            </w:sdtEndPr>
          </w:sdt>
        </w:tc>
      </w:tr>
      <w:tr w:rsidRPr="009F36E1" w:rsidR="00770E7F" w:rsidTr="773BBDE1" w14:paraId="32B00EA9" w14:textId="77777777">
        <w:trPr>
          <w:cantSplit/>
          <w:trHeight w:val="397"/>
        </w:trPr>
        <w:tc>
          <w:tcPr>
            <w:tcW w:w="3686" w:type="dxa"/>
            <w:shd w:val="clear" w:color="auto" w:fill="auto"/>
            <w:tcMar/>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shd w:val="clear" w:color="auto" w:fill="auto"/>
            <w:tcMar/>
            <w:vAlign w:val="center"/>
          </w:tcPr>
          <w:p w:rsidRPr="009F36E1" w:rsidR="00770E7F" w:rsidP="00B34ADF" w:rsidRDefault="00770E7F" w14:paraId="10327F8B"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7C53B768" w14:textId="5A7ECA41">
            <w:pPr>
              <w:ind w:right="-675"/>
              <w:rPr>
                <w:rFonts w:ascii="Arial" w:hAnsi="Arial" w:cs="Arial"/>
                <w:sz w:val="28"/>
                <w:szCs w:val="28"/>
              </w:rPr>
            </w:pPr>
            <w:r w:rsidRPr="001C16FB">
              <w:rPr>
                <w:rFonts w:ascii="Arial" w:hAnsi="Arial" w:cs="Arial"/>
                <w:sz w:val="28"/>
                <w:szCs w:val="28"/>
              </w:rPr>
              <w:t>0703926-84.2025.8.07.0006</w:t>
            </w:r>
          </w:p>
        </w:tc>
      </w:tr>
      <w:tr w:rsidRPr="009F36E1" w:rsidR="00770E7F" w:rsidTr="773BBDE1" w14:paraId="48ED7BFE" w14:textId="77777777">
        <w:trPr>
          <w:cantSplit/>
          <w:trHeight w:val="397"/>
        </w:trPr>
        <w:tc>
          <w:tcPr>
            <w:tcW w:w="3686" w:type="dxa"/>
            <w:shd w:val="clear" w:color="auto" w:fill="auto"/>
            <w:tcMar/>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Embargante (s)</w:t>
                </w:r>
              </w:sdtContent>
            </w:sdt>
            <w:r w:rsidRPr="00F63CDB" w:rsidR="00770E7F">
              <w:rPr>
                <w:rFonts w:ascii="Arial" w:hAnsi="Arial" w:cs="Arial"/>
                <w:sz w:val="28"/>
                <w:szCs w:val="28"/>
              </w:rPr>
              <w:t xml:space="preserve"/>
            </w:r>
          </w:p>
        </w:tc>
        <w:tc>
          <w:tcPr>
            <w:tcW w:w="447" w:type="dxa"/>
            <w:shd w:val="clear" w:color="auto" w:fill="auto"/>
            <w:tcMar/>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B66EC2" w:rsidR="00770E7F" w:rsidP="00B34ADF" w:rsidRDefault="001C16FB" w14:paraId="4A58BA3C" w14:textId="4331C501">
            <w:pPr>
              <w:rPr>
                <w:rFonts w:ascii="Arial" w:hAnsi="Arial" w:cs="Arial"/>
                <w:sz w:val="28"/>
                <w:szCs w:val="28"/>
              </w:rPr>
            </w:pPr>
            <w:r w:rsidRPr="06571051">
              <w:rPr>
                <w:rFonts w:ascii="Arial" w:hAnsi="Arial" w:cs="Arial"/>
                <w:sz w:val="28"/>
                <w:szCs w:val="28"/>
              </w:rPr>
              <w:t>GUILHERME RODRIGUES DA SILVA</w:t>
            </w:r>
            <w:commentRangeStart w:id="1"/>
            <w:commentRangeStart w:id="2"/>
            <w:commentRangeStart w:id="3"/>
            <w:r w:rsidRPr="06571051">
              <w:rPr>
                <w:rFonts w:ascii="Arial" w:hAnsi="Arial" w:cs="Arial"/>
                <w:sz w:val="28"/>
                <w:szCs w:val="28"/>
              </w:rPr>
              <w:t xml:space="preserve"/>
            </w:r>
            <w:commentRangeEnd w:id="1"/>
            <w:r>
              <w:commentReference w:id="1"/>
            </w:r>
            <w:commentRangeEnd w:id="2"/>
            <w:r>
              <w:commentReference w:id="2"/>
            </w:r>
            <w:commentRangeEnd w:id="3"/>
            <w:r w:rsidR="00555B54">
              <w:rPr>
                <w:rStyle w:val="Refdecomentrio"/>
                <w:rFonts w:ascii="Verdana" w:hAnsi="Verdana" w:eastAsia="Times New Roman" w:cs="Times New Roman"/>
                <w:lang w:val="x-none" w:eastAsia="x-none"/>
              </w:rPr>
              <w:commentReference w:id="3"/>
            </w:r>
            <w:r w:rsidRPr="06571051">
              <w:rPr>
                <w:rFonts w:ascii="Arial" w:hAnsi="Arial" w:cs="Arial"/>
                <w:sz w:val="28"/>
                <w:szCs w:val="28"/>
              </w:rPr>
              <w:t/>
            </w:r>
          </w:p>
        </w:tc>
      </w:tr>
      <w:tr w:rsidRPr="009F36E1" w:rsidR="00770E7F" w:rsidTr="773BBDE1" w14:paraId="55763F2D" w14:textId="77777777">
        <w:trPr>
          <w:cantSplit/>
          <w:trHeight w:val="397"/>
        </w:trPr>
        <w:tc>
          <w:tcPr>
            <w:tcW w:w="3686" w:type="dxa"/>
            <w:shd w:val="clear" w:color="auto" w:fill="auto"/>
            <w:tcMar/>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Embargado (a)(s)</w:t>
                </w:r>
              </w:sdtContent>
            </w:sdt>
            <w:r w:rsidRPr="009F36E1" w:rsidR="00770E7F">
              <w:rPr>
                <w:rFonts w:ascii="Arial" w:hAnsi="Arial" w:cs="Arial"/>
                <w:sz w:val="28"/>
                <w:szCs w:val="28"/>
              </w:rPr>
              <w:t xml:space="preserve"/>
            </w:r>
            <w:r w:rsidR="009F36E1">
              <w:rPr>
                <w:rFonts w:ascii="Arial" w:hAnsi="Arial" w:cs="Arial"/>
                <w:sz w:val="28"/>
                <w:szCs w:val="28"/>
              </w:rPr>
              <w:t/>
            </w:r>
            <w:r w:rsidRPr="009F36E1" w:rsidR="00770E7F">
              <w:rPr>
                <w:rFonts w:ascii="Arial" w:hAnsi="Arial" w:cs="Arial"/>
                <w:sz w:val="28"/>
                <w:szCs w:val="28"/>
              </w:rPr>
              <w:t/>
            </w:r>
          </w:p>
        </w:tc>
        <w:tc>
          <w:tcPr>
            <w:tcW w:w="447" w:type="dxa"/>
            <w:shd w:val="clear" w:color="auto" w:fill="auto"/>
            <w:tcMar/>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1C16FB" w14:paraId="1AB96577" w14:textId="6F3149F0">
            <w:pPr>
              <w:ind w:right="-74"/>
              <w:rPr>
                <w:rFonts w:ascii="Arial" w:hAnsi="Arial" w:cs="Arial"/>
                <w:sz w:val="28"/>
                <w:szCs w:val="28"/>
              </w:rPr>
            </w:pPr>
            <w:r w:rsidRPr="001C16FB">
              <w:rPr>
                <w:rFonts w:ascii="Arial" w:hAnsi="Arial" w:cs="Arial"/>
                <w:sz w:val="28"/>
                <w:szCs w:val="28"/>
              </w:rPr>
              <w:t>D. F. R.</w:t>
            </w:r>
            <w:r>
              <w:rPr>
                <w:rFonts w:ascii="Arial" w:hAnsi="Arial" w:cs="Arial"/>
                <w:sz w:val="28"/>
                <w:szCs w:val="28"/>
              </w:rPr>
              <w:t xml:space="preserve"/>
            </w:r>
          </w:p>
        </w:tc>
      </w:tr>
      <w:tr w:rsidRPr="009F36E1" w:rsidR="00770E7F" w:rsidTr="773BBDE1" w14:paraId="640EA867" w14:textId="77777777">
        <w:trPr>
          <w:cantSplit/>
          <w:trHeight w:val="397"/>
        </w:trPr>
        <w:tc>
          <w:tcPr>
            <w:tcW w:w="3686" w:type="dxa"/>
            <w:shd w:val="clear" w:color="auto" w:fill="auto"/>
            <w:tcMar/>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shd w:val="clear" w:color="auto" w:fill="auto"/>
            <w:tcMar/>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shd w:val="clear" w:color="auto" w:fill="auto"/>
            <w:tcMar/>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DB1301" w:rsidP="00DB1301" w:rsidRDefault="00DB1301" w14:paraId="215F61BE" w14:textId="77777777">
      <w:pPr>
        <w:spacing w:after="0" w:line="360" w:lineRule="auto"/>
        <w:rPr>
          <w:rFonts w:ascii="Arial" w:hAnsi="Arial" w:cs="Arial"/>
          <w:sz w:val="28"/>
          <w:szCs w:val="28"/>
        </w:rPr>
      </w:pPr>
    </w:p>
    <w:p>
      <w:pPr>
        <w:spacing w:line="360" w:lineRule="auto" w:after="0" w:before="0"/>
        <w:jc w:val="left"/>
      </w:pPr>
      <w:commentRangeStart w:id="0"/>
      <w:r>
        <w:rPr>
          <w:rFonts w:ascii="Arial" w:hAnsi="Arial" w:cs="Arial"/>
          <w:b/>
          <w:i w:val="0"/>
          <w:sz w:val="28"/>
        </w:rPr>
        <w:t>EMENTA</w:t>
      </w:r>
      <w:commentRangeEnd w:id="0"/>
      <w:r>
        <w:rPr>
          <w:rStyle w:val="CommentReference"/>
        </w:rPr>
        <w:commentReference w:id="0"/>
      </w:r>
    </w:p>
    <w:p>
      <w:pPr>
        <w:spacing w:line="360" w:lineRule="auto" w:after="0" w:before="0"/>
        <w:jc w:val="both"/>
      </w:pPr>
      <w:r>
        <w:rPr>
          <w:rFonts w:ascii="Arial" w:hAnsi="Arial" w:cs="Arial"/>
          <w:b w:val="0"/>
          <w:i w:val="0"/>
          <w:sz w:val="28"/>
        </w:rPr>
        <w:t>EMBARGOS DE DECLARAÇÃO. DIREITO PROCESSUAL CIVIL. ALEGADA OMISSÃO. INEXISTÊNCIA. REDISCUSSÃO DO MÉRITO. PREQUESTIONAMENTO. EMBARGOS NÃO PROVIDOS.</w:t>
      </w:r>
    </w:p>
    <w:p>
      <w:pPr>
        <w:spacing w:line="360" w:lineRule="auto" w:after="0" w:before="0"/>
        <w:jc w:val="both"/>
      </w:pPr>
      <w:r>
        <w:rPr>
          <w:rFonts w:ascii="Arial" w:hAnsi="Arial" w:cs="Arial"/>
          <w:b/>
          <w:i w:val="0"/>
          <w:sz w:val="28"/>
        </w:rPr>
        <w:t>I. Caso em exame</w:t>
      </w:r>
    </w:p>
    <w:p>
      <w:pPr>
        <w:spacing w:line="360" w:lineRule="auto" w:after="0" w:before="0"/>
        <w:jc w:val="both"/>
      </w:pPr>
      <w:commentRangeStart w:id="1"/>
      <w:r>
        <w:rPr>
          <w:rFonts w:ascii="Arial" w:hAnsi="Arial" w:cs="Arial"/>
          <w:b w:val="0"/>
          <w:i w:val="0"/>
          <w:sz w:val="28"/>
        </w:rPr>
        <w:t>1. Embargos de declaração opostos por genitor, pessoa natural, contra acórdão que rejeitou as preliminares de cerceamento de defesa e negou provimento ao apelo em ação de revisão de alimentos proposta contra ele por menor, com 7 anos de idade e diagnosticado com TDAH e TOD, representado pela genitora, pessoa natural.</w:t>
      </w:r>
      <w:commentRangeEnd w:id="1"/>
      <w:r>
        <w:rPr>
          <w:rStyle w:val="CommentReference"/>
        </w:rPr>
        <w:commentReference w:id="1"/>
      </w:r>
    </w:p>
    <w:p>
      <w:pPr>
        <w:spacing w:line="360" w:lineRule="auto" w:after="0" w:before="0"/>
        <w:jc w:val="both"/>
      </w:pPr>
      <w:r>
        <w:rPr>
          <w:rFonts w:ascii="Arial" w:hAnsi="Arial" w:cs="Arial"/>
          <w:b w:val="0"/>
          <w:i w:val="0"/>
          <w:sz w:val="28"/>
        </w:rPr>
        <w:t>2. O acórdão embargado manteve a majoração dos alimentos para 22% dos rendimentos brutos do genitor, com incidência sobre as horas extras, a gratuidade de justiça do menor e o afastamento da litigância de má-fé, adotando como razões de decidir a sentença e o parecer da Procuradoria de Justiça.</w:t>
      </w:r>
    </w:p>
    <w:p>
      <w:pPr>
        <w:spacing w:line="360" w:lineRule="auto" w:after="0" w:before="0"/>
        <w:jc w:val="both"/>
      </w:pPr>
      <w:r>
        <w:rPr>
          <w:rFonts w:ascii="Arial" w:hAnsi="Arial" w:cs="Arial"/>
          <w:b w:val="0"/>
          <w:i w:val="0"/>
          <w:sz w:val="28"/>
        </w:rPr>
        <w:t>3. O embargante sustenta omissão quanto às preliminares de cerceamento de defesa e de violação ao contraditório e à paridade de armas, à gratuidade de justiça do menor, à litigância de má-fé, ao binômio necessidade-possibilidade e à redução dos alimentos, e requer manifestação expressa para fins de prequestionamento.</w:t>
      </w:r>
    </w:p>
    <w:p>
      <w:pPr>
        <w:spacing w:line="360" w:lineRule="auto" w:after="0" w:before="0"/>
        <w:jc w:val="both"/>
      </w:pPr>
      <w:r>
        <w:rPr>
          <w:rFonts w:ascii="Arial" w:hAnsi="Arial" w:cs="Arial"/>
          <w:b/>
          <w:i w:val="0"/>
          <w:sz w:val="28"/>
        </w:rPr>
        <w:t>II. Questão em discussão</w:t>
      </w:r>
    </w:p>
    <w:p>
      <w:pPr>
        <w:spacing w:line="360" w:lineRule="auto" w:after="0" w:before="0"/>
        <w:jc w:val="both"/>
      </w:pPr>
      <w:r>
        <w:rPr>
          <w:rFonts w:ascii="Arial" w:hAnsi="Arial" w:cs="Arial"/>
          <w:b w:val="0"/>
          <w:i w:val="0"/>
          <w:sz w:val="28"/>
        </w:rPr>
        <w:t>4. Há duas questões em discussão: (i) saber se o acórdão incorreu em omissão quanto às preliminares de cerceamento de defesa e de violação ao contraditório e à paridade de armas, à gratuidade de justiça do menor, à litigância de má-fé, ao binômio necessidade-possibilidade e à redução dos alimentos; e (ii) saber se é necessária manifestação expressa sobre dispositivos, para fins de prequestionamento.</w:t>
      </w:r>
    </w:p>
    <w:p>
      <w:pPr>
        <w:spacing w:line="360" w:lineRule="auto" w:after="0" w:before="0"/>
        <w:jc w:val="both"/>
      </w:pPr>
      <w:r>
        <w:rPr>
          <w:rFonts w:ascii="Arial" w:hAnsi="Arial" w:cs="Arial"/>
          <w:b/>
          <w:i w:val="0"/>
          <w:sz w:val="28"/>
        </w:rPr>
        <w:t>III. Razões de decidir</w:t>
      </w:r>
    </w:p>
    <w:p>
      <w:pPr>
        <w:spacing w:line="360" w:lineRule="auto" w:after="0" w:before="0"/>
        <w:jc w:val="both"/>
      </w:pPr>
      <w:r>
        <w:rPr>
          <w:rFonts w:ascii="Arial" w:hAnsi="Arial" w:cs="Arial"/>
          <w:b w:val="0"/>
          <w:i w:val="0"/>
          <w:sz w:val="28"/>
        </w:rPr>
        <w:t>5. Inexiste omissão quando o acórdão enfrenta, de modo suficiente e fundamentado, as questões relevantes para o julgamento.</w:t>
      </w:r>
    </w:p>
    <w:p>
      <w:pPr>
        <w:spacing w:line="360" w:lineRule="auto" w:after="0" w:before="0"/>
        <w:jc w:val="both"/>
      </w:pPr>
      <w:r>
        <w:rPr>
          <w:rFonts w:ascii="Arial" w:hAnsi="Arial" w:cs="Arial"/>
          <w:b w:val="0"/>
          <w:i w:val="0"/>
          <w:sz w:val="28"/>
        </w:rPr>
        <w:t xml:space="preserve">6. É válida a fundamentação </w:t>
      </w:r>
      <w:r>
        <w:rPr>
          <w:rFonts w:ascii="Arial" w:hAnsi="Arial" w:cs="Arial"/>
          <w:b w:val="0"/>
          <w:i/>
          <w:sz w:val="28"/>
        </w:rPr>
        <w:t>per relationem</w:t>
      </w:r>
      <w:r>
        <w:rPr>
          <w:rFonts w:ascii="Arial" w:hAnsi="Arial" w:cs="Arial"/>
          <w:b w:val="0"/>
          <w:i w:val="0"/>
          <w:sz w:val="28"/>
        </w:rPr>
        <w:t>, pela qual o acórdão adota como razões de decidir a sentença e o parecer do Ministério Público.</w:t>
      </w:r>
    </w:p>
    <w:p>
      <w:pPr>
        <w:spacing w:line="360" w:lineRule="auto" w:after="0" w:before="0"/>
        <w:jc w:val="both"/>
      </w:pPr>
      <w:r>
        <w:rPr>
          <w:rFonts w:ascii="Arial" w:hAnsi="Arial" w:cs="Arial"/>
          <w:b w:val="0"/>
          <w:i w:val="0"/>
          <w:sz w:val="28"/>
        </w:rPr>
        <w:t>7. O acórdão embargado rejeitou as preliminares porque as provas requeridas visavam comprovar a situação econômica da genitora, já esclarecida por prova documental, e a juntada de documentos novos não causou prejuízo concreto (CPC 370), de modo que o embargante apenas busca a rediscussão do mérito.</w:t>
      </w:r>
    </w:p>
    <w:p>
      <w:pPr>
        <w:spacing w:line="360" w:lineRule="auto" w:after="0" w:before="0"/>
        <w:jc w:val="both"/>
      </w:pPr>
      <w:r>
        <w:rPr>
          <w:rFonts w:ascii="Arial" w:hAnsi="Arial" w:cs="Arial"/>
          <w:b w:val="0"/>
          <w:i w:val="0"/>
          <w:sz w:val="28"/>
        </w:rPr>
        <w:t>8. O acórdão embargado manteve a gratuidade de justiça porque a hipossuficiência do menor é presumida e se aferiu pela condição da própria parte, e não pela de seu representante legal, de modo que o embargante apenas diverge da conclusão adotada.</w:t>
      </w:r>
    </w:p>
    <w:p>
      <w:pPr>
        <w:spacing w:line="360" w:lineRule="auto" w:after="0" w:before="0"/>
        <w:jc w:val="both"/>
      </w:pPr>
      <w:r>
        <w:rPr>
          <w:rFonts w:ascii="Arial" w:hAnsi="Arial" w:cs="Arial"/>
          <w:b w:val="0"/>
          <w:i w:val="0"/>
          <w:sz w:val="28"/>
        </w:rPr>
        <w:t>9. O acórdão embargado manteve os alimentos em 22% dos rendimentos brutos do genitor por reconhecer o aumento das necessidades do menor e a capacidade contributiva do alimentante, com incidência sobre as verbas remuneratórias, ainda que variáveis, e afastou a litigância de má-fé por ausência de prova de dolo, de modo que o embargante apenas busca a rediscussão do mérito.</w:t>
      </w:r>
    </w:p>
    <w:p>
      <w:pPr>
        <w:spacing w:line="360" w:lineRule="auto" w:after="0" w:before="0"/>
        <w:jc w:val="both"/>
      </w:pPr>
      <w:r>
        <w:rPr>
          <w:rFonts w:ascii="Arial" w:hAnsi="Arial" w:cs="Arial"/>
          <w:b w:val="0"/>
          <w:i w:val="0"/>
          <w:sz w:val="28"/>
        </w:rPr>
        <w:t>10. O julgador não está obrigado a enfrentar individualmente todos os dispositivos legais suscitados pelas partes quando decide a controvérsia com fundamentação suficiente (CPC 489 § 1º IV).</w:t>
      </w:r>
    </w:p>
    <w:p>
      <w:pPr>
        <w:spacing w:line="360" w:lineRule="auto" w:after="0" w:before="0"/>
        <w:jc w:val="both"/>
      </w:pPr>
      <w:r>
        <w:rPr>
          <w:rFonts w:ascii="Arial" w:hAnsi="Arial" w:cs="Arial"/>
          <w:b w:val="0"/>
          <w:i w:val="0"/>
          <w:sz w:val="28"/>
        </w:rPr>
        <w:t>11. Suscitada a matéria nos embargos de declaração, consideram-se incluídos no acórdão os elementos para fins de prequestionamento, ainda que os embargos sejam rejeitados, caso o tribunal superior considere existentes erro, omissão, contradição ou obscuridade (CPC 1025).</w:t>
      </w:r>
    </w:p>
    <w:p>
      <w:pPr>
        <w:spacing w:line="360" w:lineRule="auto" w:after="0" w:before="0"/>
        <w:jc w:val="both"/>
      </w:pPr>
      <w:r>
        <w:rPr>
          <w:rFonts w:ascii="Arial" w:hAnsi="Arial" w:cs="Arial"/>
          <w:b/>
          <w:i w:val="0"/>
          <w:sz w:val="28"/>
        </w:rPr>
        <w:t>IV. Dispositivo</w:t>
      </w:r>
    </w:p>
    <w:p>
      <w:pPr>
        <w:spacing w:line="360" w:lineRule="auto" w:after="0" w:before="0"/>
        <w:jc w:val="both"/>
      </w:pPr>
      <w:r>
        <w:rPr>
          <w:rFonts w:ascii="Arial" w:hAnsi="Arial" w:cs="Arial"/>
          <w:b w:val="0"/>
          <w:i w:val="0"/>
          <w:sz w:val="28"/>
        </w:rPr>
        <w:t>12. Negou-se provimento aos embargos de declaração do apelante.</w:t>
      </w:r>
    </w:p>
    <w:p>
      <w:pPr>
        <w:spacing w:line="360" w:lineRule="auto" w:after="0" w:before="0"/>
        <w:jc w:val="both"/>
      </w:pPr>
      <w:r>
        <w:rPr>
          <w:rFonts w:ascii="Arial" w:hAnsi="Arial" w:cs="Arial"/>
          <w:b w:val="0"/>
          <w:i w:val="0"/>
          <w:sz w:val="26"/>
          <w:u w:val="single"/>
        </w:rPr>
        <w:t>_</w:t>
      </w:r>
      <w:r>
        <w:rPr>
          <w:rFonts w:ascii="Arial" w:hAnsi="Arial" w:cs="Arial"/>
          <w:b w:val="0"/>
          <w:i w:val="0"/>
          <w:sz w:val="26"/>
        </w:rPr>
        <w:t>_</w:t>
      </w:r>
    </w:p>
    <w:p>
      <w:pPr>
        <w:spacing w:line="360" w:lineRule="auto" w:after="0" w:before="0"/>
        <w:jc w:val="both"/>
      </w:pPr>
      <w:commentRangeStart w:id="2"/>
      <w:r>
        <w:rPr>
          <w:rFonts w:ascii="Arial" w:hAnsi="Arial" w:cs="Arial"/>
          <w:b w:val="0"/>
          <w:i/>
          <w:sz w:val="26"/>
        </w:rPr>
        <w:t>Dispositivos relevantes citados:</w:t>
      </w:r>
      <w:r>
        <w:rPr>
          <w:rFonts w:ascii="Arial" w:hAnsi="Arial" w:cs="Arial"/>
          <w:b w:val="0"/>
          <w:i w:val="0"/>
          <w:sz w:val="26"/>
        </w:rPr>
        <w:t xml:space="preserve"> CPC, arts. 370, 489, § 1º, IV, 1.022 e 1.025.</w:t>
      </w:r>
      <w:commentRangeEnd w:id="2"/>
      <w:r>
        <w:rPr>
          <w:rStyle w:val="CommentReference"/>
        </w:rPr>
        <w:commentReference w:id="2"/>
      </w:r>
    </w:p>
    <w:p>
      <w:pPr>
        <w:spacing w:line="360" w:lineRule="auto" w:after="0" w:before="0"/>
        <w:jc w:val="both"/>
      </w:pPr>
      <w:commentRangeStart w:id="3"/>
      <w:r>
        <w:rPr>
          <w:rFonts w:ascii="Arial" w:hAnsi="Arial" w:cs="Arial"/>
          <w:b w:val="0"/>
          <w:i/>
          <w:sz w:val="26"/>
        </w:rPr>
        <w:t>Jurisprudência relevante citada:</w:t>
      </w:r>
      <w:r>
        <w:rPr>
          <w:rFonts w:ascii="Arial" w:hAnsi="Arial" w:cs="Arial"/>
          <w:b w:val="0"/>
          <w:i w:val="0"/>
          <w:sz w:val="26"/>
        </w:rPr>
        <w:t xml:space="preserve"> TJDFT, Processo nº 0714789-51.2024.8.07.0001, Rel. Fernando Habibe, 4ª Turma Cível, j. 25/03/2026; TJDFT, Processo nº 0719760-82.2024.8.07.0000, Rel. Des. Jansen Fialho de Almeida, 4ª Turma Cível, j. 17/07/2025.</w:t>
      </w:r>
      <w:commentRangeEnd w:id="3"/>
      <w:r>
        <w:rPr>
          <w:rStyle w:val="CommentReference"/>
        </w:rPr>
        <w:commentReference w:id="3"/>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r>
        <w:rPr>
          <w:rFonts w:ascii="Arial" w:hAnsi="Arial" w:cs="Arial"/>
          <w:b/>
          <w:i w:val="0"/>
          <w:color w:val="EE0000"/>
          <w:sz w:val="28"/>
          <w:highlight w:val="yellow"/>
        </w:rPr>
        <w:t>RESUMO DOS EMBARGOS EM SENTIDO CONTRÁRIO AO VOTO</w:t>
      </w:r>
    </w:p>
    <w:p>
      <w:pPr>
        <w:spacing w:line="360" w:lineRule="auto" w:after="0" w:before="0"/>
        <w:jc w:val="both"/>
      </w:pPr>
      <w:r>
        <w:rPr>
          <w:rFonts w:ascii="Arial" w:hAnsi="Arial" w:cs="Arial"/>
          <w:b/>
          <w:i w:val="0"/>
          <w:color w:val="EE0000"/>
          <w:sz w:val="28"/>
        </w:rPr>
        <w:t>I. RAZÕES RECURSAIS</w:t>
      </w:r>
    </w:p>
    <w:p>
      <w:pPr>
        <w:spacing w:line="360" w:lineRule="auto" w:after="0" w:before="0"/>
        <w:jc w:val="both"/>
      </w:pPr>
      <w:r>
        <w:rPr>
          <w:rFonts w:ascii="Arial" w:hAnsi="Arial" w:cs="Arial"/>
          <w:b/>
          <w:i w:val="0"/>
          <w:color w:val="EE0000"/>
          <w:sz w:val="28"/>
        </w:rPr>
        <w:t>Omissão quanto às preliminares de cerceamento de defesa, violação ao contraditório e paridade de armas</w:t>
      </w:r>
    </w:p>
    <w:p>
      <w:pPr>
        <w:spacing w:line="360" w:lineRule="auto" w:after="0" w:before="0"/>
        <w:ind w:hanging="357" w:left="720"/>
        <w:jc w:val="both"/>
      </w:pPr>
      <w:r>
        <w:rPr>
          <w:rFonts w:ascii="Arial" w:hAnsi="Arial" w:cs="Arial"/>
          <w:b w:val="0"/>
          <w:i w:val="0"/>
          <w:color w:val="EE0000"/>
          <w:sz w:val="28"/>
        </w:rPr>
        <w:t xml:space="preserve">1. O embargante sustenta que o acórdão se limitou a transcrever o parecer ministerial, sem explicar por que a rejeição da prova testemunhal, com a oitiva do empregador da genitora, e dos documentos contábeis não prejudicou sua defesa, e que a fundamentação </w:t>
      </w:r>
      <w:r>
        <w:rPr>
          <w:rFonts w:ascii="Arial" w:hAnsi="Arial" w:cs="Arial"/>
          <w:b w:val="0"/>
          <w:i/>
          <w:color w:val="EE0000"/>
          <w:sz w:val="28"/>
        </w:rPr>
        <w:t>per relationem</w:t>
      </w:r>
      <w:r>
        <w:rPr>
          <w:rFonts w:ascii="Arial" w:hAnsi="Arial" w:cs="Arial"/>
          <w:b w:val="0"/>
          <w:i w:val="0"/>
          <w:color w:val="EE0000"/>
          <w:sz w:val="28"/>
        </w:rPr>
        <w:t xml:space="preserve"> não dispensa demonstrar por que os fundamentos adotados se aplicam ao caso.</w:t>
      </w:r>
    </w:p>
    <w:p>
      <w:pPr>
        <w:spacing w:line="360" w:lineRule="auto" w:after="0" w:before="0"/>
        <w:jc w:val="both"/>
      </w:pPr>
      <w:r>
        <w:rPr>
          <w:rFonts w:ascii="Arial" w:hAnsi="Arial" w:cs="Arial"/>
          <w:b/>
          <w:i w:val="0"/>
          <w:color w:val="EE0000"/>
          <w:sz w:val="28"/>
        </w:rPr>
        <w:t>Omissão quanto à gratuidade de justiça do menor</w:t>
      </w:r>
    </w:p>
    <w:p>
      <w:pPr>
        <w:spacing w:line="360" w:lineRule="auto" w:after="0" w:before="0"/>
        <w:ind w:hanging="357" w:left="720"/>
        <w:jc w:val="both"/>
      </w:pPr>
      <w:r>
        <w:rPr>
          <w:rFonts w:ascii="Arial" w:hAnsi="Arial" w:cs="Arial"/>
          <w:b w:val="0"/>
          <w:i w:val="0"/>
          <w:color w:val="EE0000"/>
          <w:sz w:val="28"/>
        </w:rPr>
        <w:t>2. Alega que o acórdão reproduziu a sentença e o parecer sem examinar as inconsistências documentais apontadas na apelação e sem explicar por que elas não afastam a hipossuficiência, diante da capacidade econômica da genitora, incompatível com a renda declarada.</w:t>
      </w:r>
    </w:p>
    <w:p>
      <w:pPr>
        <w:spacing w:line="360" w:lineRule="auto" w:after="0" w:before="0"/>
        <w:jc w:val="both"/>
      </w:pPr>
      <w:r>
        <w:rPr>
          <w:rFonts w:ascii="Arial" w:hAnsi="Arial" w:cs="Arial"/>
          <w:b/>
          <w:i w:val="0"/>
          <w:color w:val="EE0000"/>
          <w:sz w:val="28"/>
        </w:rPr>
        <w:t>Omissão quanto à litigância de má-fé, ao binômio necessidade-possibilidade e à redução dos alimentos</w:t>
      </w:r>
    </w:p>
    <w:p>
      <w:pPr>
        <w:spacing w:line="360" w:lineRule="auto" w:after="0" w:before="0"/>
        <w:ind w:hanging="357" w:left="720"/>
        <w:jc w:val="both"/>
      </w:pPr>
      <w:r>
        <w:rPr>
          <w:rFonts w:ascii="Arial" w:hAnsi="Arial" w:cs="Arial"/>
          <w:b w:val="0"/>
          <w:i w:val="0"/>
          <w:color w:val="EE0000"/>
          <w:sz w:val="28"/>
        </w:rPr>
        <w:t>3. Afirma que o acórdão não enfrentou os argumentos de que o valor pago já custeia o tratamento do menor, de que a renda considerada incluiu horas extras eventuais e variáveis, e de que se deve considerar a capacidade contributiva da genitora, à luz da corresponsabilidade parental, de julgados recentes do STJ e do Enunciado 573 do CJF.</w:t>
      </w:r>
    </w:p>
    <w:p>
      <w:pPr>
        <w:spacing w:line="360" w:lineRule="auto" w:after="0" w:before="0"/>
        <w:jc w:val="both"/>
      </w:pPr>
      <w:r>
        <w:rPr>
          <w:rFonts w:ascii="Arial" w:hAnsi="Arial" w:cs="Arial"/>
          <w:b/>
          <w:i w:val="0"/>
          <w:color w:val="EE0000"/>
          <w:sz w:val="28"/>
        </w:rPr>
        <w:t>Prequestionamento</w:t>
      </w:r>
    </w:p>
    <w:p>
      <w:pPr>
        <w:spacing w:line="360" w:lineRule="auto" w:after="0" w:before="0"/>
        <w:ind w:hanging="357" w:left="720"/>
        <w:jc w:val="both"/>
      </w:pPr>
      <w:r>
        <w:rPr>
          <w:rFonts w:ascii="Arial" w:hAnsi="Arial" w:cs="Arial"/>
          <w:b w:val="0"/>
          <w:i w:val="0"/>
          <w:color w:val="EE0000"/>
          <w:sz w:val="28"/>
        </w:rPr>
        <w:t>4. Requer manifestação expressa sobre os dispositivos constitucionais e legais indicados nos embargos, para fins de prequestionamento.</w:t>
      </w:r>
    </w:p>
    <w:p>
      <w:pPr>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o provimento dos embargos de declaração para que seja sanada a omissão apontada, com manifestação expressa sobre as matérias para fins de prequestionamento.</w:t>
      </w:r>
    </w:p>
    <w:p>
      <w:pPr>
        <w:pageBreakBefore/>
        <w:spacing w:line="360" w:lineRule="auto" w:after="0" w:before="0"/>
        <w:jc w:val="center"/>
      </w:pPr>
      <w:r>
        <w:rPr>
          <w:rFonts w:ascii="Arial" w:hAnsi="Arial" w:cs="Arial"/>
          <w:b/>
          <w:i w:val="0"/>
          <w:sz w:val="28"/>
        </w:rPr>
        <w:t>RELATÓRIO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apelante, G. R. D. S., opõe embargos de declaração contra o v. acórdão que rejeitou as preliminares e negou provimento ao apelo e ostenta a seguinte ementa:</w:t>
      </w:r>
    </w:p>
    <w:p>
      <w:pPr>
        <w:spacing w:line="360" w:lineRule="auto" w:after="0"/>
        <w:ind w:firstLine="2268"/>
      </w:pPr>
      <w:r>
        <w:rPr>
          <w:sz w:val="28"/>
        </w:rPr>
      </w:r>
    </w:p>
    <w:p>
      <w:pPr>
        <w:spacing w:line="360" w:lineRule="auto" w:after="0" w:before="0"/>
        <w:ind w:left="2268"/>
        <w:jc w:val="both"/>
      </w:pPr>
      <w:commentRangeStart w:id="4"/>
      <w:r>
        <w:rPr>
          <w:rFonts w:ascii="Arial" w:hAnsi="Arial" w:cs="Arial"/>
          <w:b w:val="0"/>
          <w:i/>
          <w:sz w:val="26"/>
        </w:rPr>
        <w:t>“APELAÇÃO CÍVEL. DIREITO DE FAMÍLIA. REVISÃO DE ALIMENTOS. PRELIMINARES REJEITADAS DE CERCEAMENTO DE DEFESA E VIOLAÇÃO AO CONTRADITÓRIO E À PARIDADE DE ARMAS. GRATUIDADE DE JUSTIÇA DE MENOR MANTIDA.. REDUÇÃO DOS ALIMENTOS NÃO CONFIGURADA. BASE DE CÁLCULO MANTIDA. LITIGÂNCIA DE MÁ-FÉ NÃO CARACTERIZADA. SENTENÇA MANTIDA. RECURSO NÃO PROVIDO.</w:t>
      </w:r>
      <w:commentRangeEnd w:id="4"/>
      <w:r>
        <w:rPr>
          <w:rStyle w:val="CommentReference"/>
        </w:rPr>
        <w:commentReference w:id="4"/>
      </w:r>
    </w:p>
    <w:p>
      <w:pPr>
        <w:spacing w:line="360" w:lineRule="auto" w:after="0" w:before="0"/>
        <w:ind w:left="2268"/>
        <w:jc w:val="both"/>
      </w:pPr>
      <w:r>
        <w:rPr>
          <w:rFonts w:ascii="Arial" w:hAnsi="Arial" w:cs="Arial"/>
          <w:b w:val="0"/>
          <w:i/>
          <w:sz w:val="26"/>
        </w:rPr>
        <w:t>I. Caso em exame</w:t>
      </w:r>
    </w:p>
    <w:p>
      <w:pPr>
        <w:spacing w:line="360" w:lineRule="auto" w:after="0" w:before="0"/>
        <w:ind w:left="2268"/>
        <w:jc w:val="both"/>
      </w:pPr>
      <w:r>
        <w:rPr>
          <w:rFonts w:ascii="Arial" w:hAnsi="Arial" w:cs="Arial"/>
          <w:b w:val="0"/>
          <w:i/>
          <w:sz w:val="26"/>
        </w:rPr>
        <w:t>1. Ação de revisão de alimentos proposta por menor (7 anos de idade), representado pela genitora, em face do genitor, na qual se pleiteia a majoração da pensão anteriormente fixada em 01 (um) salário-mínimo, acrescido de 13º salário e 1/3 de férias, além do rateio igualitário das despesas de saúde e educação, para o patamar de 40% dos rendimentos do alimentante.</w:t>
      </w:r>
    </w:p>
    <w:p>
      <w:pPr>
        <w:spacing w:line="360" w:lineRule="auto" w:after="0" w:before="0"/>
        <w:ind w:left="2268"/>
        <w:jc w:val="both"/>
      </w:pPr>
      <w:r>
        <w:rPr>
          <w:rFonts w:ascii="Arial" w:hAnsi="Arial" w:cs="Arial"/>
          <w:b w:val="0"/>
          <w:i/>
          <w:sz w:val="26"/>
        </w:rPr>
        <w:t>2. Sentença julgou procedente o pedido para majorar os alimentos para 22% dos rendimentos brutos do alimentante, abatidos descontos compulsórios, com incidência sobre 13º salário, férias e verbas remuneratórias.</w:t>
      </w:r>
    </w:p>
    <w:p>
      <w:pPr>
        <w:spacing w:line="360" w:lineRule="auto" w:after="0" w:before="0"/>
        <w:ind w:left="2268"/>
        <w:jc w:val="both"/>
      </w:pPr>
      <w:r>
        <w:rPr>
          <w:rFonts w:ascii="Arial" w:hAnsi="Arial" w:cs="Arial"/>
          <w:b w:val="0"/>
          <w:i/>
          <w:sz w:val="26"/>
        </w:rPr>
        <w:t>3. O réu apelou, arguindo preliminares de cerceamento de defesa e violação ao contraditório e à paridade de armas, impugnando a gratuidade de justiça, pleiteando reconhecimento de má-fé e redução dos alimentos para 15% da renda líquida, além da exclusão de verbas variáveis da base de cálculo.</w:t>
      </w:r>
    </w:p>
    <w:p>
      <w:pPr>
        <w:spacing w:line="360" w:lineRule="auto" w:after="0" w:before="0"/>
        <w:ind w:left="2268"/>
        <w:jc w:val="both"/>
      </w:pPr>
      <w:r>
        <w:rPr>
          <w:rFonts w:ascii="Arial" w:hAnsi="Arial" w:cs="Arial"/>
          <w:b w:val="0"/>
          <w:i/>
          <w:sz w:val="26"/>
        </w:rPr>
        <w:t>II. Questão em discussão</w:t>
      </w:r>
    </w:p>
    <w:p>
      <w:pPr>
        <w:spacing w:line="360" w:lineRule="auto" w:after="0" w:before="0"/>
        <w:ind w:left="2268"/>
        <w:jc w:val="both"/>
      </w:pPr>
      <w:r>
        <w:rPr>
          <w:rFonts w:ascii="Arial" w:hAnsi="Arial" w:cs="Arial"/>
          <w:b w:val="0"/>
          <w:i/>
          <w:sz w:val="26"/>
        </w:rPr>
        <w:t>4. Há quatro questões em discussão: (i) saber se subsiste a gratuidade de justiça deferida ao menor; (ii) saber se há litigância de má-fé; (iv) saber se os alimentos devem ser reduzidos; (v) saber se é correta a base de cálculo adotada, que inclui horas extras.</w:t>
      </w:r>
    </w:p>
    <w:p>
      <w:pPr>
        <w:spacing w:line="360" w:lineRule="auto" w:after="0" w:before="0"/>
        <w:ind w:left="2268"/>
        <w:jc w:val="both"/>
      </w:pPr>
      <w:r>
        <w:rPr>
          <w:rFonts w:ascii="Arial" w:hAnsi="Arial" w:cs="Arial"/>
          <w:b w:val="0"/>
          <w:i/>
          <w:sz w:val="26"/>
        </w:rPr>
        <w:t>III. Razões de decidir</w:t>
      </w:r>
    </w:p>
    <w:p>
      <w:pPr>
        <w:spacing w:line="360" w:lineRule="auto" w:after="0" w:before="0"/>
        <w:ind w:left="2268"/>
        <w:jc w:val="both"/>
      </w:pPr>
      <w:r>
        <w:rPr>
          <w:rFonts w:ascii="Arial" w:hAnsi="Arial" w:cs="Arial"/>
          <w:b w:val="0"/>
          <w:i/>
          <w:sz w:val="26"/>
        </w:rPr>
        <w:t>5. A gratuidade de justiça concedida ao menor, em regra, considera sua própria condição econômica, não a do representante legal. Inexistindo elementos suficientes para afastar a presunção de hipossuficiência, mostra-se adequada a manutenção do benefício.</w:t>
      </w:r>
    </w:p>
    <w:p>
      <w:pPr>
        <w:spacing w:line="360" w:lineRule="auto" w:after="0" w:before="0"/>
        <w:ind w:left="2268"/>
        <w:jc w:val="both"/>
      </w:pPr>
      <w:r>
        <w:rPr>
          <w:rFonts w:ascii="Arial" w:hAnsi="Arial" w:cs="Arial"/>
          <w:b w:val="0"/>
          <w:i/>
          <w:sz w:val="26"/>
        </w:rPr>
        <w:t>6. Houve aumento das necessidades do menor, inclusive em razão de condições de saúde e evolução etária, ao passo que a capacidade contributiva do alimentante permanece compatível com o encargo fixado, mostrando-se proporcional e adequado o percentual de 22% dos rendimentos brutos.</w:t>
      </w:r>
    </w:p>
    <w:p>
      <w:pPr>
        <w:spacing w:line="360" w:lineRule="auto" w:after="0" w:before="0"/>
        <w:ind w:left="2268"/>
        <w:jc w:val="both"/>
      </w:pPr>
      <w:r>
        <w:rPr>
          <w:rFonts w:ascii="Arial" w:hAnsi="Arial" w:cs="Arial"/>
          <w:b w:val="0"/>
          <w:i/>
          <w:sz w:val="26"/>
        </w:rPr>
        <w:t>7. As verbas de natureza remuneratória, como horas extras, integram a base de cálculo dos alimentos.</w:t>
      </w:r>
    </w:p>
    <w:p>
      <w:pPr>
        <w:spacing w:line="360" w:lineRule="auto" w:after="0" w:before="0"/>
        <w:ind w:left="2268"/>
        <w:jc w:val="both"/>
      </w:pPr>
      <w:r>
        <w:rPr>
          <w:rFonts w:ascii="Arial" w:hAnsi="Arial" w:cs="Arial"/>
          <w:b w:val="0"/>
          <w:i/>
          <w:sz w:val="26"/>
        </w:rPr>
        <w:t>8. A caracterização de má-fé processual exige demonstração consistente de dolo ou comportamento temerário, o que não se evidencia de forma clara nos autos.</w:t>
      </w:r>
    </w:p>
    <w:p>
      <w:pPr>
        <w:spacing w:line="360" w:lineRule="auto" w:after="0" w:before="0"/>
        <w:ind w:left="2268"/>
        <w:jc w:val="both"/>
      </w:pPr>
      <w:r>
        <w:rPr>
          <w:rFonts w:ascii="Arial" w:hAnsi="Arial" w:cs="Arial"/>
          <w:b w:val="0"/>
          <w:i/>
          <w:sz w:val="26"/>
        </w:rPr>
        <w:t>IV. Dispositivo</w:t>
      </w:r>
    </w:p>
    <w:p>
      <w:pPr>
        <w:spacing w:line="360" w:lineRule="auto" w:after="0" w:before="0"/>
        <w:ind w:left="2268"/>
        <w:jc w:val="both"/>
      </w:pPr>
      <w:r>
        <w:rPr>
          <w:rFonts w:ascii="Arial" w:hAnsi="Arial" w:cs="Arial"/>
          <w:b w:val="0"/>
          <w:i/>
          <w:sz w:val="26"/>
        </w:rPr>
        <w:t>9. Rejeitaram-se as preliminares e, no mérito, negou-se provimento ao apelo do réu. (...).” (ID 87997264)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embargante alega a existência de omissão no acórdão.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Sem contrarrazões (ID 89677067).</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o relatório.</w:t>
      </w:r>
    </w:p>
    <w:p>
      <w:pPr>
        <w:spacing w:line="360" w:lineRule="auto" w:after="0"/>
        <w:ind w:firstLine="2268"/>
      </w:pPr>
      <w:r>
        <w:rPr>
          <w:sz w:val="28"/>
        </w:rPr>
      </w:r>
    </w:p>
    <w:p>
      <w:pPr>
        <w:pageBreakBefore/>
        <w:spacing w:line="360" w:lineRule="auto" w:after="0" w:before="0"/>
        <w:jc w:val="center"/>
      </w:pPr>
      <w:r>
        <w:rPr>
          <w:rFonts w:ascii="Arial" w:hAnsi="Arial" w:cs="Arial"/>
          <w:b/>
          <w:i w:val="0"/>
          <w:sz w:val="28"/>
        </w:rPr>
        <w:t>VOTO</w:t>
      </w:r>
    </w:p>
    <w:p>
      <w:pPr>
        <w:spacing w:line="360" w:lineRule="auto" w:after="0"/>
        <w:ind w:firstLine="2268"/>
      </w:pPr>
      <w:r>
        <w:rPr>
          <w:sz w:val="28"/>
        </w:rPr>
      </w:r>
    </w:p>
    <w:p>
      <w:pPr>
        <w:spacing w:line="360" w:lineRule="auto" w:after="0" w:before="0"/>
        <w:jc w:val="both"/>
      </w:pPr>
      <w:r>
        <w:rPr>
          <w:rFonts w:ascii="Arial" w:hAnsi="Arial" w:cs="Arial"/>
          <w:b/>
          <w:i w:val="0"/>
          <w:sz w:val="28"/>
        </w:rPr>
        <w:t>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sz w:val="28"/>
        </w:rPr>
        <w:t>EMBARGOS DE DECLARAÇÃO OPOSTOS PELO APELANTE, G. R. D. 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Presentes os pressupostos de admissibilidade, conheço dos embargos de declaração.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DA INEXISTÊNCIA DE OMISSÃO QUANTO ÀS PRELIMINARES DE CERCEAMENTO DE DEFESA, VIOLAÇÃO AO CONTRADITÓRIO E PARIDADE DE ARMAS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que: </w:t>
      </w:r>
      <w:r>
        <w:rPr>
          <w:rFonts w:ascii="Arial" w:hAnsi="Arial" w:cs="Arial"/>
          <w:b/>
          <w:i w:val="0"/>
          <w:sz w:val="28"/>
        </w:rPr>
        <w:t>1)</w:t>
      </w:r>
      <w:r>
        <w:rPr>
          <w:rFonts w:ascii="Arial" w:hAnsi="Arial" w:cs="Arial"/>
          <w:b w:val="0"/>
          <w:i w:val="0"/>
          <w:sz w:val="28"/>
        </w:rPr>
        <w:t xml:space="preserve"> o acórdão rejeitou as preliminares, mas se limitou a transcrever trecho da manifestação do Ministério Público (ID 81465634), sem fundamentação suficiente; </w:t>
      </w:r>
      <w:r>
        <w:rPr>
          <w:rFonts w:ascii="Arial" w:hAnsi="Arial" w:cs="Arial"/>
          <w:b/>
          <w:i w:val="0"/>
          <w:sz w:val="28"/>
        </w:rPr>
        <w:t>2)</w:t>
      </w:r>
      <w:r>
        <w:rPr>
          <w:rFonts w:ascii="Arial" w:hAnsi="Arial" w:cs="Arial"/>
          <w:b w:val="0"/>
          <w:i w:val="0"/>
          <w:sz w:val="28"/>
        </w:rPr>
        <w:t xml:space="preserve"> a fundamentação </w:t>
      </w:r>
      <w:r>
        <w:rPr>
          <w:rFonts w:ascii="Arial" w:hAnsi="Arial" w:cs="Arial"/>
          <w:b w:val="0"/>
          <w:i/>
          <w:sz w:val="28"/>
        </w:rPr>
        <w:t>per relationem</w:t>
      </w:r>
      <w:r>
        <w:rPr>
          <w:rFonts w:ascii="Arial" w:hAnsi="Arial" w:cs="Arial"/>
          <w:b w:val="0"/>
          <w:i w:val="0"/>
          <w:sz w:val="28"/>
        </w:rPr>
        <w:t xml:space="preserve"> não dispensa o julgador de demonstrar por que os fundamentos adotados se aplicam ao caso; </w:t>
      </w:r>
      <w:r>
        <w:rPr>
          <w:rFonts w:ascii="Arial" w:hAnsi="Arial" w:cs="Arial"/>
          <w:b/>
          <w:i w:val="0"/>
          <w:sz w:val="28"/>
        </w:rPr>
        <w:t>3)</w:t>
      </w:r>
      <w:r>
        <w:rPr>
          <w:rFonts w:ascii="Arial" w:hAnsi="Arial" w:cs="Arial"/>
          <w:b w:val="0"/>
          <w:i w:val="0"/>
          <w:sz w:val="28"/>
        </w:rPr>
        <w:t xml:space="preserve"> o apelante apresentou argumentos específicos, não enfrentados, sobre o prejuízo causado à sua defesa pelo indeferimento da prova testemunhal, com a oitiva do empregador da genitora do menor, e da juntada de documentos contábeis (ID 88639019).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o provimento dos embargos de declaração para que seja sanada a omissão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Sobre o tema, o parecer da D. Procuradoria de Justiça, que adoto como razões de decidir, com a devida vênia, consignou que (ID 81465634):</w:t>
      </w:r>
    </w:p>
    <w:p>
      <w:pPr>
        <w:spacing w:line="360" w:lineRule="auto" w:after="0" w:before="0"/>
        <w:ind w:left="3402"/>
        <w:jc w:val="both"/>
      </w:pPr>
      <w:r>
        <w:rPr>
          <w:rFonts w:ascii="Arial" w:hAnsi="Arial" w:cs="Arial"/>
          <w:b w:val="0"/>
          <w:i/>
          <w:sz w:val="26"/>
        </w:rPr>
        <w:t>‘(...) Não merece prosperar a alegação do apelante de cerceamento de defesa. Na solução do caso concreto, pela aplicação do direito objetivo, cumpre ao juiz, nos termos do art. 371 do CPC, mediante livre apreciação racional dos elementos de prova coligidos aos autos confrontá-los com as alegações formuladas pelos litigantes, competindo-lhe assim, deferir as provas úteis e necessárias à formação de seu convencimento, indeferindo as que considerar inúteis ou desnecessárias à produção do mérito da causa, de acordo com a dicção do art. 370 do CPC (...) Em sede de especificação de provas, o autor requereu a produção de prova testemunhal, para ouvir a empregadora da genitora do menor e de outras testemunhas, além da juntada de documentos. As provas testemunhais e documentais pretendidas visava comprovar a situação econômica da genitora, fato já devidamente esclarecido pela juntada do contrato de trabalho (ID: 81255218). (...) Os documentos questionados foram produzidos em data posterior ao ajuizamento da ação (25/03/2026), enquadrando-se no conceito de documentos novos (art. 435 do CPC). Ademais, o apelante teve ciência de tais documentos ao longo da marcha processual, não se vislumbrando prejuízo concreto que justifique a anulação do julgado. (...)’</w:t>
      </w:r>
    </w:p>
    <w:p>
      <w:pPr>
        <w:spacing w:line="360" w:lineRule="auto" w:after="0" w:before="0"/>
        <w:ind w:firstLine="1134" w:left="2268"/>
        <w:jc w:val="both"/>
      </w:pPr>
      <w:r>
        <w:rPr>
          <w:rFonts w:ascii="Arial" w:hAnsi="Arial" w:cs="Arial"/>
          <w:b w:val="0"/>
          <w:i/>
          <w:sz w:val="26"/>
        </w:rPr>
        <w:t>Portanto, não demonstrado prejuízo concreto nem ilegalidade na condução da instrução, afastam-se as preliminares suscitadas.” (ID 87997264)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No caso, o acórdão afastou o cerceamento de defesa por entender que as provas pretendidas visavam comprovar a situação econômica da genitora, já esclarecida por prova documental, e que a juntada de documentos novos não causou prejuízo concreto ao apelante (ID 81255218 e 87997264).</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sz w:val="28"/>
        </w:rPr>
        <w:t xml:space="preserve">No mais, a fundamentação </w:t>
      </w:r>
      <w:r>
        <w:rPr>
          <w:rFonts w:ascii="Arial" w:hAnsi="Arial" w:cs="Arial"/>
          <w:b w:val="0"/>
          <w:i/>
          <w:sz w:val="28"/>
        </w:rPr>
        <w:t>per relationem</w:t>
      </w:r>
      <w:r>
        <w:rPr>
          <w:rFonts w:ascii="Arial" w:hAnsi="Arial" w:cs="Arial"/>
          <w:b w:val="0"/>
          <w:i w:val="0"/>
          <w:sz w:val="28"/>
        </w:rPr>
        <w:t>, pela qual o acórdão adota como razões de decidir a sentença e o parecer do Ministério Público, é válida e não configura omissão.</w:t>
      </w:r>
      <w:commentRangeEnd w:id="5"/>
      <w:r>
        <w:rPr>
          <w:rStyle w:val="CommentReference"/>
        </w:rPr>
        <w:commentReference w:id="5"/>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Nesse sentido:</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“Embargos declaratórios. Ausência de vícios - CPC 1.022 - no acórdão. </w:t>
      </w:r>
      <w:r>
        <w:rPr>
          <w:rFonts w:ascii="Arial" w:hAnsi="Arial" w:cs="Arial"/>
          <w:b w:val="0"/>
          <w:i/>
          <w:sz w:val="26"/>
          <w:u w:val="single"/>
        </w:rPr>
        <w:t>Validade da fundamentação per relationem.</w:t>
      </w:r>
      <w:r>
        <w:rPr>
          <w:rFonts w:ascii="Arial" w:hAnsi="Arial" w:cs="Arial"/>
          <w:b w:val="0"/>
          <w:i/>
          <w:sz w:val="26"/>
        </w:rPr>
        <w:t>” (Processo 0714789-51.2024.8.07.0001, Relator(a): FERNANDO HABIBE, 4ª TURMA CÍVEL, data de julgamento: 25/03/2026.) – Grifei</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Dessa forma, conforme mencionado no v. acórdão embargado, a matéria relativa às preliminares de cerceamento de defesa, violação ao contraditório e paridade de armas foi suficientemente abordada, não havendo omissão a ser sanada, mas apenas mero inconformismo meritório do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Na verdade, ao alegar omissão, o embargante pretende o reexame do apelo,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Nego provimento aos embargos de declaração, nesse ponto.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DA INEXISTÊNCIA DE OMISSÃO QUANTO À MANUTENÇÃO DA GRATUIDADE DE JUSTIÇA DO MENOR</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que: </w:t>
      </w:r>
      <w:r>
        <w:rPr>
          <w:rFonts w:ascii="Arial" w:hAnsi="Arial" w:cs="Arial"/>
          <w:b/>
          <w:i w:val="0"/>
          <w:sz w:val="28"/>
        </w:rPr>
        <w:t>1)</w:t>
      </w:r>
      <w:r>
        <w:rPr>
          <w:rFonts w:ascii="Arial" w:hAnsi="Arial" w:cs="Arial"/>
          <w:b w:val="0"/>
          <w:i w:val="0"/>
          <w:sz w:val="28"/>
        </w:rPr>
        <w:t xml:space="preserve"> o acórdão reproduziu fundamentos da sentença e da manifestação do Ministério Público sem examinar as inconsistências documentais apontadas na apelação; </w:t>
      </w:r>
      <w:r>
        <w:rPr>
          <w:rFonts w:ascii="Arial" w:hAnsi="Arial" w:cs="Arial"/>
          <w:b/>
          <w:i w:val="0"/>
          <w:sz w:val="28"/>
        </w:rPr>
        <w:t>2)</w:t>
      </w:r>
      <w:r>
        <w:rPr>
          <w:rFonts w:ascii="Arial" w:hAnsi="Arial" w:cs="Arial"/>
          <w:b w:val="0"/>
          <w:i w:val="0"/>
          <w:sz w:val="28"/>
        </w:rPr>
        <w:t xml:space="preserve"> não explicou por que esses elementos seriam insuficientes para afastar a hipossuficiência, diante da capacidade econômica da genitora, incompatível com a renda declarada (ID 88639019).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o provimento dos embargos de declaração para que seja sanada a omissão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Por espelhar meu entendimento acerca da matéria, peço vênia para adotar os fundamentos da r. sentença como razões de decidir (ID 81255239):</w:t>
      </w:r>
    </w:p>
    <w:p>
      <w:pPr>
        <w:spacing w:line="360" w:lineRule="auto" w:after="0" w:before="0"/>
        <w:ind w:left="3402"/>
        <w:jc w:val="both"/>
      </w:pPr>
      <w:r>
        <w:rPr>
          <w:rFonts w:ascii="Arial" w:hAnsi="Arial" w:cs="Arial"/>
          <w:b w:val="0"/>
          <w:i/>
          <w:sz w:val="26"/>
        </w:rPr>
        <w:t>‘(...) Ressalte-se que o benefício é conferido à parte e não ao seu representante legal, e que as provas produzidas pelo requerido não demonstram capacidade financeira suficiente para suportar as custas do processo sem prejuízo do sustento do menor. (...)’</w:t>
      </w:r>
    </w:p>
    <w:p>
      <w:pPr>
        <w:spacing w:line="360" w:lineRule="auto" w:after="0" w:before="0"/>
        <w:ind w:firstLine="1134" w:left="2268"/>
        <w:jc w:val="both"/>
      </w:pPr>
      <w:r>
        <w:rPr>
          <w:rFonts w:ascii="Arial" w:hAnsi="Arial" w:cs="Arial"/>
          <w:b w:val="0"/>
          <w:i/>
          <w:sz w:val="26"/>
        </w:rPr>
        <w:t>Acrescento, ainda, o parecer da d. Procuradoria de Justiça, o qual acolho (ID 81465634):</w:t>
      </w:r>
    </w:p>
    <w:p>
      <w:pPr>
        <w:spacing w:line="360" w:lineRule="auto" w:after="0" w:before="0"/>
        <w:ind w:left="3402"/>
        <w:jc w:val="both"/>
      </w:pPr>
      <w:r>
        <w:rPr>
          <w:rFonts w:ascii="Arial" w:hAnsi="Arial" w:cs="Arial"/>
          <w:b w:val="0"/>
          <w:i/>
          <w:sz w:val="26"/>
        </w:rPr>
        <w:t>‘(...) Nos termos da jurisprudência do Superior Tribunal de Justiça, a condição econômica a ser aferida para fins de deferimento da benesse da gratuidade de justiça deve ser a da própria parte litigante, não de seus representantes ou assistentes, por se tratar de direito personalíssimo. (...)’</w:t>
      </w:r>
    </w:p>
    <w:p>
      <w:pPr>
        <w:spacing w:line="360" w:lineRule="auto" w:after="0" w:before="0"/>
        <w:ind w:firstLine="1134" w:left="2268"/>
        <w:jc w:val="both"/>
      </w:pPr>
      <w:r>
        <w:rPr>
          <w:rFonts w:ascii="Arial" w:hAnsi="Arial" w:cs="Arial"/>
          <w:b w:val="0"/>
          <w:i/>
          <w:sz w:val="26"/>
        </w:rPr>
        <w:t>Nesse contexto, ausentes elementos aptos a afastar a presunção de hipossuficiência da criança, mantém-se o benefício da gratuidade de justiça. (...)” (ID 87997264)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No caso, o acórdão rejeitou a impugnação porque o benefício se aferiu pela condição do próprio menor, e não pela de sua representante legal, e porque as provas do apelante não demonstraram capacidade financeira suficiente (ID 87997264).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Dessa forma, conforme mencionado no v. acórdão embargado, a matéria relativa à manutenção da gratuidade de justiça do menor foi suficientemente abordada, não havendo omissão a ser sanada, mas apenas mero inconformismo meritório do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Na verdade, ao alegar omissão, o embargante pretende o reexame do apelo,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Nego provimento aos embargos de declaração, nesse ponto.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DA INEXISTÊNCIA DE OMISSÃO QUANTO À LITIGÂNCIA DE MÁ-FÉ, AO BINÔMIO NECESSIDADE-POSSIBILIDADE E À REDUÇÃO DOS ALIMENTOS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embargante alega que: </w:t>
      </w:r>
      <w:r>
        <w:rPr>
          <w:rFonts w:ascii="Arial" w:hAnsi="Arial" w:cs="Arial"/>
          <w:b/>
          <w:i w:val="0"/>
          <w:sz w:val="28"/>
        </w:rPr>
        <w:t>1)</w:t>
      </w:r>
      <w:r>
        <w:rPr>
          <w:rFonts w:ascii="Arial" w:hAnsi="Arial" w:cs="Arial"/>
          <w:b w:val="0"/>
          <w:i w:val="0"/>
          <w:sz w:val="28"/>
        </w:rPr>
        <w:t xml:space="preserve"> o acórdão deixou de enfrentar os argumentos sobre a adequação do valor da pensão e, quanto à litigância de má-fé, limitou-se a transcrever peças dos autos; </w:t>
      </w:r>
      <w:r>
        <w:rPr>
          <w:rFonts w:ascii="Arial" w:hAnsi="Arial" w:cs="Arial"/>
          <w:b/>
          <w:i w:val="0"/>
          <w:sz w:val="28"/>
        </w:rPr>
        <w:t>2)</w:t>
      </w:r>
      <w:r>
        <w:rPr>
          <w:rFonts w:ascii="Arial" w:hAnsi="Arial" w:cs="Arial"/>
          <w:b w:val="0"/>
          <w:i w:val="0"/>
          <w:sz w:val="28"/>
        </w:rPr>
        <w:t xml:space="preserve"> o valor pago já é suficiente para o custeio do tratamento do menor, diagnosticado com TDAH e TOD; </w:t>
      </w:r>
      <w:r>
        <w:rPr>
          <w:rFonts w:ascii="Arial" w:hAnsi="Arial" w:cs="Arial"/>
          <w:b/>
          <w:i w:val="0"/>
          <w:sz w:val="28"/>
        </w:rPr>
        <w:t>3)</w:t>
      </w:r>
      <w:r>
        <w:rPr>
          <w:rFonts w:ascii="Arial" w:hAnsi="Arial" w:cs="Arial"/>
          <w:b w:val="0"/>
          <w:i w:val="0"/>
          <w:sz w:val="28"/>
        </w:rPr>
        <w:t xml:space="preserve"> a renda considerada incluiu horas extras, de natureza eventual, variável e condicionada a escalas e plantões; </w:t>
      </w:r>
      <w:r>
        <w:rPr>
          <w:rFonts w:ascii="Arial" w:hAnsi="Arial" w:cs="Arial"/>
          <w:b/>
          <w:i w:val="0"/>
          <w:sz w:val="28"/>
        </w:rPr>
        <w:t>4)</w:t>
      </w:r>
      <w:r>
        <w:rPr>
          <w:rFonts w:ascii="Arial" w:hAnsi="Arial" w:cs="Arial"/>
          <w:b w:val="0"/>
          <w:i w:val="0"/>
          <w:sz w:val="28"/>
        </w:rPr>
        <w:t xml:space="preserve"> não foram examinadas a capacidade contributiva da genitora, à luz da corresponsabilidade parental, os julgados recentes do STJ e o Enunciado 573 do CJF (ID 88639019).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o provimento dos embargos de declaração para que seja sanada a omissão apontada.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alegação de omissão não merece prosperar, pois a matéria foi devidamente analisada no r. acórdão, que assim se manifestou:</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Neste ponto, peço vênia para adotar os fundamentos da r. sentença, que bem examinaram o binômio necessidade-possibilidade (ID 81255239):</w:t>
      </w:r>
    </w:p>
    <w:p>
      <w:pPr>
        <w:spacing w:line="360" w:lineRule="auto" w:after="0" w:before="0"/>
        <w:ind w:left="3402"/>
        <w:jc w:val="both"/>
      </w:pPr>
      <w:r>
        <w:rPr>
          <w:rFonts w:ascii="Arial" w:hAnsi="Arial" w:cs="Arial"/>
          <w:b w:val="0"/>
          <w:i/>
          <w:sz w:val="26"/>
        </w:rPr>
        <w:t>‘(...) No caso concreto, restou comprovado o incremento das necessidades do alimentando, tanto pelo avanço da idade escolar quanto pelo diagnóstico de TDAH e TOD (ID 237242449), que demanda tratamento contínuo, consultas médicas e uso regular de medicamentos. (...) De outro lado, verifica-se que o requerido possui vínculo formal como policial militar, com rendimentos médios brutos no patamar de R$ 13.450,30 (ID 247286466), o que demonstra capacidade contributiva compatível com a majoração requerida. O fato de possuir outro filho menor (ID 234080747) é considerado, mas não afasta a necessidade de garantir a manutenção do padrão de vida do autor. Dessa feita, considerando, ainda, o dever recíproco dos genitores, entende-se que o percentual de 22% dos rendimentos brutos do alimentante é suficiente para arcar com as despesas essenciais do menor, especialmente pelo fato de o requerido ter outro filho e, ainda, ter os custos de deslocamento para conviver com o autor. (...)’</w:t>
      </w:r>
    </w:p>
    <w:p>
      <w:pPr>
        <w:spacing w:line="360" w:lineRule="auto" w:after="0" w:before="0"/>
        <w:ind w:firstLine="1134" w:left="2268"/>
        <w:jc w:val="both"/>
      </w:pPr>
      <w:r>
        <w:rPr>
          <w:rFonts w:ascii="Arial" w:hAnsi="Arial" w:cs="Arial"/>
          <w:b w:val="0"/>
          <w:i/>
          <w:sz w:val="26"/>
        </w:rPr>
        <w:t>Nesse contexto, comprovados o aumento das necessidades do alimentando e a capacidade contributiva do alimentante, mantém-se o percentual fixado na r. sentença de 22% dos rendimentos brutos do apelante, abatidos apenas os descontos compulsórios (IR e INSS) e incidente, inclusive sobre 13º salário e férias. (...)</w:t>
      </w:r>
    </w:p>
    <w:p>
      <w:pPr>
        <w:spacing w:line="360" w:lineRule="auto" w:after="0" w:before="0"/>
        <w:ind w:firstLine="1134" w:left="2268"/>
        <w:jc w:val="both"/>
      </w:pPr>
      <w:r>
        <w:rPr>
          <w:rFonts w:ascii="Arial" w:hAnsi="Arial" w:cs="Arial"/>
          <w:b w:val="0"/>
          <w:i/>
          <w:sz w:val="26"/>
        </w:rPr>
        <w:t>Adoto, no ponto, os fundamentos da r. sentença (ID 81255239), que bem examinou a controvérsia:</w:t>
      </w:r>
    </w:p>
    <w:p>
      <w:pPr>
        <w:spacing w:line="360" w:lineRule="auto" w:after="0" w:before="0"/>
        <w:ind w:left="3402"/>
        <w:jc w:val="both"/>
      </w:pPr>
      <w:r>
        <w:rPr>
          <w:rFonts w:ascii="Arial" w:hAnsi="Arial" w:cs="Arial"/>
          <w:b w:val="0"/>
          <w:i/>
          <w:sz w:val="26"/>
        </w:rPr>
        <w:t>‘(...) Além disso, as verbas eventuais que ostentam natureza remuneratória, por recompensarem serviço efetivamente prestado e implicarem acréscimo patrimonial, devem integrar a base de cálculo da pensão. (...)’</w:t>
      </w:r>
    </w:p>
    <w:p>
      <w:pPr>
        <w:spacing w:line="360" w:lineRule="auto" w:after="0" w:before="0"/>
        <w:ind w:firstLine="1134" w:left="2268"/>
        <w:jc w:val="both"/>
      </w:pPr>
      <w:r>
        <w:rPr>
          <w:rFonts w:ascii="Arial" w:hAnsi="Arial" w:cs="Arial"/>
          <w:b w:val="0"/>
          <w:i/>
          <w:sz w:val="26"/>
        </w:rPr>
        <w:t>Assim, inexistindo ilegalidade na incidência da pensão sobre verbas de natureza remuneratória, ainda que variáveis, mantém-se a sentença. (...)</w:t>
      </w:r>
    </w:p>
    <w:p>
      <w:pPr>
        <w:spacing w:line="360" w:lineRule="auto" w:after="0" w:before="0"/>
        <w:ind w:firstLine="1134" w:left="2268"/>
        <w:jc w:val="both"/>
      </w:pPr>
      <w:r>
        <w:rPr>
          <w:rFonts w:ascii="Arial" w:hAnsi="Arial" w:cs="Arial"/>
          <w:b w:val="0"/>
          <w:i/>
          <w:sz w:val="26"/>
        </w:rPr>
        <w:t>Assim, diante da ausência de prova de dolo ou conduta temerária, afasta-se a alegação de litigância de má-fé.” (ID 87997264)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No caso, o acórdão examinou o aumento das necessidades do menor, a capacidade contributiva do alimentante, o dever recíproco dos genitores e a inclusão das horas extras na base de cálculo, e afastou a má-fé por ausência de prova de dolo (ID 87997264).</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apelo mencionou “julgados recentes” do STJ e o Enunciado 573 do CJF sem identificar os precedentes (ID 81255263).</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No mais, o julgador não está obrigado a enfrentar individualmente todos os dispositivos legais suscitados pelas partes quando decide a controvérsia com fundamentação suficiente.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Nesse sentido:</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 6. O julgador não está obrigado a enfrentar individualmente todos os dispositivos legais suscitados pelas partes, visto que decidiu a controvérsia com </w:t>
      </w:r>
      <w:r>
        <w:rPr>
          <w:rFonts w:ascii="Arial" w:hAnsi="Arial" w:cs="Arial"/>
          <w:b w:val="0"/>
          <w:i/>
          <w:sz w:val="26"/>
          <w:u w:val="single"/>
        </w:rPr>
        <w:t>fundamentação suficiente</w:t>
      </w:r>
      <w:r>
        <w:rPr>
          <w:rFonts w:ascii="Arial" w:hAnsi="Arial" w:cs="Arial"/>
          <w:b w:val="0"/>
          <w:i/>
          <w:sz w:val="26"/>
        </w:rPr>
        <w:t>, conforme dispõe o art. 489, § 1º, IV, do CPC. (...)” (Processo 0719760-82.2024.8.07.0000, Relator(a): JANSEN FIALHO DE ALMEIDA, 4ª TURMA CÍVEL, data de julgamento: 17/07/2025.) – Grifei</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Dessa forma, conforme mencionado no v. acórdão embargado, a matéria relativa à litigância de má-fé, ao binômio necessidade-possibilidade e à redução dos alimentos foi suficientemente abordada, não havendo omissão a ser sanada, mas apenas mero inconformismo meritório do embargante com a conclusão adotada pelo Colegiado.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v. acórdão embargado, portanto, cumpriu sua finalidade, na medida em que analisou as teses jurídicas sustentadas e decidiu-as fundamentadamente, emitindo juízo de valor sobre as questões relevantes para o julgamento da matéria devolvida.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Na verdade, ao alegar omissão, o embargante pretende o reexame do apelo, o que é vedado em sede de embargos de declaração.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u w:val="single"/>
        </w:rPr>
        <w:t>Nego provimento aos embargos de declaração, nesse ponto.</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DO PREQUESTIONAMENTO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embargante pede manifestação expressa quanto às matérias e aos dispositivos constitucionais e legais indicados nos embargos, para fins de prequestionamento (ID 88639019).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Sem razão o embargante.</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Caso o acórdão tenha sido omisso, eivado de erro, contradição ou obscuridade, a arguição da matéria em embargos de declaração é suficiente para caracterizar o prequestionamento ficto.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Sobre o tema, dispõe o art. 1.025 do CPC:</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pPr>
        <w:spacing w:line="360" w:lineRule="auto" w:after="0"/>
        <w:ind w:firstLine="2268"/>
      </w:pPr>
      <w:r>
        <w:rPr>
          <w:sz w:val="28"/>
        </w:rPr>
      </w:r>
    </w:p>
    <w:p>
      <w:pPr>
        <w:spacing w:line="360" w:lineRule="auto" w:after="0" w:before="0"/>
        <w:jc w:val="center"/>
      </w:pPr>
      <w:r>
        <w:rPr>
          <w:rFonts w:ascii="Arial" w:hAnsi="Arial" w:cs="Arial"/>
          <w:b/>
          <w:i w:val="0"/>
          <w:sz w:val="28"/>
        </w:rPr>
        <w:t>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Ante o exposto, </w:t>
      </w:r>
      <w:r>
        <w:rPr>
          <w:rFonts w:ascii="Arial" w:hAnsi="Arial" w:cs="Arial"/>
          <w:b/>
          <w:i w:val="0"/>
          <w:sz w:val="28"/>
        </w:rPr>
        <w:t>nego provimento</w:t>
      </w:r>
      <w:r>
        <w:rPr>
          <w:rFonts w:ascii="Arial" w:hAnsi="Arial" w:cs="Arial"/>
          <w:b w:val="0"/>
          <w:i w:val="0"/>
          <w:sz w:val="28"/>
        </w:rPr>
        <w:t xml:space="preserve"> aos embargos de declaração opostos pelo apelante, G. R. D. 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como voto.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B050"/>
          <w:sz w:val="27"/>
        </w:rPr>
        <w:t>DECISÃO RECORRIDA</w:t>
      </w:r>
    </w:p>
    <w:p>
      <w:pPr>
        <w:spacing w:line="360" w:lineRule="auto" w:after="0" w:before="0"/>
        <w:jc w:val="both"/>
      </w:pPr>
      <w:r>
        <w:rPr>
          <w:rFonts w:ascii="Arial" w:hAnsi="Arial" w:cs="Arial"/>
          <w:b w:val="0"/>
          <w:i w:val="0"/>
          <w:color w:val="00B050"/>
          <w:sz w:val="27"/>
        </w:rPr>
        <w:t>REPRESENTANTE LEGAL(S)</w:t>
      </w:r>
    </w:p>
    <w:p>
      <w:pPr>
        <w:spacing w:line="360" w:lineRule="auto" w:after="0" w:before="0"/>
        <w:jc w:val="both"/>
      </w:pPr>
      <w:r>
        <w:rPr>
          <w:rFonts w:ascii="Arial" w:hAnsi="Arial" w:cs="Arial"/>
          <w:b w:val="0"/>
          <w:i w:val="0"/>
          <w:color w:val="00B050"/>
          <w:sz w:val="27"/>
        </w:rPr>
        <w:t>Relator Desembargador SÉRGIO ROCHA Acórdão Nº 2159907 EMENTA</w:t>
      </w:r>
    </w:p>
    <w:p>
      <w:pPr>
        <w:spacing w:line="360" w:lineRule="auto" w:after="0" w:before="0"/>
        <w:jc w:val="both"/>
      </w:pPr>
      <w:r>
        <w:rPr>
          <w:rFonts w:ascii="Arial" w:hAnsi="Arial" w:cs="Arial"/>
          <w:b w:val="0"/>
          <w:i w:val="0"/>
          <w:color w:val="00B050"/>
          <w:sz w:val="27"/>
        </w:rPr>
        <w:t>APELAÇÃO CÍVEL. DIREITO DE FAMÍLIA. REVISÃO DE ALIMENTOS.</w:t>
      </w:r>
    </w:p>
    <w:p>
      <w:pPr>
        <w:spacing w:line="360" w:lineRule="auto" w:after="0" w:before="0"/>
        <w:jc w:val="both"/>
      </w:pPr>
      <w:r>
        <w:rPr>
          <w:rFonts w:ascii="Arial" w:hAnsi="Arial" w:cs="Arial"/>
          <w:b w:val="0"/>
          <w:i w:val="0"/>
          <w:color w:val="00B050"/>
          <w:sz w:val="27"/>
        </w:rPr>
        <w:t>PRELIMINARES REJEITADAS DE CERCEAMENTO DE DEFESA E VIOLAÇÃO AO CONTRADITÓRIO E À PARIDADE DE ARMAS. GRATUIDADE DE JUSTIÇA DE MENOR MANTIDA.. REDUÇÃO DOS ALIMENTOS NÃO CONFIGURADA. BASE DE CÁLCULO MANTIDA. LITIGÂNCIA DE MÁ-FÉ NÃO CARACTERIZADA. SENTENÇA MANTIDA. RECURSO NÃO PROVIDO.</w:t>
      </w:r>
    </w:p>
    <w:p>
      <w:pPr>
        <w:spacing w:line="360" w:lineRule="auto" w:after="0" w:before="0"/>
        <w:jc w:val="both"/>
      </w:pPr>
      <w:r>
        <w:rPr>
          <w:rFonts w:ascii="Arial" w:hAnsi="Arial" w:cs="Arial"/>
          <w:b w:val="0"/>
          <w:i w:val="0"/>
          <w:color w:val="00B050"/>
          <w:sz w:val="27"/>
        </w:rPr>
        <w:t>I. Caso em exame</w:t>
      </w:r>
    </w:p>
    <w:p>
      <w:pPr>
        <w:spacing w:line="360" w:lineRule="auto" w:after="0" w:before="0"/>
        <w:jc w:val="both"/>
      </w:pPr>
      <w:r>
        <w:rPr>
          <w:rFonts w:ascii="Arial" w:hAnsi="Arial" w:cs="Arial"/>
          <w:b w:val="0"/>
          <w:i w:val="0"/>
          <w:color w:val="00B050"/>
          <w:sz w:val="27"/>
        </w:rPr>
        <w:t>1. Ação de revisão de alimentos proposta por menor (7 anos de idade), representado pela genitora, em face do genitor, na qual se pleiteia a majoração da pensão anteriormente fixada em 01 (um) salário-mínimo, acrescido de 13º salário e 1/3 de férias, além do rateio igualitário das despesas de saúde e educação, para o patamar de 40% dos rendimentos do alimentante.2. Sentença julgou procedente o pedido para majorar os alimentos para 22% dos rendimentos brutos do alimentante, abatidos descontos compulsórios, com incidência sobre 13º salário, férias e verbas remuneratórias.</w:t>
      </w:r>
    </w:p>
    <w:p>
      <w:pPr>
        <w:spacing w:line="360" w:lineRule="auto" w:after="0" w:before="0"/>
        <w:jc w:val="both"/>
      </w:pPr>
      <w:r>
        <w:rPr>
          <w:rFonts w:ascii="Arial" w:hAnsi="Arial" w:cs="Arial"/>
          <w:b w:val="0"/>
          <w:i w:val="0"/>
          <w:color w:val="00B050"/>
          <w:sz w:val="27"/>
        </w:rPr>
        <w:t>3. O réu apelou, arguindo preliminares de cerceamento de defesa e violação ao contraditório e à paridade de armas, impugnando a gratuidade de justiça, pleiteando reconhecimento de má-fé e redução dos alimentos para 15% da renda líquida, além da exclusão de verbas variáveis da base de cálculo.</w:t>
      </w:r>
    </w:p>
    <w:p>
      <w:pPr>
        <w:spacing w:line="360" w:lineRule="auto" w:after="0" w:before="0"/>
        <w:jc w:val="both"/>
      </w:pPr>
      <w:r>
        <w:rPr>
          <w:rFonts w:ascii="Arial" w:hAnsi="Arial" w:cs="Arial"/>
          <w:b w:val="0"/>
          <w:i w:val="0"/>
          <w:color w:val="00B050"/>
          <w:sz w:val="27"/>
        </w:rPr>
        <w:t>II. Questão em discussão</w:t>
      </w:r>
    </w:p>
    <w:p>
      <w:pPr>
        <w:spacing w:line="360" w:lineRule="auto" w:after="0" w:before="0"/>
        <w:jc w:val="both"/>
      </w:pPr>
      <w:r>
        <w:rPr>
          <w:rFonts w:ascii="Arial" w:hAnsi="Arial" w:cs="Arial"/>
          <w:b w:val="0"/>
          <w:i w:val="0"/>
          <w:color w:val="00B050"/>
          <w:sz w:val="27"/>
        </w:rPr>
        <w:t>4. Há quatro questões em discussão: (i) saber se subsiste a gratuidade de justiça deferida ao menor; (ii) saber se há litigância de má-fé; (iv) saber se os alimentos devem ser reduzidos; (v) saber se é correta a base de cálculo adotada, que inclui horas extras.</w:t>
      </w:r>
    </w:p>
    <w:p>
      <w:pPr>
        <w:spacing w:line="360" w:lineRule="auto" w:after="0" w:before="0"/>
        <w:jc w:val="both"/>
      </w:pPr>
      <w:r>
        <w:rPr>
          <w:rFonts w:ascii="Arial" w:hAnsi="Arial" w:cs="Arial"/>
          <w:b w:val="0"/>
          <w:i w:val="0"/>
          <w:color w:val="00B050"/>
          <w:sz w:val="27"/>
        </w:rPr>
        <w:t>III. Razões de decidir</w:t>
      </w:r>
    </w:p>
    <w:p>
      <w:pPr>
        <w:spacing w:line="360" w:lineRule="auto" w:after="0" w:before="0"/>
        <w:jc w:val="both"/>
      </w:pPr>
      <w:r>
        <w:rPr>
          <w:rFonts w:ascii="Arial" w:hAnsi="Arial" w:cs="Arial"/>
          <w:b w:val="0"/>
          <w:i w:val="0"/>
          <w:color w:val="00B050"/>
          <w:sz w:val="27"/>
        </w:rPr>
        <w:t>5. A gratuidade de justiça concedida ao menor, em regra, considera sua própria condição econômica, não a do representante legal. Inexistindo elementos suficientes para afastar a presunção de hipossuficiência, mostra-se adequada a manutenção do benefício.</w:t>
      </w:r>
    </w:p>
    <w:p>
      <w:pPr>
        <w:spacing w:line="360" w:lineRule="auto" w:after="0" w:before="0"/>
        <w:jc w:val="both"/>
      </w:pPr>
      <w:r>
        <w:rPr>
          <w:rFonts w:ascii="Arial" w:hAnsi="Arial" w:cs="Arial"/>
          <w:b w:val="0"/>
          <w:i w:val="0"/>
          <w:color w:val="00B050"/>
          <w:sz w:val="27"/>
        </w:rPr>
        <w:t>6. Houve aumento das necessidades do menor, inclusive em razão de condições de saúde e evolução etária, ao passo que a capacidade contributiva do alimentante permanece compatível com o encargo fixado, mostrando-se proporcional e adequado o percentual de 22% dos rendimentos brutos.</w:t>
      </w:r>
    </w:p>
    <w:p>
      <w:pPr>
        <w:spacing w:line="360" w:lineRule="auto" w:after="0" w:before="0"/>
        <w:jc w:val="both"/>
      </w:pPr>
      <w:r>
        <w:rPr>
          <w:rFonts w:ascii="Arial" w:hAnsi="Arial" w:cs="Arial"/>
          <w:b w:val="0"/>
          <w:i w:val="0"/>
          <w:color w:val="00B050"/>
          <w:sz w:val="27"/>
        </w:rPr>
        <w:t>7. As verbas de natureza remuneratória, como horas extras, integram a base de cálculo dos alimentos.</w:t>
      </w:r>
    </w:p>
    <w:p>
      <w:pPr>
        <w:spacing w:line="360" w:lineRule="auto" w:after="0" w:before="0"/>
        <w:jc w:val="both"/>
      </w:pPr>
      <w:r>
        <w:rPr>
          <w:rFonts w:ascii="Arial" w:hAnsi="Arial" w:cs="Arial"/>
          <w:b w:val="0"/>
          <w:i w:val="0"/>
          <w:color w:val="00B050"/>
          <w:sz w:val="27"/>
        </w:rPr>
        <w:t>8. A caracterização de má-fé processual exige demonstração consistente de dolo ou comportamento temerário, o que não se evidencia de forma clara nos autos.</w:t>
      </w:r>
    </w:p>
    <w:p>
      <w:pPr>
        <w:spacing w:line="360" w:lineRule="auto" w:after="0" w:before="0"/>
        <w:jc w:val="both"/>
      </w:pPr>
      <w:r>
        <w:rPr>
          <w:rFonts w:ascii="Arial" w:hAnsi="Arial" w:cs="Arial"/>
          <w:b w:val="0"/>
          <w:i w:val="0"/>
          <w:color w:val="00B050"/>
          <w:sz w:val="27"/>
        </w:rPr>
        <w:t>IV. Dispositivo</w:t>
      </w:r>
    </w:p>
    <w:p>
      <w:pPr>
        <w:spacing w:line="360" w:lineRule="auto" w:after="0" w:before="0"/>
        <w:jc w:val="both"/>
      </w:pPr>
      <w:r>
        <w:rPr>
          <w:rFonts w:ascii="Arial" w:hAnsi="Arial" w:cs="Arial"/>
          <w:b w:val="0"/>
          <w:i w:val="0"/>
          <w:color w:val="00B050"/>
          <w:sz w:val="27"/>
        </w:rPr>
        <w:t>9. Rejeitaram-se as preliminares e, no mérito, negou-se provimento ao apelo do réu.</w:t>
      </w:r>
    </w:p>
    <w:p>
      <w:pPr>
        <w:spacing w:line="360" w:lineRule="auto" w:after="0" w:before="0"/>
        <w:jc w:val="both"/>
      </w:pPr>
      <w:r>
        <w:rPr>
          <w:rFonts w:ascii="Arial" w:hAnsi="Arial" w:cs="Arial"/>
          <w:b w:val="0"/>
          <w:i w:val="0"/>
          <w:color w:val="00B050"/>
          <w:sz w:val="27"/>
          <w:u w:val="single"/>
        </w:rPr>
        <w:t>_</w:t>
      </w:r>
      <w:r>
        <w:rPr>
          <w:rFonts w:ascii="Arial" w:hAnsi="Arial" w:cs="Arial"/>
          <w:b w:val="0"/>
          <w:i w:val="0"/>
          <w:color w:val="00B050"/>
          <w:sz w:val="27"/>
        </w:rPr>
        <w:t>__ Dispositivos relevantes citados: CF/1988, art. 5º, LV; art. 229; CPC, arts. 7º, 80, II e V, 85, §11, 98, 99, §2º, 139, I, 319, 320, 369, 370, 371, 435 e 437, §1º; CC, arts. 1.694, §1º, e 1.699.</w:t>
      </w:r>
    </w:p>
    <w:p>
      <w:pPr>
        <w:spacing w:line="360" w:lineRule="auto" w:after="0" w:before="0"/>
        <w:jc w:val="both"/>
      </w:pPr>
      <w:r>
        <w:rPr>
          <w:rFonts w:ascii="Arial" w:hAnsi="Arial" w:cs="Arial"/>
          <w:b w:val="0"/>
          <w:i/>
          <w:color w:val="00B050"/>
          <w:sz w:val="27"/>
        </w:rPr>
        <w:t>Jurisprudência relevante citada:</w:t>
      </w:r>
      <w:r>
        <w:rPr>
          <w:rFonts w:ascii="Arial" w:hAnsi="Arial" w:cs="Arial"/>
          <w:b w:val="0"/>
          <w:i w:val="0"/>
          <w:color w:val="00B050"/>
          <w:sz w:val="27"/>
        </w:rPr>
        <w:t xml:space="preserve"> STJ, REsp nº 1.807.216/SP, Rel. Min. Nancy Andrighi;</w:t>
      </w:r>
    </w:p>
    <w:p>
      <w:pPr>
        <w:spacing w:line="360" w:lineRule="auto" w:after="0" w:before="0"/>
        <w:jc w:val="both"/>
      </w:pPr>
      <w:r>
        <w:rPr>
          <w:rFonts w:ascii="Arial" w:hAnsi="Arial" w:cs="Arial"/>
          <w:b w:val="0"/>
          <w:i w:val="0"/>
          <w:color w:val="00B050"/>
          <w:sz w:val="27"/>
        </w:rPr>
        <w:t>TJDFT, Acórdão nº 1976420, Agravo de Instrumento nº 0748407-87.2024.8.07.0000, Rel.</w:t>
      </w:r>
    </w:p>
    <w:p>
      <w:pPr>
        <w:spacing w:line="360" w:lineRule="auto" w:after="0" w:before="0"/>
        <w:jc w:val="both"/>
      </w:pPr>
      <w:r>
        <w:rPr>
          <w:rFonts w:ascii="Arial" w:hAnsi="Arial" w:cs="Arial"/>
          <w:b w:val="0"/>
          <w:i w:val="0"/>
          <w:color w:val="00B050"/>
          <w:sz w:val="27"/>
        </w:rPr>
        <w:t>Soníria Rocha Campos D’Assunção, 6ª Turma Cível, j. 26/02/2025, DJe 01/04/2025; TJDFT, Acórdão nº 1925346, nº 0714640-58.2024.8.07.0000, Rel. Mário-Zam Belmiro, 4ª Turma Cível, j. 19/09/2024, DJe 09/10/2024; TJDFT, Acórdão nº 2083610, nº 0703210- 04.2023.8.07.0014, Rel. Lucimeire Maria da Silva, 5ª Turma Cível, j. 04/02/2026, DJe 19/02/2026; TJDFT, Acórdão nº 2076217, nº 0704389-63.2024.8.07.0005, Rel. Carlos Alberto Martins Filho, 1ª Turma Cível, j. 03/12/2025, DJe 15/01/2026.</w:t>
      </w:r>
    </w:p>
    <w:p>
      <w:pPr>
        <w:spacing w:line="360" w:lineRule="auto" w:after="0" w:before="0"/>
        <w:jc w:val="both"/>
      </w:pPr>
      <w:r>
        <w:rPr>
          <w:rFonts w:ascii="Arial" w:hAnsi="Arial" w:cs="Arial"/>
          <w:b w:val="0"/>
          <w:i w:val="0"/>
          <w:color w:val="00B050"/>
          <w:sz w:val="27"/>
        </w:rPr>
        <w:t>ACÓRDÃO</w:t>
      </w:r>
    </w:p>
    <w:p>
      <w:pPr>
        <w:spacing w:line="360" w:lineRule="auto" w:after="0" w:before="0"/>
        <w:jc w:val="both"/>
      </w:pPr>
      <w:r>
        <w:rPr>
          <w:rFonts w:ascii="Arial" w:hAnsi="Arial" w:cs="Arial"/>
          <w:b w:val="0"/>
          <w:i w:val="0"/>
          <w:color w:val="00B050"/>
          <w:sz w:val="27"/>
        </w:rPr>
        <w:t>Acordam os Senhores Desembargadores do(a) 4ª Turma Cível do Tribunal de Justiça do Distrito Federal e dos Territórios, SÉRGIO ROCHA - Relator, ROBERVAL CASEMIRO BELINATI - 1º Vogal e AISTON HENRIQUE DE SOUSA - 2º Vogal, sob a Presidência do Senhor Desembargador JAMES EDUARDO OLIVEIRA, em proferir a seguinte decisão: REJEITAR AS PRELIMINARES. NEGAR PROVIMENTO AO RECURSO DO RÉU. UNÂNIME, de acordo com a ata do julgamento e notas taquigráficas.</w:t>
      </w:r>
    </w:p>
    <w:p>
      <w:pPr>
        <w:spacing w:line="360" w:lineRule="auto" w:after="0" w:before="0"/>
        <w:jc w:val="both"/>
      </w:pPr>
      <w:r>
        <w:rPr>
          <w:rFonts w:ascii="Arial" w:hAnsi="Arial" w:cs="Arial"/>
          <w:b w:val="0"/>
          <w:i w:val="0"/>
          <w:color w:val="00B050"/>
          <w:sz w:val="27"/>
        </w:rPr>
        <w:t>Brasília (DF), 12 de Agosto de 2026 Desembargador SÉRGIO ROCHA Relator RELATÓRIO</w:t>
      </w:r>
    </w:p>
    <w:p>
      <w:pPr>
        <w:spacing w:line="360" w:lineRule="auto" w:after="0" w:before="0"/>
        <w:jc w:val="both"/>
      </w:pPr>
      <w:r>
        <w:rPr>
          <w:rFonts w:ascii="Arial" w:hAnsi="Arial" w:cs="Arial"/>
          <w:b w:val="0"/>
          <w:i w:val="0"/>
          <w:color w:val="00B050"/>
          <w:sz w:val="27"/>
        </w:rPr>
        <w:t>Adoto o relatório da r. sentença:</w:t>
      </w:r>
    </w:p>
    <w:p>
      <w:pPr>
        <w:spacing w:line="360" w:lineRule="auto" w:after="0" w:before="0"/>
        <w:jc w:val="both"/>
      </w:pPr>
      <w:r>
        <w:rPr>
          <w:rFonts w:ascii="Arial" w:hAnsi="Arial" w:cs="Arial"/>
          <w:b w:val="0"/>
          <w:i w:val="0"/>
          <w:color w:val="00B050"/>
          <w:sz w:val="27"/>
        </w:rPr>
        <w:t>“D. F. R., propôs ação de revisão de alimentos em desfavor de G. R. D. S., seu pai, partes qualificadas nos autos.</w:t>
      </w:r>
    </w:p>
    <w:p>
      <w:pPr>
        <w:spacing w:line="360" w:lineRule="auto" w:after="0" w:before="0"/>
        <w:jc w:val="both"/>
      </w:pPr>
      <w:r>
        <w:rPr>
          <w:rFonts w:ascii="Arial" w:hAnsi="Arial" w:cs="Arial"/>
          <w:b w:val="0"/>
          <w:i w:val="0"/>
          <w:color w:val="00B050"/>
          <w:sz w:val="27"/>
        </w:rPr>
        <w:t>Segundo a inicial, o autor aduz em síntese, que: (i) em novembro de 2021, as partes transacionaram a obrigação alimentar no valor de 01 (um) salário-mínimo, acrescido de 13º salário e 1/3 de férias, além da divisão igualitária de despesas com saúde e educação; (ii)</w:t>
      </w:r>
    </w:p>
    <w:p>
      <w:pPr>
        <w:spacing w:line="360" w:lineRule="auto" w:after="0" w:before="0"/>
        <w:jc w:val="both"/>
      </w:pPr>
      <w:r>
        <w:rPr>
          <w:rFonts w:ascii="Arial" w:hAnsi="Arial" w:cs="Arial"/>
          <w:b w:val="0"/>
          <w:i w:val="0"/>
          <w:color w:val="00B050"/>
          <w:sz w:val="27"/>
        </w:rPr>
        <w:t>houve incremento das despesas do menor com seu desenvolvimento natural, que à época do acordo tinha 03 anos; (iii) o valor pactuado é insuficiente para o custeio das necessidades do menor; (iv) o acordo relativo ao rateio das despesas extras não vem sendo cumprido, gerando conflitos; (v) o genitor é policial militar, com rendimentos entre R$ 7.500,00 e R$ 9.000,00 mensais, de modo que a pensão não reflete a proporcionalidade necessária. Requereu a majoração dos alimentos para 35% (trinta e cinco por cento) dos rendimentos brutos do requerido, inclusive em tutela de urgência.</w:t>
      </w:r>
    </w:p>
    <w:p>
      <w:pPr>
        <w:spacing w:line="360" w:lineRule="auto" w:after="0" w:before="0"/>
        <w:jc w:val="both"/>
      </w:pPr>
      <w:r>
        <w:rPr>
          <w:rFonts w:ascii="Arial" w:hAnsi="Arial" w:cs="Arial"/>
          <w:b w:val="0"/>
          <w:i w:val="0"/>
          <w:color w:val="00B050"/>
          <w:sz w:val="27"/>
        </w:rPr>
        <w:t>Em decisão ID 231438030, foi deferida a justiça gratuita e indeferida a antecipação de tutela.</w:t>
      </w:r>
    </w:p>
    <w:p>
      <w:pPr>
        <w:spacing w:line="360" w:lineRule="auto" w:after="0" w:before="0"/>
        <w:jc w:val="both"/>
      </w:pPr>
      <w:r>
        <w:rPr>
          <w:rFonts w:ascii="Arial" w:hAnsi="Arial" w:cs="Arial"/>
          <w:b w:val="0"/>
          <w:i w:val="0"/>
          <w:color w:val="00B050"/>
          <w:sz w:val="27"/>
        </w:rPr>
        <w:t>O réu ofertou contestação em ID 234080745. Preliminarmente, impugna a concessão da gratuidade de justiça conferida ao autor. No mérito, defende a impossibilidade de revisão da pensão alimentícia, e alega que: (i) a mudança de cidade do menor foi decisão unilateral da genitora; (ii) possui outro filho e arca com custos de deslocamento para convívio com o autor; (iii) custeia plano de saúde do alimentando; (iv)</w:t>
      </w:r>
    </w:p>
    <w:p>
      <w:pPr>
        <w:spacing w:line="360" w:lineRule="auto" w:after="0" w:before="0"/>
        <w:jc w:val="both"/>
      </w:pPr>
      <w:r>
        <w:rPr>
          <w:rFonts w:ascii="Arial" w:hAnsi="Arial" w:cs="Arial"/>
          <w:b w:val="0"/>
          <w:i w:val="0"/>
          <w:color w:val="00B050"/>
          <w:sz w:val="27"/>
        </w:rPr>
        <w:t>impugna as despesas apresentadas; (v) a genitora possui renda aproximada de R$ 7.000,00, o que justificaria a manutenção do valor atual. Pugna pela improcedência dos pedidos formulados.</w:t>
      </w:r>
    </w:p>
    <w:p>
      <w:pPr>
        <w:spacing w:line="360" w:lineRule="auto" w:after="0" w:before="0"/>
        <w:jc w:val="both"/>
      </w:pPr>
      <w:r>
        <w:rPr>
          <w:rFonts w:ascii="Arial" w:hAnsi="Arial" w:cs="Arial"/>
          <w:b w:val="0"/>
          <w:i w:val="0"/>
          <w:color w:val="00B050"/>
          <w:sz w:val="27"/>
        </w:rPr>
        <w:t>Em réplica (ID 237242449), o autor juntou documentos que demonstram despesas médicas decorrentes de diagnóstico de TDAH e requereu a majoração dos valores dos alimentos para 40% dos rendimentos brutos do requerido, inclusive sobre 13º salário e 1/3 de férias.</w:t>
      </w:r>
    </w:p>
    <w:p>
      <w:pPr>
        <w:spacing w:line="360" w:lineRule="auto" w:after="0" w:before="0"/>
        <w:jc w:val="both"/>
      </w:pPr>
      <w:r>
        <w:rPr>
          <w:rFonts w:ascii="Arial" w:hAnsi="Arial" w:cs="Arial"/>
          <w:b w:val="0"/>
          <w:i w:val="0"/>
          <w:color w:val="00B050"/>
          <w:sz w:val="27"/>
        </w:rPr>
        <w:t>Especificação de provas pelo autor (ID 240314976) e pelo réu (ID 239819805).</w:t>
      </w:r>
    </w:p>
    <w:p>
      <w:pPr>
        <w:spacing w:line="360" w:lineRule="auto" w:after="0" w:before="0"/>
        <w:jc w:val="both"/>
      </w:pPr>
      <w:r>
        <w:rPr>
          <w:rFonts w:ascii="Arial" w:hAnsi="Arial" w:cs="Arial"/>
          <w:b w:val="0"/>
          <w:i w:val="0"/>
          <w:color w:val="00B050"/>
          <w:sz w:val="27"/>
        </w:rPr>
        <w:t>O MPDFT pugna pela juntada dos 3 últimos contracheques do requerido em manifestação de ID 241185524.</w:t>
      </w:r>
    </w:p>
    <w:p>
      <w:pPr>
        <w:spacing w:line="360" w:lineRule="auto" w:after="0" w:before="0"/>
        <w:jc w:val="both"/>
      </w:pPr>
      <w:r>
        <w:rPr>
          <w:rFonts w:ascii="Arial" w:hAnsi="Arial" w:cs="Arial"/>
          <w:b w:val="0"/>
          <w:i w:val="0"/>
          <w:color w:val="00B050"/>
          <w:sz w:val="27"/>
        </w:rPr>
        <w:t>Pedido ministerial deferido em decisão de ID 244792636.</w:t>
      </w:r>
    </w:p>
    <w:p>
      <w:pPr>
        <w:spacing w:line="360" w:lineRule="auto" w:after="0" w:before="0"/>
        <w:jc w:val="both"/>
      </w:pPr>
      <w:r>
        <w:rPr>
          <w:rFonts w:ascii="Arial" w:hAnsi="Arial" w:cs="Arial"/>
          <w:b w:val="0"/>
          <w:i w:val="0"/>
          <w:color w:val="00B050"/>
          <w:sz w:val="27"/>
        </w:rPr>
        <w:t>Contracheques apresentados ao (ID 247286466), e oportunizada manifestação da autora (ID 248626581).</w:t>
      </w:r>
    </w:p>
    <w:p>
      <w:pPr>
        <w:spacing w:line="360" w:lineRule="auto" w:after="0" w:before="0"/>
        <w:jc w:val="both"/>
      </w:pPr>
      <w:r>
        <w:rPr>
          <w:rFonts w:ascii="Arial" w:hAnsi="Arial" w:cs="Arial"/>
          <w:b w:val="0"/>
          <w:i w:val="0"/>
          <w:color w:val="00B050"/>
          <w:sz w:val="27"/>
        </w:rPr>
        <w:t>Parecer final do MPDFT (ID 249068995).</w:t>
      </w:r>
    </w:p>
    <w:p>
      <w:pPr>
        <w:spacing w:line="360" w:lineRule="auto" w:after="0" w:before="0"/>
        <w:jc w:val="both"/>
      </w:pPr>
      <w:r>
        <w:rPr>
          <w:rFonts w:ascii="Arial" w:hAnsi="Arial" w:cs="Arial"/>
          <w:b w:val="0"/>
          <w:i w:val="0"/>
          <w:color w:val="00B050"/>
          <w:sz w:val="27"/>
        </w:rPr>
        <w:t>(...)” (ID 81255239).</w:t>
      </w:r>
    </w:p>
    <w:p>
      <w:pPr>
        <w:spacing w:line="360" w:lineRule="auto" w:after="0" w:before="0"/>
        <w:jc w:val="both"/>
      </w:pPr>
      <w:r>
        <w:rPr>
          <w:rFonts w:ascii="Arial" w:hAnsi="Arial" w:cs="Arial"/>
          <w:b w:val="0"/>
          <w:i w:val="0"/>
          <w:color w:val="00B050"/>
          <w:sz w:val="27"/>
        </w:rPr>
        <w:t>A MM. Juíza Sentenciante, Dra. Indiara Arruda de Almeida Serra, da 1ª Vara de Família e de Órfãos e Sucessões de Sobradinho, julgou no seguinte sentido:</w:t>
      </w:r>
    </w:p>
    <w:p>
      <w:pPr>
        <w:spacing w:line="360" w:lineRule="auto" w:after="0" w:before="0"/>
        <w:jc w:val="both"/>
      </w:pPr>
      <w:r>
        <w:rPr>
          <w:rFonts w:ascii="Arial" w:hAnsi="Arial" w:cs="Arial"/>
          <w:b w:val="0"/>
          <w:i w:val="0"/>
          <w:color w:val="00B050"/>
          <w:sz w:val="27"/>
        </w:rPr>
        <w:t>“Ante o exposto, JULGO PARCIALMENTE PROCEDENTE o pedido inicial para condenar o requerido a prestar alimentos ao autor no valor de 22% (vinte e dois por cento) dos seus rendimentos brutos, abatidos apenas os descontos compulsórios (IR e INSS) e incidente, inclusive sobre 13º salário e férias. O valor deverá ser pago até o dia 10 do mês subsequente ao vencido, devendo ser depositada em conta bancária em nome da representante legal do alimentando. O genitor deverá, ainda, manter o plano de saúde do filho.</w:t>
      </w:r>
    </w:p>
    <w:p>
      <w:pPr>
        <w:spacing w:line="360" w:lineRule="auto" w:after="0" w:before="0"/>
        <w:jc w:val="both"/>
      </w:pPr>
      <w:r>
        <w:rPr>
          <w:rFonts w:ascii="Arial" w:hAnsi="Arial" w:cs="Arial"/>
          <w:b w:val="0"/>
          <w:i w:val="0"/>
          <w:color w:val="00B050"/>
          <w:sz w:val="27"/>
        </w:rPr>
        <w:t>Por conseguinte, resolvo o mérito, nos termos do art. 487, I, do CPC.</w:t>
      </w:r>
    </w:p>
    <w:p>
      <w:pPr>
        <w:spacing w:line="360" w:lineRule="auto" w:after="0" w:before="0"/>
        <w:jc w:val="both"/>
      </w:pPr>
      <w:r>
        <w:rPr>
          <w:rFonts w:ascii="Arial" w:hAnsi="Arial" w:cs="Arial"/>
          <w:b w:val="0"/>
          <w:i w:val="0"/>
          <w:color w:val="00B050"/>
          <w:sz w:val="27"/>
        </w:rPr>
        <w:t>O réu arcará com as custas processuais e honorários advocatícios que fixo em R$ 800,00 (oitocentos reais), nos termos do art. 85, par. 2º do CPC. (...).”</w:t>
      </w:r>
    </w:p>
    <w:p>
      <w:pPr>
        <w:spacing w:line="360" w:lineRule="auto" w:after="0" w:before="0"/>
        <w:jc w:val="both"/>
      </w:pPr>
      <w:r>
        <w:rPr>
          <w:rFonts w:ascii="Arial" w:hAnsi="Arial" w:cs="Arial"/>
          <w:b w:val="0"/>
          <w:i w:val="0"/>
          <w:color w:val="00B050"/>
          <w:sz w:val="27"/>
        </w:rPr>
        <w:t>O réu/apelante opôs embargos de declaração (ID 81255246), os quais foram acolhidos para esclarecer a obrigação de o genitor manter o filho como dependente no plano de saúde IPASGO disponibilizado pelo órgão empregador (ID81255257).</w:t>
      </w:r>
    </w:p>
    <w:p>
      <w:pPr>
        <w:spacing w:line="360" w:lineRule="auto" w:after="0" w:before="0"/>
        <w:jc w:val="both"/>
      </w:pPr>
      <w:r>
        <w:rPr>
          <w:rFonts w:ascii="Arial" w:hAnsi="Arial" w:cs="Arial"/>
          <w:b w:val="0"/>
          <w:i w:val="0"/>
          <w:color w:val="00B050"/>
          <w:sz w:val="27"/>
        </w:rPr>
        <w:t>O apelante/genitor, G. R. D. S., alega, em síntese, que: 1) houve cerceamento de defesa, ante o indeferimento imotivado de provas essenciais e violação ao contraditório e à paridade de armas, bem como admissão irregular de documentos extemporâneos; 2) deve ser revogada a gratuidade de justiça, pois os elementos dos autos afastam a hipossuficiência da genitora, conforme art. 99, §2º, do CPC e precedentes do STJ; 3) há indícios de litigância de má-fé da apelada, que teria ocultado sua real renda; 4) a sentença incorreu em erro ao considerar verbas variáveis (horas extras) na base de cálculo da pensão; 5) o valor fixado desrespeita o binômio necessidade/possibilidade e a proporcionalidade, impondo encargo excessivo ao alimentante (ID 81255263).</w:t>
      </w:r>
    </w:p>
    <w:p>
      <w:pPr>
        <w:spacing w:line="360" w:lineRule="auto" w:after="0" w:before="0"/>
        <w:jc w:val="both"/>
      </w:pPr>
      <w:r>
        <w:rPr>
          <w:rFonts w:ascii="Arial" w:hAnsi="Arial" w:cs="Arial"/>
          <w:b w:val="0"/>
          <w:i w:val="0"/>
          <w:color w:val="00B050"/>
          <w:sz w:val="27"/>
        </w:rPr>
        <w:t>Requer: a) o reconhecimento do cerceamento de defesa, com a anulação da sentença e retorno dos autos à origem para reabertura da instrução; b) a revogação da gratuidade de justiça deferida à apelada; c) subsidiariamente, a reforma da sentença para fixar os alimentos em 15% dos rendimentos líquidos do apelante ou, mantido o percentual de 22%, que incida apenas sobre verbas fixas, excluídas as variáveis, com os descontos legais de IR e INSS; e d) a condenação da apelada por litigância de má-fé.</w:t>
      </w:r>
    </w:p>
    <w:p>
      <w:pPr>
        <w:spacing w:line="360" w:lineRule="auto" w:after="0" w:before="0"/>
        <w:jc w:val="both"/>
      </w:pPr>
      <w:r>
        <w:rPr>
          <w:rFonts w:ascii="Arial" w:hAnsi="Arial" w:cs="Arial"/>
          <w:b w:val="0"/>
          <w:i w:val="0"/>
          <w:color w:val="00B050"/>
          <w:sz w:val="27"/>
        </w:rPr>
        <w:t>Em contrarrazões, o apelado/filho (7 anos de idade), sustenta que:</w:t>
      </w:r>
    </w:p>
    <w:p>
      <w:pPr>
        <w:spacing w:line="360" w:lineRule="auto" w:after="0" w:before="0"/>
        <w:jc w:val="both"/>
      </w:pPr>
      <w:r>
        <w:rPr>
          <w:rFonts w:ascii="Arial" w:hAnsi="Arial" w:cs="Arial"/>
          <w:b w:val="0"/>
          <w:i w:val="0"/>
          <w:color w:val="00B050"/>
          <w:sz w:val="27"/>
        </w:rPr>
        <w:t>1) ficou comprovada a alteração fática (art. 1.699 do CC), diante do crescimento do menor e de suas novas necessidades, inclusive médicas (TDAH e TOD); 2) a sentença observou o binômio necessidade-possibilidade, fixando alimentos em 22% da renda do apelante, em patamar proporcional à sua capacidade contributiva; 3) a incidência sobre rendimentos brutos, com exclusão apenas de IR e INSS, é juridicamente adequada; 4) a existência de outro filho foi considerada, não afastando o dever alimentar; 5) deve prevalecer o melhor interesse do menor, inexistindo vício na sentença, sendo o recurso mero inconformismo (ID 81255268).</w:t>
      </w:r>
    </w:p>
    <w:p>
      <w:pPr>
        <w:spacing w:line="360" w:lineRule="auto" w:after="0" w:before="0"/>
        <w:jc w:val="both"/>
      </w:pPr>
      <w:r>
        <w:rPr>
          <w:rFonts w:ascii="Arial" w:hAnsi="Arial" w:cs="Arial"/>
          <w:b w:val="0"/>
          <w:i w:val="0"/>
          <w:color w:val="00B050"/>
          <w:sz w:val="27"/>
        </w:rPr>
        <w:t>Manifestação da Procuradoria de Justiça pelo conhecimento e não provimento do apelo (ID 81465634).</w:t>
      </w:r>
    </w:p>
    <w:p>
      <w:pPr>
        <w:spacing w:line="360" w:lineRule="auto" w:after="0" w:before="0"/>
        <w:jc w:val="both"/>
      </w:pPr>
      <w:r>
        <w:rPr>
          <w:rFonts w:ascii="Arial" w:hAnsi="Arial" w:cs="Arial"/>
          <w:b w:val="0"/>
          <w:i w:val="0"/>
          <w:color w:val="00B050"/>
          <w:sz w:val="27"/>
        </w:rPr>
        <w:t>É o relatório.</w:t>
      </w:r>
    </w:p>
    <w:p>
      <w:pPr>
        <w:spacing w:line="360" w:lineRule="auto" w:after="0" w:before="0"/>
        <w:jc w:val="both"/>
      </w:pPr>
      <w:r>
        <w:rPr>
          <w:rFonts w:ascii="Arial" w:hAnsi="Arial" w:cs="Arial"/>
          <w:b w:val="0"/>
          <w:i w:val="0"/>
          <w:color w:val="00B050"/>
          <w:sz w:val="27"/>
        </w:rPr>
        <w:t>VOTOS</w:t>
      </w:r>
    </w:p>
    <w:p>
      <w:pPr>
        <w:spacing w:line="360" w:lineRule="auto" w:after="0" w:before="0"/>
        <w:jc w:val="both"/>
      </w:pPr>
      <w:r>
        <w:rPr>
          <w:rFonts w:ascii="Arial" w:hAnsi="Arial" w:cs="Arial"/>
          <w:b w:val="0"/>
          <w:i w:val="0"/>
          <w:color w:val="00B050"/>
          <w:sz w:val="27"/>
        </w:rPr>
        <w:t>O Senhor Desembargador SÉRGIO ROCHA - Relator Ação ajuizada em 25/03/2025. Sentença proferida em 16/09/2025.</w:t>
      </w:r>
    </w:p>
    <w:p>
      <w:pPr>
        <w:spacing w:line="360" w:lineRule="auto" w:after="0" w:before="0"/>
        <w:jc w:val="both"/>
      </w:pPr>
      <w:r>
        <w:rPr>
          <w:rFonts w:ascii="Arial" w:hAnsi="Arial" w:cs="Arial"/>
          <w:b w:val="0"/>
          <w:i w:val="0"/>
          <w:color w:val="00B050"/>
          <w:sz w:val="27"/>
        </w:rPr>
        <w:t>Apelo interposto em 12/12/2025. Valor da causa: R$ 30.000,00.</w:t>
      </w:r>
    </w:p>
    <w:p>
      <w:pPr>
        <w:spacing w:line="360" w:lineRule="auto" w:after="0" w:before="0"/>
        <w:jc w:val="both"/>
      </w:pPr>
      <w:r>
        <w:rPr>
          <w:rFonts w:ascii="Arial" w:hAnsi="Arial" w:cs="Arial"/>
          <w:b w:val="0"/>
          <w:i w:val="0"/>
          <w:color w:val="00B050"/>
          <w:sz w:val="27"/>
        </w:rPr>
        <w:t>APELO DO RÉU/GENITOR, G. R. D. S.</w:t>
      </w:r>
    </w:p>
    <w:p>
      <w:pPr>
        <w:spacing w:line="360" w:lineRule="auto" w:after="0" w:before="0"/>
        <w:jc w:val="both"/>
      </w:pPr>
      <w:r>
        <w:rPr>
          <w:rFonts w:ascii="Arial" w:hAnsi="Arial" w:cs="Arial"/>
          <w:b w:val="0"/>
          <w:i w:val="0"/>
          <w:color w:val="00B050"/>
          <w:sz w:val="27"/>
        </w:rPr>
        <w:t>Presentes os pressupostos de admissibilidade, conheço do apelo interposto.</w:t>
      </w:r>
    </w:p>
    <w:p>
      <w:pPr>
        <w:spacing w:line="360" w:lineRule="auto" w:after="0" w:before="0"/>
        <w:jc w:val="both"/>
      </w:pPr>
      <w:r>
        <w:rPr>
          <w:rFonts w:ascii="Arial" w:hAnsi="Arial" w:cs="Arial"/>
          <w:b w:val="0"/>
          <w:i w:val="0"/>
          <w:color w:val="00B050"/>
          <w:sz w:val="27"/>
        </w:rPr>
        <w:t>PRELIMINARES REJEITADAS – INEXISTÊNCIA DE CERCEAMENTO DE DEFESA E DE VIOLAÇÃO AO CONTRADITÓRIO E À PARIDADE DE ARMAS O apelante, G. R. D. S., alega, em síntese, que houve cerceamento de defesa, pois provas essenciais requeridas pela defesa (testemunhal e documental voltadas à apuração da real capacidade econômica da genitora) foram indeferidas, sem fundamentação idônea, em violação aos arts. 5º, LV, da CF e 369 e 370 do CPC, além de afronta à paridade de armas (arts. 7º e 139, I, do CPC), visto que, enquanto seus requerimentos probatórios foram rejeitados, pleitos do Ministério Público foram integralmente deferidos, e ainda se admitiu a juntada extemporânea de documentos pela parte adversa sem a devida observância dos arts. 319, 320, 435 e 437, §1º, do CPC.</w:t>
      </w:r>
    </w:p>
    <w:p>
      <w:pPr>
        <w:spacing w:line="360" w:lineRule="auto" w:after="0" w:before="0"/>
        <w:jc w:val="both"/>
      </w:pPr>
      <w:r>
        <w:rPr>
          <w:rFonts w:ascii="Arial" w:hAnsi="Arial" w:cs="Arial"/>
          <w:b w:val="0"/>
          <w:i w:val="0"/>
          <w:color w:val="00B050"/>
          <w:sz w:val="27"/>
        </w:rPr>
        <w:t>Requer a anulação da r. sentença e retorno dos autos à origem para reabertura da instrução.</w:t>
      </w:r>
    </w:p>
    <w:p>
      <w:pPr>
        <w:spacing w:line="360" w:lineRule="auto" w:after="0" w:before="0"/>
        <w:jc w:val="both"/>
      </w:pPr>
      <w:r>
        <w:rPr>
          <w:rFonts w:ascii="Arial" w:hAnsi="Arial" w:cs="Arial"/>
          <w:b w:val="0"/>
          <w:i w:val="0"/>
          <w:color w:val="00B050"/>
          <w:sz w:val="27"/>
        </w:rPr>
        <w:t>Sem razão o apelante.</w:t>
      </w:r>
    </w:p>
    <w:p>
      <w:pPr>
        <w:spacing w:line="360" w:lineRule="auto" w:after="0" w:before="0"/>
        <w:jc w:val="both"/>
      </w:pPr>
      <w:r>
        <w:rPr>
          <w:rFonts w:ascii="Arial" w:hAnsi="Arial" w:cs="Arial"/>
          <w:b w:val="0"/>
          <w:i w:val="0"/>
          <w:color w:val="00B050"/>
          <w:sz w:val="27"/>
        </w:rPr>
        <w:t>Sobre o tema, o parecer da D. Procuradoria de Justiça, que adoto como razões de decidir, com a devida vênia, consignou que (ID 81465634):</w:t>
      </w:r>
    </w:p>
    <w:p>
      <w:pPr>
        <w:spacing w:line="360" w:lineRule="auto" w:after="0" w:before="0"/>
        <w:jc w:val="both"/>
      </w:pPr>
      <w:r>
        <w:rPr>
          <w:rFonts w:ascii="Arial" w:hAnsi="Arial" w:cs="Arial"/>
          <w:b w:val="0"/>
          <w:i w:val="0"/>
          <w:color w:val="00B050"/>
          <w:sz w:val="27"/>
        </w:rPr>
        <w:t>“(...) Não merece prosperar a alegação do apelante de cerceamento de defesa.</w:t>
      </w:r>
    </w:p>
    <w:p>
      <w:pPr>
        <w:spacing w:line="360" w:lineRule="auto" w:after="0" w:before="0"/>
        <w:jc w:val="both"/>
      </w:pPr>
      <w:r>
        <w:rPr>
          <w:rFonts w:ascii="Arial" w:hAnsi="Arial" w:cs="Arial"/>
          <w:b w:val="0"/>
          <w:i w:val="0"/>
          <w:color w:val="00B050"/>
          <w:sz w:val="27"/>
        </w:rPr>
        <w:t>Na solução do caso concreto, pela aplicação do direito objetivo, cumpre ao juiz, nos termos do art. 371 do CPC, mediante livre apreciação racional dos elementos de prova coligidos aos autos confrontá-los com as alegações formuladas pelos litigantes, competindo-lhe assim, deferir as provas úteis e necessárias à formaçãode seu convencimento, indeferindo as que considerar inúteis ou desnecessárias à produção do mérito da causa, de acordo com a dicção do art. 370 do CPC Em sede de especificação de provas, o autor requereu a produção de prova testemunhal, para ouvir a empregadora da genitora do menor e de outras testemunhas, além da juntada de documentos.</w:t>
      </w:r>
    </w:p>
    <w:p>
      <w:pPr>
        <w:spacing w:line="360" w:lineRule="auto" w:after="0" w:before="0"/>
        <w:jc w:val="both"/>
      </w:pPr>
      <w:r>
        <w:rPr>
          <w:rFonts w:ascii="Arial" w:hAnsi="Arial" w:cs="Arial"/>
          <w:b w:val="0"/>
          <w:i w:val="0"/>
          <w:color w:val="00B050"/>
          <w:sz w:val="27"/>
        </w:rPr>
        <w:t>As provas testemunhais e documentais pretendidas visava comprovar a situação econômica da genitora, fato já devidamente esclarecido pela juntada do contrato de trabalho (ID: 81255218).</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Os documentos questionados foram produzidos em data posterior ao ajuizamento da ação (25/03/2026), enquadrando-se no conceito de documentos novos (art. 435 do CPC). Ademais, o apelante teve ciência de tais documentos ao longo da marcha processual, não se vislumbrando prejuízo concreto que justifique a anulação do julgado.</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Portanto, não demonstrado prejuízo concreto nem ilegalidade na condução da instrução, afastam-se as preliminares suscitadas.</w:t>
      </w:r>
    </w:p>
    <w:p>
      <w:pPr>
        <w:spacing w:line="360" w:lineRule="auto" w:after="0" w:before="0"/>
        <w:jc w:val="both"/>
      </w:pPr>
      <w:r>
        <w:rPr>
          <w:rFonts w:ascii="Arial" w:hAnsi="Arial" w:cs="Arial"/>
          <w:b w:val="0"/>
          <w:i w:val="0"/>
          <w:color w:val="00B050"/>
          <w:sz w:val="27"/>
        </w:rPr>
        <w:t>Assim, rejeito as preliminares de cerceamento de defesa e de violação ao contraditório e à paridade de armas suscitadas pelo apelante.</w:t>
      </w:r>
    </w:p>
    <w:p>
      <w:pPr>
        <w:spacing w:line="360" w:lineRule="auto" w:after="0" w:before="0"/>
        <w:jc w:val="both"/>
      </w:pPr>
      <w:r>
        <w:rPr>
          <w:rFonts w:ascii="Arial" w:hAnsi="Arial" w:cs="Arial"/>
          <w:b w:val="0"/>
          <w:i w:val="0"/>
          <w:color w:val="00B050"/>
          <w:sz w:val="27"/>
        </w:rPr>
        <w:t>DA MANUTENÇÃO DA GRATUIDADE DE JUSTIÇA CONCEDIDA AO APELADO, CRIANÇA DE 7 ANOS DE IDADE O apelante, G. R. D. S., alega, em síntese que a gratuidade de justiça deferida à parte autora deve ser revogada, nos termos do art. 99, §2º, do CPC, pois, embora inicialmente presumida a hipossuficiência da criança, os documentos juntados revelam capacidade econômica da genitora incompatível com a renda declarada.</w:t>
      </w:r>
    </w:p>
    <w:p>
      <w:pPr>
        <w:spacing w:line="360" w:lineRule="auto" w:after="0" w:before="0"/>
        <w:jc w:val="both"/>
      </w:pPr>
      <w:r>
        <w:rPr>
          <w:rFonts w:ascii="Arial" w:hAnsi="Arial" w:cs="Arial"/>
          <w:b w:val="0"/>
          <w:i w:val="0"/>
          <w:color w:val="00B050"/>
          <w:sz w:val="27"/>
        </w:rPr>
        <w:t>Sem razão.</w:t>
      </w:r>
    </w:p>
    <w:p>
      <w:pPr>
        <w:spacing w:line="360" w:lineRule="auto" w:after="0" w:before="0"/>
        <w:jc w:val="both"/>
      </w:pPr>
      <w:r>
        <w:rPr>
          <w:rFonts w:ascii="Arial" w:hAnsi="Arial" w:cs="Arial"/>
          <w:b w:val="0"/>
          <w:i w:val="0"/>
          <w:color w:val="00B050"/>
          <w:sz w:val="27"/>
        </w:rPr>
        <w:t>Por espelhar meu entendimento acerca da matéria, peço vênia para adotar os fundamentos da r. sentença como razões de decidir (ID 81255239):</w:t>
      </w:r>
    </w:p>
    <w:p>
      <w:pPr>
        <w:spacing w:line="360" w:lineRule="auto" w:after="0" w:before="0"/>
        <w:jc w:val="both"/>
      </w:pPr>
      <w:r>
        <w:rPr>
          <w:rFonts w:ascii="Arial" w:hAnsi="Arial" w:cs="Arial"/>
          <w:b w:val="0"/>
          <w:i w:val="0"/>
          <w:color w:val="00B050"/>
          <w:sz w:val="27"/>
        </w:rPr>
        <w:t>“(...) A concessão da gratuidade da justiça encontra amparo no art. 98 do CPC, bastando para sua concessão a simples declaração de hipossuficiência, salvo prova em contrário. No caso, a parte autora é menor impúbere, representada por sua genitora, e não há elementos nos autos capazes de afastar a presunção de veracidade da declaração de insuficiência econômica apresentada na inicial.</w:t>
      </w:r>
    </w:p>
    <w:p>
      <w:pPr>
        <w:spacing w:line="360" w:lineRule="auto" w:after="0" w:before="0"/>
        <w:jc w:val="both"/>
      </w:pPr>
      <w:r>
        <w:rPr>
          <w:rFonts w:ascii="Arial" w:hAnsi="Arial" w:cs="Arial"/>
          <w:b w:val="0"/>
          <w:i w:val="0"/>
          <w:color w:val="00B050"/>
          <w:sz w:val="27"/>
        </w:rPr>
        <w:t>Ressalte-se que o benefício é conferido à parte e não ao seu representante legal, e que as provas produzidas pelo requerido não demonstram capacidade financeira suficiente para suportar as custas do processo sem prejuízo do sustento do menor.</w:t>
      </w:r>
    </w:p>
    <w:p>
      <w:pPr>
        <w:spacing w:line="360" w:lineRule="auto" w:after="0" w:before="0"/>
        <w:jc w:val="both"/>
      </w:pPr>
      <w:r>
        <w:rPr>
          <w:rFonts w:ascii="Arial" w:hAnsi="Arial" w:cs="Arial"/>
          <w:b w:val="0"/>
          <w:i w:val="0"/>
          <w:color w:val="00B050"/>
          <w:sz w:val="27"/>
        </w:rPr>
        <w:t>Assim, INDEFIRO a preliminar de impugnação da justiça gratuita concedida ao autor (ID 234080745), mantendo o benefício concedido. (...)”</w:t>
      </w:r>
    </w:p>
    <w:p>
      <w:pPr>
        <w:spacing w:line="360" w:lineRule="auto" w:after="0" w:before="0"/>
        <w:jc w:val="both"/>
      </w:pPr>
      <w:r>
        <w:rPr>
          <w:rFonts w:ascii="Arial" w:hAnsi="Arial" w:cs="Arial"/>
          <w:b w:val="0"/>
          <w:i w:val="0"/>
          <w:color w:val="00B050"/>
          <w:sz w:val="27"/>
        </w:rPr>
        <w:t>Acrescento, ainda, o parecer da d. Procuradoria de Justiça, o qual acolho (ID 81465634):</w:t>
      </w:r>
    </w:p>
    <w:p>
      <w:pPr>
        <w:spacing w:line="360" w:lineRule="auto" w:after="0" w:before="0"/>
        <w:jc w:val="both"/>
      </w:pPr>
      <w:r>
        <w:rPr>
          <w:rFonts w:ascii="Arial" w:hAnsi="Arial" w:cs="Arial"/>
          <w:b w:val="0"/>
          <w:i w:val="0"/>
          <w:color w:val="00B050"/>
          <w:sz w:val="27"/>
        </w:rPr>
        <w:t>“(...) A impugnação à gratuidade de justiça concedida ao menor também carece de amparo legal.</w:t>
      </w:r>
    </w:p>
    <w:p>
      <w:pPr>
        <w:spacing w:line="360" w:lineRule="auto" w:after="0" w:before="0"/>
        <w:jc w:val="both"/>
      </w:pPr>
      <w:r>
        <w:rPr>
          <w:rFonts w:ascii="Arial" w:hAnsi="Arial" w:cs="Arial"/>
          <w:b w:val="0"/>
          <w:i w:val="0"/>
          <w:color w:val="00B050"/>
          <w:sz w:val="27"/>
        </w:rPr>
        <w:t>Nos termos da jurisprudência do Superior Tribunal de Justiça, a condição econômica a ser aferida para fins de deferimento da benesse da gratuidade de justiça deve ser a da própria parte litigante, não de seus representantes ou assistentes, por se tratar de direito personalíssimo.</w:t>
      </w:r>
    </w:p>
    <w:p>
      <w:pPr>
        <w:spacing w:line="360" w:lineRule="auto" w:after="0" w:before="0"/>
        <w:jc w:val="both"/>
      </w:pPr>
      <w:r>
        <w:rPr>
          <w:rFonts w:ascii="Arial" w:hAnsi="Arial" w:cs="Arial"/>
          <w:b w:val="0"/>
          <w:i w:val="0"/>
          <w:color w:val="00B050"/>
          <w:sz w:val="27"/>
        </w:rPr>
        <w:t>AGRAVO DE INSTRUMENTO. AÇÃO DE ALIMENTOS.</w:t>
      </w:r>
    </w:p>
    <w:p>
      <w:pPr>
        <w:spacing w:line="360" w:lineRule="auto" w:after="0" w:before="0"/>
        <w:jc w:val="both"/>
      </w:pPr>
      <w:r>
        <w:rPr>
          <w:rFonts w:ascii="Arial" w:hAnsi="Arial" w:cs="Arial"/>
          <w:b w:val="0"/>
          <w:i w:val="0"/>
          <w:color w:val="00B050"/>
          <w:sz w:val="27"/>
        </w:rPr>
        <w:t>GRATUIDADE DE JUSTIÇA. MENOR IMPÚBERE.</w:t>
      </w:r>
    </w:p>
    <w:p>
      <w:pPr>
        <w:spacing w:line="360" w:lineRule="auto" w:after="0" w:before="0"/>
        <w:jc w:val="both"/>
      </w:pPr>
      <w:r>
        <w:rPr>
          <w:rFonts w:ascii="Arial" w:hAnsi="Arial" w:cs="Arial"/>
          <w:b w:val="0"/>
          <w:i w:val="0"/>
          <w:color w:val="00B050"/>
          <w:sz w:val="27"/>
        </w:rPr>
        <w:t>HIPOSSUFICIÊNCIA ECONÔMICA PRESUMIDA.</w:t>
      </w:r>
    </w:p>
    <w:p>
      <w:pPr>
        <w:spacing w:line="360" w:lineRule="auto" w:after="0" w:before="0"/>
        <w:jc w:val="both"/>
      </w:pPr>
      <w:r>
        <w:rPr>
          <w:rFonts w:ascii="Arial" w:hAnsi="Arial" w:cs="Arial"/>
          <w:b w:val="0"/>
          <w:i w:val="0"/>
          <w:color w:val="00B050"/>
          <w:sz w:val="27"/>
        </w:rPr>
        <w:t>NATUREZA PERSONALÍSSIMA DO BENEFÍCIO.</w:t>
      </w:r>
    </w:p>
    <w:p>
      <w:pPr>
        <w:spacing w:line="360" w:lineRule="auto" w:after="0" w:before="0"/>
        <w:jc w:val="both"/>
      </w:pPr>
      <w:r>
        <w:rPr>
          <w:rFonts w:ascii="Arial" w:hAnsi="Arial" w:cs="Arial"/>
          <w:b w:val="0"/>
          <w:i w:val="0"/>
          <w:color w:val="00B050"/>
          <w:sz w:val="27"/>
        </w:rPr>
        <w:t>CONCESSÃO.</w:t>
      </w:r>
    </w:p>
    <w:p>
      <w:pPr>
        <w:spacing w:line="360" w:lineRule="auto" w:after="0" w:before="0"/>
        <w:jc w:val="both"/>
      </w:pPr>
      <w:r>
        <w:rPr>
          <w:rFonts w:ascii="Arial" w:hAnsi="Arial" w:cs="Arial"/>
          <w:b w:val="0"/>
          <w:i w:val="0"/>
          <w:color w:val="00B050"/>
          <w:sz w:val="27"/>
        </w:rPr>
        <w:t>1. No julgamento do Recurso Especial n. 1.807.216/SP, de relatoria da e. Min. Nancy Andrighi, estabeleceu-se que a incapacidade econômica do menor é presumida e personalíssima, bem como a impossibilidade de se examinar o cabimento do benefício com base na situação econômica do representante legal do menor, uma vez que não se confundem.</w:t>
      </w:r>
    </w:p>
    <w:p>
      <w:pPr>
        <w:spacing w:line="360" w:lineRule="auto" w:after="0" w:before="0"/>
        <w:jc w:val="both"/>
      </w:pPr>
      <w:r>
        <w:rPr>
          <w:rFonts w:ascii="Arial" w:hAnsi="Arial" w:cs="Arial"/>
          <w:b w:val="0"/>
          <w:i w:val="0"/>
          <w:color w:val="00B050"/>
          <w:sz w:val="27"/>
        </w:rPr>
        <w:t>2. Na hipótese, a agravante possui dois anos de idade, ensejando a presunção de não produzir qualquer renda que permita arcar com as despesas processuais.</w:t>
      </w:r>
    </w:p>
    <w:p>
      <w:pPr>
        <w:spacing w:line="360" w:lineRule="auto" w:after="0" w:before="0"/>
        <w:jc w:val="both"/>
      </w:pPr>
      <w:r>
        <w:rPr>
          <w:rFonts w:ascii="Arial" w:hAnsi="Arial" w:cs="Arial"/>
          <w:b w:val="0"/>
          <w:i w:val="0"/>
          <w:color w:val="00B050"/>
          <w:sz w:val="27"/>
        </w:rPr>
        <w:t>3. Recurso conhecido e provido.</w:t>
      </w:r>
    </w:p>
    <w:p>
      <w:pPr>
        <w:spacing w:line="360" w:lineRule="auto" w:after="0" w:before="0"/>
        <w:jc w:val="both"/>
      </w:pPr>
      <w:r>
        <w:rPr>
          <w:rFonts w:ascii="Arial" w:hAnsi="Arial" w:cs="Arial"/>
          <w:b w:val="0"/>
          <w:i w:val="0"/>
          <w:color w:val="00B050"/>
          <w:sz w:val="27"/>
        </w:rPr>
        <w:t>(Acórdão 1976420, 0748407-87.2024.8.07.0000, Relator(a):</w:t>
      </w:r>
    </w:p>
    <w:p>
      <w:pPr>
        <w:spacing w:line="360" w:lineRule="auto" w:after="0" w:before="0"/>
        <w:jc w:val="both"/>
      </w:pPr>
      <w:r>
        <w:rPr>
          <w:rFonts w:ascii="Arial" w:hAnsi="Arial" w:cs="Arial"/>
          <w:b w:val="0"/>
          <w:i w:val="0"/>
          <w:color w:val="00B050"/>
          <w:sz w:val="27"/>
        </w:rPr>
        <w:t>SONÍRIA ROCHA CAMPOS D'ASSUNÇÃO, 6ª TURMA CÍVEL, data de julgamento: 26/02/2025, publicado no DJe:</w:t>
      </w:r>
    </w:p>
    <w:p>
      <w:pPr>
        <w:spacing w:line="360" w:lineRule="auto" w:after="0" w:before="0"/>
        <w:jc w:val="both"/>
      </w:pPr>
      <w:r>
        <w:rPr>
          <w:rFonts w:ascii="Arial" w:hAnsi="Arial" w:cs="Arial"/>
          <w:b w:val="0"/>
          <w:i w:val="0"/>
          <w:color w:val="00B050"/>
          <w:sz w:val="27"/>
        </w:rPr>
        <w:t>01/04/2025.) [grifos nossos] (...)”</w:t>
      </w:r>
    </w:p>
    <w:p>
      <w:pPr>
        <w:spacing w:line="360" w:lineRule="auto" w:after="0" w:before="0"/>
        <w:jc w:val="both"/>
      </w:pPr>
      <w:r>
        <w:rPr>
          <w:rFonts w:ascii="Arial" w:hAnsi="Arial" w:cs="Arial"/>
          <w:b w:val="0"/>
          <w:i w:val="0"/>
          <w:color w:val="00B050"/>
          <w:sz w:val="27"/>
        </w:rPr>
        <w:t>Nesse contexto, ausentes elementos aptos a afastar a presunção de hipossuficiência da criança, mantém-se o benefício da gratuidade de justiça.</w:t>
      </w:r>
    </w:p>
    <w:p>
      <w:pPr>
        <w:spacing w:line="360" w:lineRule="auto" w:after="0" w:before="0"/>
        <w:jc w:val="both"/>
      </w:pPr>
      <w:r>
        <w:rPr>
          <w:rFonts w:ascii="Arial" w:hAnsi="Arial" w:cs="Arial"/>
          <w:b w:val="0"/>
          <w:i w:val="0"/>
          <w:color w:val="00B050"/>
          <w:sz w:val="27"/>
        </w:rPr>
        <w:t>Assim, nego provimento ao apelo nesse ponto.</w:t>
      </w:r>
    </w:p>
    <w:p>
      <w:pPr>
        <w:spacing w:line="360" w:lineRule="auto" w:after="0" w:before="0"/>
        <w:jc w:val="both"/>
      </w:pPr>
      <w:r>
        <w:rPr>
          <w:rFonts w:ascii="Arial" w:hAnsi="Arial" w:cs="Arial"/>
          <w:b w:val="0"/>
          <w:i w:val="0"/>
          <w:color w:val="00B050"/>
          <w:sz w:val="27"/>
        </w:rPr>
        <w:t>DA NÃO CONFIGURAÇÃO DE REDUÇÃO DOS ALIMENTOS O apelante, G. R. D. S., alega, em síntese, que: 1) a sentença incorreu em erro material ao considerar a renda bruta do alimentante mediante inclusão de verbas extraordinárias (horas extras), desconsiderando seu caráter eventual e indevido para base de cálculo de alimentos, em desacordo com a jurisprudência do TJDFT; 2) o valor fixado a título de alimentos desrespeita o binômio necessidade/possibilidade e a proporcionalidade (art. 1.694, §1º, do CC), pois eleva a obrigação para patamar equivalente a cerca de 40% da renda líquida do apelante, sem demonstração de aumento das necessidades do menor e ignorando a existência de outro filho, as despesas do alimentante e o padrão econômico da genitora, que possuiria renda superior à declarada, além de incluir indevidamentedespesas que poderiam ser cobertas por plano de saúde já custeado; 3) sustenta, ainda, que não houve efetiva comprovação de aumento das necessidades do menor, sendo a majoração baseada em planilhas inconsistentes e em despesas artificialmente infladas.</w:t>
      </w:r>
    </w:p>
    <w:p>
      <w:pPr>
        <w:spacing w:line="360" w:lineRule="auto" w:after="0" w:before="0"/>
        <w:jc w:val="both"/>
      </w:pPr>
      <w:r>
        <w:rPr>
          <w:rFonts w:ascii="Arial" w:hAnsi="Arial" w:cs="Arial"/>
          <w:b w:val="0"/>
          <w:i w:val="0"/>
          <w:color w:val="00B050"/>
          <w:sz w:val="27"/>
        </w:rPr>
        <w:t>Requer a reforma da r. sentença para redução dos alimentos para 15% dos rendimentos líquidos ou a incidência do percentual fixado apenas sobre verbas de natureza permanente.</w:t>
      </w:r>
    </w:p>
    <w:p>
      <w:pPr>
        <w:spacing w:line="360" w:lineRule="auto" w:after="0" w:before="0"/>
        <w:jc w:val="both"/>
      </w:pPr>
      <w:r>
        <w:rPr>
          <w:rFonts w:ascii="Arial" w:hAnsi="Arial" w:cs="Arial"/>
          <w:b w:val="0"/>
          <w:i w:val="0"/>
          <w:color w:val="00B050"/>
          <w:sz w:val="27"/>
        </w:rPr>
        <w:t>Sem razão o apelante.</w:t>
      </w:r>
    </w:p>
    <w:p>
      <w:pPr>
        <w:spacing w:line="360" w:lineRule="auto" w:after="0" w:before="0"/>
        <w:jc w:val="both"/>
      </w:pPr>
      <w:r>
        <w:rPr>
          <w:rFonts w:ascii="Arial" w:hAnsi="Arial" w:cs="Arial"/>
          <w:b w:val="0"/>
          <w:i w:val="0"/>
          <w:color w:val="00B050"/>
          <w:sz w:val="27"/>
        </w:rPr>
        <w:t>Neste ponto, peço vênia para adotar os fundamentos da r.</w:t>
      </w:r>
    </w:p>
    <w:p>
      <w:pPr>
        <w:spacing w:line="360" w:lineRule="auto" w:after="0" w:before="0"/>
        <w:jc w:val="both"/>
      </w:pPr>
      <w:r>
        <w:rPr>
          <w:rFonts w:ascii="Arial" w:hAnsi="Arial" w:cs="Arial"/>
          <w:b w:val="0"/>
          <w:i w:val="0"/>
          <w:color w:val="00B050"/>
          <w:sz w:val="27"/>
        </w:rPr>
        <w:t>sentença, que bem examinaram o binômio necessidade-possibilidade (ID 81255239):</w:t>
      </w:r>
    </w:p>
    <w:p>
      <w:pPr>
        <w:spacing w:line="360" w:lineRule="auto" w:after="0" w:before="0"/>
        <w:jc w:val="both"/>
      </w:pPr>
      <w:r>
        <w:rPr>
          <w:rFonts w:ascii="Arial" w:hAnsi="Arial" w:cs="Arial"/>
          <w:b w:val="0"/>
          <w:i w:val="0"/>
          <w:color w:val="00B050"/>
          <w:sz w:val="27"/>
        </w:rPr>
        <w:t>“(...) A obrigação do requerido decorre do dever de sustento imposto aos pais em relação aos filhos menores, uma vez que estes não podem provê-los por si, conforme dispõe o art. 229 da Constituição Federal.</w:t>
      </w:r>
    </w:p>
    <w:p>
      <w:pPr>
        <w:spacing w:line="360" w:lineRule="auto" w:after="0" w:before="0"/>
        <w:jc w:val="both"/>
      </w:pPr>
      <w:r>
        <w:rPr>
          <w:rFonts w:ascii="Arial" w:hAnsi="Arial" w:cs="Arial"/>
          <w:b w:val="0"/>
          <w:i w:val="0"/>
          <w:color w:val="00B050"/>
          <w:sz w:val="27"/>
        </w:rPr>
        <w:t>No que tange ao valor da obrigação alimentícia, embora o legislador não tenha elegido um percentual ou uma verba específica, estabeleceu critérios para sua fixação. A questão a ser decidida referese apenas ao valor dos alimentos, o que deve levar em consideração o binômio necessidade possibilidade.</w:t>
      </w:r>
    </w:p>
    <w:p>
      <w:pPr>
        <w:spacing w:line="360" w:lineRule="auto" w:after="0" w:before="0"/>
        <w:jc w:val="both"/>
      </w:pPr>
      <w:r>
        <w:rPr>
          <w:rFonts w:ascii="Arial" w:hAnsi="Arial" w:cs="Arial"/>
          <w:b w:val="0"/>
          <w:i w:val="0"/>
          <w:color w:val="00B050"/>
          <w:sz w:val="27"/>
        </w:rPr>
        <w:t>Considerando que o autor é menor de idade, é premente a necessidade dos alimentos.</w:t>
      </w:r>
    </w:p>
    <w:p>
      <w:pPr>
        <w:spacing w:line="360" w:lineRule="auto" w:after="0" w:before="0"/>
        <w:jc w:val="both"/>
      </w:pPr>
      <w:r>
        <w:rPr>
          <w:rFonts w:ascii="Arial" w:hAnsi="Arial" w:cs="Arial"/>
          <w:b w:val="0"/>
          <w:i w:val="0"/>
          <w:color w:val="00B050"/>
          <w:sz w:val="27"/>
        </w:rPr>
        <w:t>Nesse sentido, determina o art. 1.694, §1º do CCB, seja observada a proporcionalidade entre a necessidade do alimentando e os recursos econômico-financeiros do alimentante. Cabe ao julgador, em cada caso concreto, ponderar esses dois fatores, de forma que não haja o comprometimento da subsistência deste último e nem ocorra extrapolação dos limites de endividamento daquele.</w:t>
      </w:r>
    </w:p>
    <w:p>
      <w:pPr>
        <w:spacing w:line="360" w:lineRule="auto" w:after="0" w:before="0"/>
        <w:jc w:val="both"/>
      </w:pPr>
      <w:r>
        <w:rPr>
          <w:rFonts w:ascii="Arial" w:hAnsi="Arial" w:cs="Arial"/>
          <w:b w:val="0"/>
          <w:i w:val="0"/>
          <w:color w:val="00B050"/>
          <w:sz w:val="27"/>
        </w:rPr>
        <w:t>Por se tratar de pedido de revisão, o pretenso direito invocado pelo autor estaria, em tese, adstrito ao comando legal do art. 1.699 do CC, assim grafado: Se, fixados os alimentos, sobrevier mudança na situação financeira de quem os supre, ou na de quem os recebe, poderá o interessado reclamar ao juiz, conforme as circunstâncias, exoneração, redução ou majoração do encargo.</w:t>
      </w:r>
    </w:p>
    <w:p>
      <w:pPr>
        <w:spacing w:line="360" w:lineRule="auto" w:after="0" w:before="0"/>
        <w:jc w:val="both"/>
      </w:pPr>
      <w:r>
        <w:rPr>
          <w:rFonts w:ascii="Arial" w:hAnsi="Arial" w:cs="Arial"/>
          <w:b w:val="0"/>
          <w:i w:val="0"/>
          <w:color w:val="00B050"/>
          <w:sz w:val="27"/>
        </w:rPr>
        <w:t>Nesse diapasão, de acordo com a norma, somente haverá aumento do encargo se houver comprovação da melhoria na situação econômica do alimentante ou se houver prova do aumento das necessidades do alimentando.</w:t>
      </w:r>
    </w:p>
    <w:p>
      <w:pPr>
        <w:spacing w:line="360" w:lineRule="auto" w:after="0" w:before="0"/>
        <w:jc w:val="both"/>
      </w:pPr>
      <w:r>
        <w:rPr>
          <w:rFonts w:ascii="Arial" w:hAnsi="Arial" w:cs="Arial"/>
          <w:b w:val="0"/>
          <w:i w:val="0"/>
          <w:color w:val="00B050"/>
          <w:sz w:val="27"/>
        </w:rPr>
        <w:t>No caso concreto, restou comprovado o incremento das necessidades do alimentando, tanto pelo avanço da idade escolar quanto pelo diagnóstico de TDAH e TOD (ID 237242449), que demanda tratamento contínuo, consultas médicas e uso regular de medicamentos. Ademais, há registros de que o acordo original sobre rateio de despesas não vem sendo cumprido, gerando conflitos que inviabilizam a efetividade da obrigação.</w:t>
      </w:r>
    </w:p>
    <w:p>
      <w:pPr>
        <w:spacing w:line="360" w:lineRule="auto" w:after="0" w:before="0"/>
        <w:jc w:val="both"/>
      </w:pPr>
      <w:r>
        <w:rPr>
          <w:rFonts w:ascii="Arial" w:hAnsi="Arial" w:cs="Arial"/>
          <w:b w:val="0"/>
          <w:i w:val="0"/>
          <w:color w:val="00B050"/>
          <w:sz w:val="27"/>
        </w:rPr>
        <w:t>De outro lado, verifica-se que o requerido possui vínculo formal como policial militar, com rendimentos médios brutos no patamar de R$ 13.450,30 (ID 247286466), o que demonstra capacidade contributiva compatível com a majoração requerida. O fato de possuir outro filho menor (ID 234080747) é considerado, mas não afasta a necessidade de garantir a manutenção do padrão de vida do autor.</w:t>
      </w:r>
    </w:p>
    <w:p>
      <w:pPr>
        <w:spacing w:line="360" w:lineRule="auto" w:after="0" w:before="0"/>
        <w:jc w:val="both"/>
      </w:pPr>
      <w:r>
        <w:rPr>
          <w:rFonts w:ascii="Arial" w:hAnsi="Arial" w:cs="Arial"/>
          <w:b w:val="0"/>
          <w:i w:val="0"/>
          <w:color w:val="00B050"/>
          <w:sz w:val="27"/>
        </w:rPr>
        <w:t>Dessa feita, considerando, ainda, o dever recíproco dos genitores, entende-se que o percentual de 22% dos rendimentos brutos do alimentante é suficiente para arcar com as despesas essenciais do menor, especialmente pelo fato de o requerido ter outro filho e, ainda, ter os custos de deslocamento para conviver com o autor. (...) “ Nesse contexto, comprovados o aumento das necessidades do alimentando e a capacidade contributiva do alimentante, mantém-se o percentual fixado na r. sentença de 22% dos rendimentos brutos do apelante, abatidos apenas os descontos compulsórios (IR e INSS) e incidente, inclusive sobre 13º salário e férias.</w:t>
      </w:r>
    </w:p>
    <w:p>
      <w:pPr>
        <w:spacing w:line="360" w:lineRule="auto" w:after="0" w:before="0"/>
        <w:jc w:val="both"/>
      </w:pPr>
      <w:r>
        <w:rPr>
          <w:rFonts w:ascii="Arial" w:hAnsi="Arial" w:cs="Arial"/>
          <w:b w:val="0"/>
          <w:i w:val="0"/>
          <w:color w:val="00B050"/>
          <w:sz w:val="27"/>
        </w:rPr>
        <w:t>Assim, nego provimento ao apelo neste ponto.</w:t>
      </w:r>
    </w:p>
    <w:p>
      <w:pPr>
        <w:spacing w:line="360" w:lineRule="auto" w:after="0" w:before="0"/>
        <w:jc w:val="both"/>
      </w:pPr>
      <w:r>
        <w:rPr>
          <w:rFonts w:ascii="Arial" w:hAnsi="Arial" w:cs="Arial"/>
          <w:b w:val="0"/>
          <w:i w:val="0"/>
          <w:color w:val="00B050"/>
          <w:sz w:val="27"/>
        </w:rPr>
        <w:t>DO NÃO CABIMENTO DA ALTERAÇÃO DA BASE DE CÁLCULO O apelante, G. R. D. S., alega, em síntese, que os alimentos não devem incidir sobre verbas variáveis, como horas extras.</w:t>
      </w:r>
    </w:p>
    <w:p>
      <w:pPr>
        <w:spacing w:line="360" w:lineRule="auto" w:after="0" w:before="0"/>
        <w:jc w:val="both"/>
      </w:pPr>
      <w:r>
        <w:rPr>
          <w:rFonts w:ascii="Arial" w:hAnsi="Arial" w:cs="Arial"/>
          <w:b w:val="0"/>
          <w:i w:val="0"/>
          <w:color w:val="00B050"/>
          <w:sz w:val="27"/>
        </w:rPr>
        <w:t>Sem razão.</w:t>
      </w:r>
    </w:p>
    <w:p>
      <w:pPr>
        <w:spacing w:line="360" w:lineRule="auto" w:after="0" w:before="0"/>
        <w:jc w:val="both"/>
      </w:pPr>
      <w:r>
        <w:rPr>
          <w:rFonts w:ascii="Arial" w:hAnsi="Arial" w:cs="Arial"/>
          <w:b w:val="0"/>
          <w:i w:val="0"/>
          <w:color w:val="00B050"/>
          <w:sz w:val="27"/>
        </w:rPr>
        <w:t>Adoto, no ponto, os fundamentos da r. sentença (ID 81255239), que bem examinou a controvérsia:</w:t>
      </w:r>
    </w:p>
    <w:p>
      <w:pPr>
        <w:spacing w:line="360" w:lineRule="auto" w:after="0" w:before="0"/>
        <w:jc w:val="both"/>
      </w:pPr>
      <w:r>
        <w:rPr>
          <w:rFonts w:ascii="Arial" w:hAnsi="Arial" w:cs="Arial"/>
          <w:b w:val="0"/>
          <w:i w:val="0"/>
          <w:color w:val="00B050"/>
          <w:sz w:val="27"/>
        </w:rPr>
        <w:t>“(...) Da base de cálculo da verba alimentar No que diz respeito à base de cálculo da verba alimentar, a jurisprudência é pacífica no sentido de que a pensão deve incidir sobre os rendimentos brutos do alimentante, abatidos os descontos compulsórios, a fim de preservar a proporcionalidade da obrigação.</w:t>
      </w:r>
    </w:p>
    <w:p>
      <w:pPr>
        <w:spacing w:line="360" w:lineRule="auto" w:after="0" w:before="0"/>
        <w:jc w:val="both"/>
      </w:pPr>
      <w:r>
        <w:rPr>
          <w:rFonts w:ascii="Arial" w:hAnsi="Arial" w:cs="Arial"/>
          <w:b w:val="0"/>
          <w:i w:val="0"/>
          <w:color w:val="00B050"/>
          <w:sz w:val="27"/>
        </w:rPr>
        <w:t>Além disso, as verbas eventuais que ostentam natureza remuneratória, por recompensarem serviço efetivamente prestado e implicarem acréscimo patrimonial, devem integrar a base de cálculo da pensão.</w:t>
      </w:r>
    </w:p>
    <w:p>
      <w:pPr>
        <w:spacing w:line="360" w:lineRule="auto" w:after="0" w:before="0"/>
        <w:jc w:val="both"/>
      </w:pPr>
      <w:r>
        <w:rPr>
          <w:rFonts w:ascii="Arial" w:hAnsi="Arial" w:cs="Arial"/>
          <w:b w:val="0"/>
          <w:i w:val="0"/>
          <w:color w:val="00B050"/>
          <w:sz w:val="27"/>
        </w:rPr>
        <w:t>Nesse sentido, destacam-se os seguintes julgados:</w:t>
      </w:r>
    </w:p>
    <w:p>
      <w:pPr>
        <w:spacing w:line="360" w:lineRule="auto" w:after="0" w:before="0"/>
        <w:jc w:val="both"/>
      </w:pPr>
      <w:r>
        <w:rPr>
          <w:rFonts w:ascii="Arial" w:hAnsi="Arial" w:cs="Arial"/>
          <w:b w:val="0"/>
          <w:i w:val="0"/>
          <w:color w:val="00B050"/>
          <w:sz w:val="27"/>
        </w:rPr>
        <w:t>EMBARGOS DE DECLARAÇÃO. APELAÇÃO CÍVEL. (...)</w:t>
      </w:r>
    </w:p>
    <w:p>
      <w:pPr>
        <w:spacing w:line="360" w:lineRule="auto" w:after="0" w:before="0"/>
        <w:jc w:val="both"/>
      </w:pPr>
      <w:r>
        <w:rPr>
          <w:rFonts w:ascii="Arial" w:hAnsi="Arial" w:cs="Arial"/>
          <w:b w:val="0"/>
          <w:i w:val="0"/>
          <w:color w:val="00B050"/>
          <w:sz w:val="27"/>
        </w:rPr>
        <w:t>ALIMENTOS. BASE DE CÁLCULO.</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3. As verbas eventuais que ostentam natureza eminentemente remuneratória, por recompensarem serviço efetivamente prestado e importarem acréscimo patrimonial, integram a base de cálculo da obrigação alimentar.</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(Acórdão 2083610, 0703210-04.2023.8.07.0014, Rel.</w:t>
      </w:r>
    </w:p>
    <w:p>
      <w:pPr>
        <w:spacing w:line="360" w:lineRule="auto" w:after="0" w:before="0"/>
        <w:jc w:val="both"/>
      </w:pPr>
      <w:r>
        <w:rPr>
          <w:rFonts w:ascii="Arial" w:hAnsi="Arial" w:cs="Arial"/>
          <w:b w:val="0"/>
          <w:i w:val="0"/>
          <w:color w:val="00B050"/>
          <w:sz w:val="27"/>
        </w:rPr>
        <w:t>Lucimeire Maria da Silva, 5ª Turma Cível, j. 04/02/2026, DJe 19/02/2026.)</w:t>
      </w:r>
    </w:p>
    <w:p>
      <w:pPr>
        <w:spacing w:line="360" w:lineRule="auto" w:after="0" w:before="0"/>
        <w:jc w:val="both"/>
      </w:pPr>
      <w:r>
        <w:rPr>
          <w:rFonts w:ascii="Arial" w:hAnsi="Arial" w:cs="Arial"/>
          <w:b w:val="0"/>
          <w:i w:val="0"/>
          <w:color w:val="00B050"/>
          <w:sz w:val="27"/>
        </w:rPr>
        <w:t>DIREITO CIVIL. APELAÇÃO CÍVEL. AÇÃO DE ALIMENTOS. (...) BASE DE CÁLCULO.</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11. A base de cálculo da pensão deve incidir sobre verbas habituais, como salário, 13º, férias, auxílio-alimentação e auxílio-moradia, excluindo-se verbas de natureza indenizatória e transitória.</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(Acórdão 2076217, 0704389-63.2024.8.07.0005, Rel. Carlos Alberto Martins Filho, 1ª Turma Cível, j. 03/12/2025, DJe 15/01/2026.) (...)” (Grifos no original).</w:t>
      </w:r>
    </w:p>
    <w:p>
      <w:pPr>
        <w:spacing w:line="360" w:lineRule="auto" w:after="0" w:before="0"/>
        <w:jc w:val="both"/>
      </w:pPr>
      <w:r>
        <w:rPr>
          <w:rFonts w:ascii="Arial" w:hAnsi="Arial" w:cs="Arial"/>
          <w:b w:val="0"/>
          <w:i w:val="0"/>
          <w:color w:val="00B050"/>
          <w:sz w:val="27"/>
        </w:rPr>
        <w:t>Assim, inexistindo ilegalidade na incidência da pensão sobre verbas de natureza remuneratória, ainda que variáveis, mantém-se a sentença.</w:t>
      </w:r>
    </w:p>
    <w:p>
      <w:pPr>
        <w:spacing w:line="360" w:lineRule="auto" w:after="0" w:before="0"/>
        <w:jc w:val="both"/>
      </w:pPr>
      <w:r>
        <w:rPr>
          <w:rFonts w:ascii="Arial" w:hAnsi="Arial" w:cs="Arial"/>
          <w:b w:val="0"/>
          <w:i w:val="0"/>
          <w:color w:val="00B050"/>
          <w:sz w:val="27"/>
        </w:rPr>
        <w:t>DA NÃO CONFIGURAÇÃO DE LITIGÂNCIA DE MÁ-FÉ O apelante, G. R. D. S., alega, em síntese que há indícios de litigância de má-fé (art. 80, II e V, do CPC), uma vez que a genitora teria omitido ou alterado a verdade quanto à sua renda, evidenciada por faturas de cartão de crédito e padrão de consumo incompatíveis com os rendimentos informados.</w:t>
      </w:r>
    </w:p>
    <w:p>
      <w:pPr>
        <w:spacing w:line="360" w:lineRule="auto" w:after="0" w:before="0"/>
        <w:jc w:val="both"/>
      </w:pPr>
      <w:r>
        <w:rPr>
          <w:rFonts w:ascii="Arial" w:hAnsi="Arial" w:cs="Arial"/>
          <w:b w:val="0"/>
          <w:i w:val="0"/>
          <w:color w:val="00B050"/>
          <w:sz w:val="27"/>
        </w:rPr>
        <w:t>Requer a condenação do apelado por litigância de má-fé.</w:t>
      </w:r>
    </w:p>
    <w:p>
      <w:pPr>
        <w:spacing w:line="360" w:lineRule="auto" w:after="0" w:before="0"/>
        <w:jc w:val="both"/>
      </w:pPr>
      <w:r>
        <w:rPr>
          <w:rFonts w:ascii="Arial" w:hAnsi="Arial" w:cs="Arial"/>
          <w:b w:val="0"/>
          <w:i w:val="0"/>
          <w:color w:val="00B050"/>
          <w:sz w:val="27"/>
        </w:rPr>
        <w:t>Sem razão.</w:t>
      </w:r>
    </w:p>
    <w:p>
      <w:pPr>
        <w:spacing w:line="360" w:lineRule="auto" w:after="0" w:before="0"/>
        <w:jc w:val="both"/>
      </w:pPr>
      <w:r>
        <w:rPr>
          <w:rFonts w:ascii="Arial" w:hAnsi="Arial" w:cs="Arial"/>
          <w:b w:val="0"/>
          <w:i w:val="0"/>
          <w:color w:val="00B050"/>
          <w:sz w:val="27"/>
        </w:rPr>
        <w:t>Nos termos dos incisos II e V do art. 80 do CPC:</w:t>
      </w:r>
    </w:p>
    <w:p>
      <w:pPr>
        <w:spacing w:line="360" w:lineRule="auto" w:after="0" w:before="0"/>
        <w:jc w:val="both"/>
      </w:pPr>
      <w:r>
        <w:rPr>
          <w:rFonts w:ascii="Arial" w:hAnsi="Arial" w:cs="Arial"/>
          <w:b w:val="0"/>
          <w:i w:val="0"/>
          <w:color w:val="00B050"/>
          <w:sz w:val="27"/>
        </w:rPr>
        <w:t>“Art. 80. Considera-se litigante de má-fé aquele que:</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II - alterar a verdade dos fatos;</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V - proceder de modo temerário em qualquer incidente ou ato do processo;</w:t>
      </w:r>
    </w:p>
    <w:p>
      <w:pPr>
        <w:spacing w:line="360" w:lineRule="auto" w:after="0" w:before="0"/>
        <w:jc w:val="both"/>
      </w:pPr>
      <w:r>
        <w:rPr>
          <w:rFonts w:ascii="Arial" w:hAnsi="Arial" w:cs="Arial"/>
          <w:b w:val="0"/>
          <w:i w:val="0"/>
          <w:color w:val="00B050"/>
          <w:sz w:val="27"/>
        </w:rPr>
        <w:t>(...)</w:t>
      </w:r>
    </w:p>
    <w:p>
      <w:pPr>
        <w:spacing w:line="360" w:lineRule="auto" w:after="0" w:before="0"/>
        <w:jc w:val="both"/>
      </w:pPr>
      <w:r>
        <w:rPr>
          <w:rFonts w:ascii="Arial" w:hAnsi="Arial" w:cs="Arial"/>
          <w:b w:val="0"/>
          <w:i w:val="0"/>
          <w:color w:val="00B050"/>
          <w:sz w:val="27"/>
        </w:rPr>
        <w:t>Neste ponto, peço vênia para adotar, como razões de decidir, os fundamentos da r. sentença (ID 81255239):</w:t>
      </w:r>
    </w:p>
    <w:p>
      <w:pPr>
        <w:spacing w:line="360" w:lineRule="auto" w:after="0" w:before="0"/>
        <w:jc w:val="both"/>
      </w:pPr>
      <w:r>
        <w:rPr>
          <w:rFonts w:ascii="Arial" w:hAnsi="Arial" w:cs="Arial"/>
          <w:b w:val="0"/>
          <w:i w:val="0"/>
          <w:color w:val="00B050"/>
          <w:sz w:val="27"/>
        </w:rPr>
        <w:t>“(...) Requerida a aplicação de penalidade por litigância de má-fé ao autor, INDEFIRO o pedido, pois não há nos autos elementos que evidenciem dolo processual, alteração intencional da verdade dos fatos ou comportamento temerário, nos termos do art. 80 do CPC. (...)”</w:t>
      </w:r>
    </w:p>
    <w:p>
      <w:pPr>
        <w:spacing w:line="360" w:lineRule="auto" w:after="0" w:before="0"/>
        <w:jc w:val="both"/>
      </w:pPr>
      <w:r>
        <w:rPr>
          <w:rFonts w:ascii="Arial" w:hAnsi="Arial" w:cs="Arial"/>
          <w:b w:val="0"/>
          <w:i w:val="0"/>
          <w:color w:val="00B050"/>
          <w:sz w:val="27"/>
        </w:rPr>
        <w:t>No mesmo sentido, este E. TJDFT:</w:t>
      </w:r>
    </w:p>
    <w:p>
      <w:pPr>
        <w:spacing w:line="360" w:lineRule="auto" w:after="0" w:before="0"/>
        <w:jc w:val="both"/>
      </w:pPr>
      <w:r>
        <w:rPr>
          <w:rFonts w:ascii="Arial" w:hAnsi="Arial" w:cs="Arial"/>
          <w:b w:val="0"/>
          <w:i w:val="0"/>
          <w:color w:val="00B050"/>
          <w:sz w:val="27"/>
        </w:rPr>
        <w:t>“(...) 4. Inaplicável a multa por litigância de má-fé quando ausente prova cabal do dolo.</w:t>
      </w:r>
    </w:p>
    <w:p>
      <w:pPr>
        <w:spacing w:line="360" w:lineRule="auto" w:after="0" w:before="0"/>
        <w:jc w:val="both"/>
      </w:pPr>
      <w:r>
        <w:rPr>
          <w:rFonts w:ascii="Arial" w:hAnsi="Arial" w:cs="Arial"/>
          <w:b w:val="0"/>
          <w:i w:val="0"/>
          <w:color w:val="00B050"/>
          <w:sz w:val="27"/>
        </w:rPr>
        <w:t>5. Recurso não provido.</w:t>
      </w:r>
    </w:p>
    <w:p>
      <w:pPr>
        <w:spacing w:line="360" w:lineRule="auto" w:after="0" w:before="0"/>
        <w:jc w:val="both"/>
      </w:pPr>
      <w:r>
        <w:rPr>
          <w:rFonts w:ascii="Arial" w:hAnsi="Arial" w:cs="Arial"/>
          <w:b w:val="0"/>
          <w:i w:val="0"/>
          <w:color w:val="00B050"/>
          <w:sz w:val="27"/>
        </w:rPr>
        <w:t>(Acórdão 1925346, 0714640-58.2024.8.07.0000, Relator(a): MÁRIO- ZAM BELMIRO, 4ª TURMA CÍVEL, data de julgamento: 19/09/2024, publicado no DJe: 09/10/2024.)</w:t>
      </w:r>
    </w:p>
    <w:p>
      <w:pPr>
        <w:spacing w:line="360" w:lineRule="auto" w:after="0" w:before="0"/>
        <w:jc w:val="both"/>
      </w:pPr>
      <w:r>
        <w:rPr>
          <w:rFonts w:ascii="Arial" w:hAnsi="Arial" w:cs="Arial"/>
          <w:b w:val="0"/>
          <w:i w:val="0"/>
          <w:color w:val="00B050"/>
          <w:sz w:val="27"/>
        </w:rPr>
        <w:t>Assim, diante da ausência de prova de dolo ou conduta temerária, afasta-se a alegação de litigância de má-fé.</w:t>
      </w:r>
    </w:p>
    <w:p>
      <w:pPr>
        <w:spacing w:line="360" w:lineRule="auto" w:after="0" w:before="0"/>
        <w:jc w:val="both"/>
      </w:pPr>
      <w:r>
        <w:rPr>
          <w:rFonts w:ascii="Arial" w:hAnsi="Arial" w:cs="Arial"/>
          <w:b w:val="0"/>
          <w:i w:val="0"/>
          <w:color w:val="00B050"/>
          <w:sz w:val="27"/>
        </w:rPr>
        <w:t>DISPOSITIVO Ante o exposto, rejeito as preliminares de cerceamento de defesa, violação ao contraditório e à paridade de armas e, no mérito, nego provimento ao apelo do réu, G. R. D. S.</w:t>
      </w:r>
    </w:p>
    <w:p>
      <w:pPr>
        <w:spacing w:line="360" w:lineRule="auto" w:after="0" w:before="0"/>
        <w:jc w:val="both"/>
      </w:pPr>
      <w:r>
        <w:rPr>
          <w:rFonts w:ascii="Arial" w:hAnsi="Arial" w:cs="Arial"/>
          <w:b w:val="0"/>
          <w:i w:val="0"/>
          <w:color w:val="00B050"/>
          <w:sz w:val="27"/>
        </w:rPr>
        <w:t>Condeno o réu/apelante ao pagamento de honorários recursais que fixo em R$200,00 (CPC/2015 85 § 11), acrescido da quantia fixada na r. sentença.</w:t>
      </w:r>
    </w:p>
    <w:p>
      <w:pPr>
        <w:spacing w:line="360" w:lineRule="auto" w:after="0" w:before="0"/>
        <w:jc w:val="both"/>
      </w:pPr>
      <w:r>
        <w:rPr>
          <w:rFonts w:ascii="Arial" w:hAnsi="Arial" w:cs="Arial"/>
          <w:b w:val="0"/>
          <w:i w:val="0"/>
          <w:color w:val="00B050"/>
          <w:sz w:val="27"/>
        </w:rPr>
        <w:t>É como voto.</w:t>
      </w:r>
    </w:p>
    <w:p>
      <w:pPr>
        <w:spacing w:line="360" w:lineRule="auto" w:after="0" w:before="0"/>
        <w:jc w:val="both"/>
      </w:pPr>
      <w:r>
        <w:rPr>
          <w:rFonts w:ascii="Arial" w:hAnsi="Arial" w:cs="Arial"/>
          <w:b w:val="0"/>
          <w:i w:val="0"/>
          <w:color w:val="00B050"/>
          <w:sz w:val="27"/>
        </w:rPr>
        <w:t>O Senhor Desembargador ROBERVAL CASEMIRO BELINATI - 1º Vogal Com o(a) relator(a)</w:t>
      </w:r>
    </w:p>
    <w:p>
      <w:pPr>
        <w:spacing w:line="360" w:lineRule="auto" w:after="0" w:before="0"/>
        <w:jc w:val="both"/>
      </w:pPr>
      <w:r>
        <w:rPr>
          <w:rFonts w:ascii="Arial" w:hAnsi="Arial" w:cs="Arial"/>
          <w:b w:val="0"/>
          <w:i w:val="0"/>
          <w:color w:val="00B050"/>
          <w:sz w:val="27"/>
        </w:rPr>
        <w:t>O Senhor Desembargador AISTON HENRIQUE DE SOUSA - 2º Vogal Com o(a) relator(a)</w:t>
      </w:r>
    </w:p>
    <w:p>
      <w:pPr>
        <w:spacing w:line="360" w:lineRule="auto" w:after="0" w:before="0"/>
        <w:jc w:val="both"/>
      </w:pPr>
      <w:r>
        <w:rPr>
          <w:rFonts w:ascii="Arial" w:hAnsi="Arial" w:cs="Arial"/>
          <w:b w:val="0"/>
          <w:i w:val="0"/>
          <w:color w:val="00B050"/>
          <w:sz w:val="27"/>
        </w:rPr>
        <w:t>DECISÃO</w:t>
      </w:r>
    </w:p>
    <w:p>
      <w:pPr>
        <w:spacing w:line="360" w:lineRule="auto" w:after="0" w:before="0"/>
        <w:jc w:val="both"/>
      </w:pPr>
      <w:r>
        <w:rPr>
          <w:rFonts w:ascii="Arial" w:hAnsi="Arial" w:cs="Arial"/>
          <w:b w:val="0"/>
          <w:i w:val="0"/>
          <w:color w:val="00B050"/>
          <w:sz w:val="27"/>
        </w:rPr>
        <w:t>REJEITAR AS PRELIMINARES. NEGAR PROVIMENTO AO RECURSO DO RÉU. UNÂNIME</w:t>
      </w:r>
    </w:p>
    <w:sectPr w:rsidRPr="0079792E" w:rsidR="0079792E">
      <w:headerReference w:type="default" r:id="rId16"/>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nuta GDSXSR" w:initials="MG" w:date="2026-10-29T18:36:38Z">
    <w:p>
      <w:pPr>
        <w:pStyle w:val="CommentText"/>
      </w:pPr>
      <w:r>
        <w:rPr>
          <w:rStyle w:val="CommentReference"/>
        </w:rPr>
        <w:annotationRef/>
      </w:r>
      <w:r>
        <w:t>MINUTA GDSXSR — Processo recebido como embargos de declaração cível (EMD) contra o acórdão 2159907 da apelação; não é AGI. Minuta do zero, resultado NP (nego provimento): o acórdão enfrentou cada ponto alegado (ID 87997264), e a fundamentação por adoção da sentença e do parecer é válida. Modelos consultados: EMD 0711576-76 (cerceamento de defesa), 0709127-26 (gratuidade), 0707086-22 (prequestionamento) e 0719007-88 (versão de Marcos); estrutura e fórmulas: C-3H, C-3I, C-3J, C-3K e perfil EMD. Embargos tempestivos: acórdão publicado em 19/08/2026 (ID 88244465), prazo de cinco dias úteis até 26/08/2026, data da oposição (ID 88639019). Procuradoria pelo desprovimento (ID 89805533), sem menção no relatório por falta de padrão de EMD.</w:t>
      </w:r>
    </w:p>
  </w:comment>
  <w:comment w:id="1" w:author="Minuta GDSXSR" w:initials="MG" w:date="2026-10-29T18:36:38Z">
    <w:p>
      <w:pPr>
        <w:pStyle w:val="CommentText"/>
      </w:pPr>
      <w:r>
        <w:rPr>
          <w:rStyle w:val="CommentReference"/>
        </w:rPr>
        <w:annotationRef/>
      </w:r>
      <w:r>
        <w:t>MINUTA GDSXSR — Partes por qualificação, e não por nome, porque o feito corre em segredo de justiça (C-34A); idade e diagnóstico constam do acórdão embargado e da sentença (ID 87997264 e 81255239).</w:t>
      </w:r>
    </w:p>
  </w:comment>
  <w:comment w:id="2" w:author="Minuta GDSXSR" w:initials="MG" w:date="2026-10-29T18:36:38Z">
    <w:p>
      <w:pPr>
        <w:pStyle w:val="CommentText"/>
      </w:pPr>
      <w:r>
        <w:rPr>
          <w:rStyle w:val="CommentReference"/>
        </w:rPr>
        <w:annotationRef/>
      </w:r>
      <w:r>
        <w:t>MINUTA GDSXSR — Texto literal (C-63): CPC, art. 370: “Art. 370. Caberá ao juiz, de ofício ou a requerimento da parte, determinar as provas necessárias ao julgamento do mérito. Parágrafo único. O juiz indeferirá, em decisão fundamentada, as diligências inúteis ou meramente protelatórias.” CPC, art. 489, § 1º, IV: “§ 1º Não se considera fundamentada qualquer decisão judicial, seja ela interlocutória, sentença ou acórdão, que: (...) IV - não enfrentar todos os argumentos deduzidos no processo capazes de, em tese, infirmar a conclusão adotada pelo julgador;” CPC, art. 1.022: “Art. 1.022. Cabem embargos de declaração contra qualquer decisão judicial para: I - esclarecer obscuridade ou eliminar contradição; II - suprir omissão de ponto ou questão sobre o qual devia se pronunciar o juiz de ofício ou a requerimento; III - corrigir erro material. Parágrafo único. Considera-se omissa a decisão que: I - deixe de se manifestar sobre tese firmada em julgamento de casos repetitivos ou em incidente de assunção de competência aplicável ao caso sob julgamento; II - incorra em qualquer das condutas descritas no art. 489, § 1º.” (fonte: Planalto, Lei 13.105/2015, texto conferido no iajus; o art. 1.025 está transcrito no corpo do voto). Os dispositivos constitucionais e do Código Civil citados nos embargos não são mencionados no voto.</w:t>
      </w:r>
    </w:p>
  </w:comment>
  <w:comment w:id="3" w:author="Minuta GDSXSR" w:initials="MG" w:date="2026-10-29T18:36:38Z">
    <w:p>
      <w:pPr>
        <w:pStyle w:val="CommentText"/>
      </w:pPr>
      <w:r>
        <w:rPr>
          <w:rStyle w:val="CommentReference"/>
        </w:rPr>
        <w:annotationRef/>
      </w:r>
      <w:r>
        <w:t>MINUTA GDSXSR — Pendência (C-52, C-67, C-72): o iajus devolveu a ementa, o processo, o relator e a data de julgamento dos dois acórdãos, mas não o número do acórdão nem o DJe; a página do JurisDF não pôde ser lida pela ferramenta (bloqueio de robôs). Completar número e DJe no JurisDF e conferir a qualificação do relator Fernando Habibe (Des. ou juiz convocado).</w:t>
      </w:r>
    </w:p>
  </w:comment>
  <w:comment w:id="4" w:author="Minuta GDSXSR" w:initials="MG" w:date="2026-10-29T18:36:38Z">
    <w:p>
      <w:pPr>
        <w:pStyle w:val="CommentText"/>
      </w:pPr>
      <w:r>
        <w:rPr>
          <w:rStyle w:val="CommentReference"/>
        </w:rPr>
        <w:annotationRef/>
      </w:r>
      <w:r>
        <w:t>MINUTA GDSXSR — A ementa do acórdão embargado foi transcrita literalmente. Ela traz inconsistências que os embargos não apontam: o item 2 diz que a sentença “julgou procedente” o pedido, quando a sentença o julgou parcialmente procedente (ID 81255239), e o item 4 numera as questões como (i), (ii), (iv) e (v). Não alterei nem corrigi de ofício, porque não afetam o dispositivo.</w:t>
      </w:r>
    </w:p>
  </w:comment>
  <w:comment w:id="5" w:author="Minuta GDSXSR" w:initials="MG" w:date="2026-10-29T18:36:38Z">
    <w:p>
      <w:pPr>
        <w:pStyle w:val="CommentText"/>
      </w:pPr>
      <w:r>
        <w:rPr>
          <w:rStyle w:val="CommentReference"/>
        </w:rPr>
        <w:annotationRef/>
      </w:r>
      <w:r>
        <w:t>MINUTA GDSXSR — O parecer da Procuradoria (ID 89805533) cita, para a validade da fundamentação por referência, o “Acórdão 1615520, 0714832-95.2018.8.07.0001”, atribuído ao Relator (08/09/2022). A busca no iajus pelo número do processo devolveu apelação de erro médico julgada em 02/02/2022, que não trata do tema; por isso não usei a citação. Em seu lugar, usei acórdão recente da 4ª Turma conferido no iajus, de que consta a ementa literal abaixo (C-60, C-67).</w:t>
      </w:r>
    </w:p>
  </w:comment>
</w:comments>
</file>

<file path=word/commentsExtended.xml><?xml version="1.0" encoding="utf-8"?>
<w15:commentsEx xmlns:mc="http://schemas.openxmlformats.org/markup-compatibility/2006" xmlns:w15="http://schemas.microsoft.com/office/word/2012/wordml" mc:Ignorable="w15">
  <w15:commentEx w15:done="0" w15:paraId="53946126"/>
  <w15:commentEx w15:done="0" w15:paraId="1617252E"/>
  <w15:commentEx w15:done="0" w15:paraId="1D8DCDBF" w15:paraIdParent="1617252E"/>
  <w15:commentEx w15:done="0" w15:paraId="6029EBB5" w15:paraIdParent="1617252E"/>
  <w15:commentEx w15:done="0" w15:paraId="79AC0CEC"/>
  <w15:commentEx w15:done="0" w15:paraId="7D5E3CA3"/>
  <w15:commentEx w15:done="0" w15:paraId="09ED36C1"/>
  <w15:commentEx w15:done="0" w15:paraId="664BFDE5"/>
  <w15:commentEx w15:done="0" w15:paraId="76C8CC23"/>
  <w15:commentEx w15:done="0" w15:paraId="0E1AF305" w15:paraIdParent="5394612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E13722" w16cex:dateUtc="2025-01-15T20:45:00Z"/>
  <w16cex:commentExtensible w16cex:durableId="62876044" w16cex:dateUtc="2025-02-13T20:01:00Z"/>
  <w16cex:commentExtensible w16cex:durableId="107D5E84" w16cex:dateUtc="2025-02-16T14:29:00Z"/>
  <w16cex:commentExtensible w16cex:durableId="12372489" w16cex:dateUtc="2025-02-17T22:51:00Z"/>
  <w16cex:commentExtensible w16cex:durableId="598CE646" w16cex:dateUtc="2025-01-15T20:43:00Z"/>
  <w16cex:commentExtensible w16cex:durableId="5212C952" w16cex:dateUtc="2025-02-17T21:31:00Z"/>
  <w16cex:commentExtensible w16cex:durableId="429EEF6A" w16cex:dateUtc="2025-02-17T22:01:00Z"/>
  <w16cex:commentExtensible w16cex:durableId="1BF6874C" w16cex:dateUtc="2025-02-13T18:55:00Z"/>
  <w16cex:commentExtensible w16cex:durableId="52619A33" w16cex:dateUtc="2025-02-17T22:15:00Z"/>
  <w16cex:commentExtensible w16cex:durableId="5040A6A6" w16cex:dateUtc="2025-02-18T01:02:48.802Z"/>
</w16cex:commentsExtensible>
</file>

<file path=word/commentsIds.xml><?xml version="1.0" encoding="utf-8"?>
<w16cid:commentsIds xmlns:mc="http://schemas.openxmlformats.org/markup-compatibility/2006" xmlns:w16cid="http://schemas.microsoft.com/office/word/2016/wordml/cid" mc:Ignorable="w16cid">
  <w16cid:commentId w16cid:paraId="53946126" w16cid:durableId="3FE13722"/>
  <w16cid:commentId w16cid:paraId="1617252E" w16cid:durableId="62876044"/>
  <w16cid:commentId w16cid:paraId="1D8DCDBF" w16cid:durableId="107D5E84"/>
  <w16cid:commentId w16cid:paraId="6029EBB5" w16cid:durableId="12372489"/>
  <w16cid:commentId w16cid:paraId="79AC0CEC" w16cid:durableId="598CE646"/>
  <w16cid:commentId w16cid:paraId="7D5E3CA3" w16cid:durableId="5212C952"/>
  <w16cid:commentId w16cid:paraId="09ED36C1" w16cid:durableId="429EEF6A"/>
  <w16cid:commentId w16cid:paraId="664BFDE5" w16cid:durableId="1BF6874C"/>
  <w16cid:commentId w16cid:paraId="76C8CC23" w16cid:durableId="52619A33"/>
  <w16cid:commentId w16cid:paraId="0E1AF305" w16cid:durableId="5040A6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8AF" w:rsidP="003A42DE" w:rsidRDefault="00B668AF" w14:paraId="6BE09AEB" w14:textId="77777777">
      <w:pPr>
        <w:spacing w:after="0" w:line="240" w:lineRule="auto"/>
      </w:pPr>
      <w:r>
        <w:separator/>
      </w:r>
    </w:p>
  </w:endnote>
  <w:endnote w:type="continuationSeparator" w:id="0">
    <w:p w:rsidR="00B668AF" w:rsidP="003A42DE" w:rsidRDefault="00B668AF" w14:paraId="0B1BA9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8AF" w:rsidP="003A42DE" w:rsidRDefault="00B668AF" w14:paraId="50D828C8" w14:textId="77777777">
      <w:pPr>
        <w:spacing w:after="0" w:line="240" w:lineRule="auto"/>
      </w:pPr>
      <w:r>
        <w:separator/>
      </w:r>
    </w:p>
  </w:footnote>
  <w:footnote w:type="continuationSeparator" w:id="0">
    <w:p w:rsidR="00B668AF" w:rsidP="003A42DE" w:rsidRDefault="00B668AF" w14:paraId="3C41CA0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rsidTr="496E6D5C" w14:paraId="420F8C7D" w14:textId="77777777">
      <w:trPr>
        <w:trHeight w:val="300"/>
      </w:trPr>
      <w:tc>
        <w:tcPr>
          <w:tcW w:w="2830" w:type="dxa"/>
        </w:tcPr>
        <w:p w:rsidR="496E6D5C" w:rsidP="496E6D5C" w:rsidRDefault="496E6D5C" w14:paraId="1741CB4D" w14:textId="2D02B1F1">
          <w:pPr>
            <w:pStyle w:val="Cabealho"/>
            <w:ind w:left="-115"/>
          </w:pPr>
        </w:p>
      </w:tc>
      <w:tc>
        <w:tcPr>
          <w:tcW w:w="2830" w:type="dxa"/>
        </w:tcPr>
        <w:p w:rsidR="496E6D5C" w:rsidP="496E6D5C" w:rsidRDefault="496E6D5C" w14:paraId="61B673DA" w14:textId="389F9BF1">
          <w:pPr>
            <w:pStyle w:val="Cabealho"/>
            <w:jc w:val="center"/>
          </w:pPr>
        </w:p>
      </w:tc>
      <w:tc>
        <w:tcPr>
          <w:tcW w:w="2830" w:type="dxa"/>
        </w:tcPr>
        <w:p w:rsidR="496E6D5C" w:rsidP="496E6D5C" w:rsidRDefault="496E6D5C" w14:paraId="1FA79708" w14:textId="116CB955">
          <w:pPr>
            <w:pStyle w:val="Cabealho"/>
            <w:ind w:right="-115"/>
            <w:jc w:val="right"/>
          </w:pPr>
        </w:p>
      </w:tc>
    </w:tr>
  </w:tbl>
  <w:p w:rsidR="496E6D5C" w:rsidP="496E6D5C" w:rsidRDefault="496E6D5C" w14:paraId="0F073285" w14:textId="259B3A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Des. Sérgio Rocha">
    <w15:presenceInfo w15:providerId="AD" w15:userId="S::m311808@tjdft.jus.br::b71dd344-4755-44dc-9b6a-e9ab916e27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CorpodetextoChar" w:customStyle="1">
    <w:name w:val="Corpo de texto Char"/>
    <w:basedOn w:val="Fontepargpadro"/>
    <w:link w:val="Corpodetexto"/>
    <w:uiPriority w:val="99"/>
    <w:semiHidden/>
    <w:rsid w:val="00854204"/>
    <w:rPr>
      <w:rFonts w:ascii="Times New Roman" w:hAnsi="Times New Roman" w:eastAsia="Times New Roman" w:cs="Times New Roman"/>
      <w:sz w:val="24"/>
      <w:szCs w:val="24"/>
      <w:lang w:eastAsia="pt-BR"/>
    </w:rPr>
  </w:style>
  <w:style w:type="character" w:styleId="dispositivo-publicacao" w:customStyle="1">
    <w:name w:val="dispositivo-publicacao"/>
    <w:basedOn w:val="Fontepargpadro"/>
    <w:rsid w:val="00EE15D3"/>
  </w:style>
  <w:style w:type="paragraph" w:styleId="pf0" w:customStyle="1">
    <w:name w:val="pf0"/>
    <w:basedOn w:val="Normal"/>
    <w:rsid w:val="005A45C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styleId="RecuodecorpodetextoChar" w:customStyle="1">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5FC6"/>
    <w:rsid w:val="0005400A"/>
    <w:rsid w:val="001E000B"/>
    <w:rsid w:val="001E2AC0"/>
    <w:rsid w:val="001F4D6E"/>
    <w:rsid w:val="00320509"/>
    <w:rsid w:val="003770ED"/>
    <w:rsid w:val="00465A25"/>
    <w:rsid w:val="004702F4"/>
    <w:rsid w:val="00543441"/>
    <w:rsid w:val="005A5759"/>
    <w:rsid w:val="006335DA"/>
    <w:rsid w:val="006712ED"/>
    <w:rsid w:val="00685D0A"/>
    <w:rsid w:val="006D4909"/>
    <w:rsid w:val="00730800"/>
    <w:rsid w:val="007445E7"/>
    <w:rsid w:val="0078729F"/>
    <w:rsid w:val="00841FD0"/>
    <w:rsid w:val="00846F33"/>
    <w:rsid w:val="0088673C"/>
    <w:rsid w:val="008C4978"/>
    <w:rsid w:val="008E1EAF"/>
    <w:rsid w:val="00987CDD"/>
    <w:rsid w:val="009C3899"/>
    <w:rsid w:val="009C4A49"/>
    <w:rsid w:val="009C6418"/>
    <w:rsid w:val="00A61281"/>
    <w:rsid w:val="00A8549A"/>
    <w:rsid w:val="00AC65BB"/>
    <w:rsid w:val="00AD39C4"/>
    <w:rsid w:val="00AE4069"/>
    <w:rsid w:val="00BB1667"/>
    <w:rsid w:val="00BC4404"/>
    <w:rsid w:val="00C27C12"/>
    <w:rsid w:val="00C3760B"/>
    <w:rsid w:val="00C41471"/>
    <w:rsid w:val="00C5221D"/>
    <w:rsid w:val="00C86617"/>
    <w:rsid w:val="00C91009"/>
    <w:rsid w:val="00CE570B"/>
    <w:rsid w:val="00D15DFE"/>
    <w:rsid w:val="00DB0BD1"/>
    <w:rsid w:val="00DE5331"/>
    <w:rsid w:val="00E146AD"/>
    <w:rsid w:val="00E424BA"/>
    <w:rsid w:val="00E70F9E"/>
    <w:rsid w:val="00E93A8D"/>
    <w:rsid w:val="00ED129B"/>
    <w:rsid w:val="00F01B71"/>
    <w:rsid w:val="00F4375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3.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GDSXSR</dc:creator>
  <keywords/>
  <dc:description/>
  <lastModifiedBy>Des. Sérgio Rocha</lastModifiedBy>
  <revision>15</revision>
  <dcterms:created xsi:type="dcterms:W3CDTF">2025-02-13T17:24:00.0000000Z</dcterms:created>
  <dcterms:modified xsi:type="dcterms:W3CDTF">2025-02-18T01:02:54.9783908Z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