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commentRangeStart w:id="3"/>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commentRangeEnd w:id="2"/>
            <w:r w:rsidR="0029455C" w:rsidRPr="62C261FF">
              <w:rPr>
                <w:rStyle w:val="Refdecomentrio"/>
                <w:rFonts w:ascii="Calibri" w:hAnsi="Calibri" w:cs="Calibri"/>
                <w:color w:val="595959" w:themeColor="text1" w:themeTint="A6"/>
                <w:sz w:val="20"/>
                <w:szCs w:val="20"/>
              </w:rPr>
              <w:commentReference w:id="2"/>
            </w:r>
            <w:commentRangeEnd w:id="3"/>
            <w:r w:rsidR="00284747">
              <w:rPr>
                <w:rStyle w:val="Refdecomentrio"/>
                <w:rFonts w:ascii="Verdana" w:hAnsi="Verdana"/>
                <w:lang w:val="x-none" w:eastAsia="x-none"/>
              </w:rPr>
              <w:commentReference w:id="3"/>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366AE2"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31E3BCEF" w:rsidR="00770E7F" w:rsidRPr="009F36E1" w:rsidRDefault="00786AC2" w:rsidP="00B34ADF">
            <w:pPr>
              <w:ind w:right="-675"/>
              <w:rPr>
                <w:rFonts w:ascii="Arial" w:hAnsi="Arial" w:cs="Arial"/>
                <w:sz w:val="28"/>
                <w:szCs w:val="28"/>
              </w:rPr>
            </w:pPr>
            <w:r w:rsidRPr="00786AC2">
              <w:rPr>
                <w:rFonts w:ascii="Arial" w:hAnsi="Arial" w:cs="Arial"/>
                <w:sz w:val="28"/>
                <w:szCs w:val="28"/>
              </w:rPr>
              <w:t>0703419-07.2026.8.07.0001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366AE2"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1395CE1E" w:rsidR="00770E7F" w:rsidRPr="009F36E1" w:rsidRDefault="00786AC2" w:rsidP="00B34ADF">
            <w:pPr>
              <w:rPr>
                <w:rFonts w:ascii="Arial" w:hAnsi="Arial" w:cs="Arial"/>
                <w:sz w:val="28"/>
                <w:szCs w:val="28"/>
              </w:rPr>
            </w:pPr>
            <w:r>
              <w:rPr>
                <w:rFonts w:ascii="Arial" w:hAnsi="Arial" w:cs="Arial"/>
                <w:sz w:val="28"/>
                <w:szCs w:val="28"/>
              </w:rPr>
              <w:t>Carlos José Ferreira Dantas</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366AE2"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4B575DAE" w:rsidR="00770E7F" w:rsidRPr="009F36E1" w:rsidRDefault="00786AC2" w:rsidP="00B34ADF">
            <w:pPr>
              <w:ind w:right="-74"/>
              <w:rPr>
                <w:rFonts w:ascii="Arial" w:hAnsi="Arial" w:cs="Arial"/>
                <w:sz w:val="28"/>
                <w:szCs w:val="28"/>
              </w:rPr>
            </w:pPr>
            <w:r>
              <w:rPr>
                <w:rFonts w:ascii="Arial" w:hAnsi="Arial" w:cs="Arial"/>
                <w:sz w:val="28"/>
                <w:szCs w:val="28"/>
              </w:rPr>
              <w:t xml:space="preserve">Assurant Seguradora S.A. e Carrefour </w:t>
            </w:r>
            <w:r w:rsidR="002C68A0">
              <w:rPr>
                <w:rFonts w:ascii="Arial" w:hAnsi="Arial" w:cs="Arial"/>
                <w:sz w:val="28"/>
                <w:szCs w:val="28"/>
              </w:rPr>
              <w:t>Comércio e Indústria Ltda.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06BF179A" w14:textId="76DDB119" w:rsidR="00886ABA" w:rsidRDefault="00886ABA" w:rsidP="00284747">
      <w:pPr>
        <w:spacing w:after="0" w:line="360" w:lineRule="auto"/>
        <w:rPr>
          <w:rFonts w:ascii="Arial" w:hAnsi="Arial" w:cs="Arial"/>
          <w:sz w:val="28"/>
          <w:szCs w:val="28"/>
        </w:rPr>
      </w:pPr>
      <w:commentRangeStart w:id="4"/>
      <w:r w:rsidRPr="45CC8256">
        <w:rPr>
          <w:rFonts w:ascii="Arial" w:hAnsi="Arial" w:cs="Arial"/>
          <w:b/>
          <w:bCs/>
          <w:sz w:val="28"/>
          <w:szCs w:val="28"/>
        </w:rPr>
        <w:t>EMENTA</w:t>
      </w:r>
      <w:commentRangeEnd w:id="4"/>
      <w:r>
        <w:commentReference w:id="4"/>
      </w:r>
    </w:p>
    <w:p w14:paraId="11486012" w14:textId="554AB5EC" w:rsidR="00E30825" w:rsidRPr="00E30825" w:rsidRDefault="007F62B6" w:rsidP="00E30825">
      <w:pPr>
        <w:spacing w:after="0" w:line="360" w:lineRule="auto"/>
        <w:jc w:val="both"/>
        <w:rPr>
          <w:rFonts w:ascii="Arial" w:hAnsi="Arial" w:cs="Arial"/>
          <w:smallCaps/>
          <w:sz w:val="28"/>
          <w:szCs w:val="28"/>
        </w:rPr>
      </w:pPr>
      <w:commentRangeStart w:id="5"/>
      <w:r>
        <w:rPr>
          <w:rFonts w:ascii="Arial" w:hAnsi="Arial" w:cs="Arial"/>
          <w:smallCaps/>
          <w:sz w:val="28"/>
          <w:szCs w:val="28"/>
        </w:rPr>
        <w:t xml:space="preserve">APELAÇÃO CÍVEL. DIREITO DO CONSUMIDOR. SEGURO DE GARANTIA ESTENDIDA. NEGATIVA DE COBERTURA. INVERSÃO DO ÔNUS DA PROVA. DIVERGÊNCIA ENTRE REGISTROS FOTOGRÁFICOS DO BEM SEGURADO. NECESSIDADE DE DILAÇÃO PROBATÓRIA. </w:t>
      </w:r>
      <w:r>
        <w:rPr>
          <w:rFonts w:ascii="Arial" w:hAnsi="Arial" w:cs="Arial"/>
          <w:smallCaps/>
          <w:color w:val="808080"/>
          <w:sz w:val="28"/>
          <w:szCs w:val="28"/>
        </w:rPr>
        <w:t>SENTENÇA</w:t>
      </w:r>
      <w:r>
        <w:rPr>
          <w:rFonts w:ascii="Arial" w:hAnsi="Arial" w:cs="Arial"/>
          <w:smallCaps/>
          <w:sz w:val="28"/>
          <w:szCs w:val="28"/>
        </w:rPr>
        <w:t xml:space="preserve"> </w:t>
      </w:r>
      <w:r>
        <w:rPr>
          <w:rFonts w:ascii="Arial" w:hAnsi="Arial" w:cs="Arial"/>
          <w:smallCaps/>
          <w:color w:val="808080"/>
          <w:sz w:val="28"/>
          <w:szCs w:val="28"/>
        </w:rPr>
        <w:t>CASSADA</w:t>
      </w:r>
      <w:r>
        <w:rPr>
          <w:rFonts w:ascii="Arial" w:hAnsi="Arial" w:cs="Arial"/>
          <w:smallCaps/>
          <w:sz w:val="28"/>
          <w:szCs w:val="28"/>
        </w:rPr>
        <w:t>. RECURSO PROVIDO.</w:t>
      </w:r>
      <w:commentRangeEnd w:id="5"/>
      <w:r>
        <w:commentReference w:id="5"/>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76EE27E1" w14:textId="43A69493" w:rsidR="00130BB0" w:rsidRPr="00130BB0" w:rsidRDefault="00F81C1F" w:rsidP="00130BB0">
      <w:pPr>
        <w:pStyle w:val="PargrafodaLista"/>
        <w:spacing w:after="0" w:line="360" w:lineRule="auto"/>
        <w:ind w:left="0"/>
        <w:jc w:val="both"/>
        <w:rPr>
          <w:rFonts w:ascii="Arial" w:hAnsi="Arial" w:cs="Arial"/>
          <w:sz w:val="28"/>
          <w:szCs w:val="28"/>
        </w:rPr>
      </w:pPr>
      <w:r>
        <w:rPr>
          <w:rFonts w:ascii="Arial" w:hAnsi="Arial" w:cs="Arial"/>
          <w:sz w:val="28"/>
          <w:szCs w:val="28"/>
        </w:rPr>
        <w:t xml:space="preserve">1. Ação </w:t>
      </w:r>
      <w:r>
        <w:rPr>
          <w:rFonts w:ascii="Arial" w:hAnsi="Arial" w:cs="Arial"/>
          <w:color w:val="808080"/>
          <w:sz w:val="28"/>
          <w:szCs w:val="28"/>
        </w:rPr>
        <w:t xml:space="preserve">de indenização por danos materiais e morais </w:t>
      </w:r>
      <w:r>
        <w:rPr>
          <w:rFonts w:ascii="Arial" w:hAnsi="Arial" w:cs="Arial"/>
          <w:sz w:val="28"/>
          <w:szCs w:val="28"/>
        </w:rPr>
        <w:t xml:space="preserve">proposta por </w:t>
      </w:r>
      <w:r>
        <w:rPr>
          <w:rFonts w:ascii="Arial" w:hAnsi="Arial" w:cs="Arial"/>
          <w:color w:val="808080"/>
          <w:sz w:val="28"/>
          <w:szCs w:val="28"/>
        </w:rPr>
        <w:t>consumidor</w:t>
      </w:r>
      <w:r>
        <w:rPr>
          <w:rFonts w:ascii="Arial" w:hAnsi="Arial" w:cs="Arial"/>
          <w:sz w:val="28"/>
          <w:szCs w:val="28"/>
        </w:rPr>
        <w:t xml:space="preserve"> contra Assurant Seguradora S.A. e Carrefour Comércio e Indústria Ltda., em razão de negativa de cobertura de seguro de garantia estendida </w:t>
      </w:r>
      <w:r>
        <w:rPr>
          <w:rFonts w:ascii="Arial" w:hAnsi="Arial" w:cs="Arial"/>
          <w:color w:val="808080"/>
          <w:sz w:val="28"/>
          <w:szCs w:val="28"/>
        </w:rPr>
        <w:t>de</w:t>
      </w:r>
      <w:r>
        <w:rPr>
          <w:rFonts w:ascii="Arial" w:hAnsi="Arial" w:cs="Arial"/>
          <w:sz w:val="28"/>
          <w:szCs w:val="28"/>
        </w:rPr>
        <w:t xml:space="preserve"> televisor </w:t>
      </w:r>
      <w:r>
        <w:rPr>
          <w:rFonts w:ascii="Arial" w:hAnsi="Arial" w:cs="Arial"/>
          <w:color w:val="808080"/>
          <w:sz w:val="28"/>
          <w:szCs w:val="28"/>
        </w:rPr>
        <w:t>(R$</w:t>
      </w:r>
      <w:r>
        <w:rPr>
          <w:rFonts w:ascii="Arial" w:hAnsi="Arial" w:cs="Arial"/>
          <w:sz w:val="28"/>
          <w:szCs w:val="28"/>
        </w:rPr>
        <w:t xml:space="preserve"> </w:t>
      </w:r>
      <w:r>
        <w:rPr>
          <w:rFonts w:ascii="Arial" w:hAnsi="Arial" w:cs="Arial"/>
          <w:color w:val="808080"/>
          <w:sz w:val="28"/>
          <w:szCs w:val="28"/>
        </w:rPr>
        <w:t>5.699</w:t>
      </w:r>
      <w:r>
        <w:rPr>
          <w:rFonts w:ascii="Arial" w:hAnsi="Arial" w:cs="Arial"/>
          <w:sz w:val="28"/>
          <w:szCs w:val="28"/>
        </w:rPr>
        <w:t>,</w:t>
      </w:r>
      <w:r>
        <w:rPr>
          <w:rFonts w:ascii="Arial" w:hAnsi="Arial" w:cs="Arial"/>
          <w:color w:val="808080"/>
          <w:sz w:val="28"/>
          <w:szCs w:val="28"/>
        </w:rPr>
        <w:t>00)</w:t>
      </w:r>
      <w:r>
        <w:rPr>
          <w:rFonts w:ascii="Arial" w:hAnsi="Arial" w:cs="Arial"/>
          <w:sz w:val="28"/>
          <w:szCs w:val="28"/>
        </w:rPr>
        <w:t>.</w:t>
      </w:r>
    </w:p>
    <w:p w14:paraId="297CE33E" w14:textId="03DF781B" w:rsidR="00130BB0" w:rsidRPr="00130BB0" w:rsidRDefault="00130BB0" w:rsidP="00130BB0">
      <w:pPr>
        <w:pStyle w:val="PargrafodaLista"/>
        <w:spacing w:after="0" w:line="360" w:lineRule="auto"/>
        <w:ind w:left="0"/>
        <w:jc w:val="both"/>
        <w:rPr>
          <w:rFonts w:ascii="Arial" w:hAnsi="Arial" w:cs="Arial"/>
          <w:sz w:val="28"/>
          <w:szCs w:val="28"/>
        </w:rPr>
      </w:pPr>
      <w:r>
        <w:rPr>
          <w:rFonts w:ascii="Arial" w:hAnsi="Arial" w:cs="Arial"/>
          <w:sz w:val="28"/>
          <w:szCs w:val="28"/>
        </w:rPr>
        <w:t xml:space="preserve">2. A sentença julgou improcedentes os pedidos por </w:t>
      </w:r>
      <w:r>
        <w:rPr>
          <w:rFonts w:ascii="Arial" w:hAnsi="Arial" w:cs="Arial"/>
          <w:color w:val="808080"/>
          <w:sz w:val="28"/>
          <w:szCs w:val="28"/>
        </w:rPr>
        <w:t>inexistir</w:t>
      </w:r>
      <w:r>
        <w:rPr>
          <w:rFonts w:ascii="Arial" w:hAnsi="Arial" w:cs="Arial"/>
          <w:sz w:val="28"/>
          <w:szCs w:val="28"/>
        </w:rPr>
        <w:t xml:space="preserve"> prova técnica apta a afastar o relatório da assistência técnica, </w:t>
      </w:r>
      <w:r>
        <w:rPr>
          <w:rFonts w:ascii="Arial" w:hAnsi="Arial" w:cs="Arial"/>
          <w:color w:val="808080"/>
          <w:sz w:val="28"/>
          <w:szCs w:val="28"/>
        </w:rPr>
        <w:t>que</w:t>
      </w:r>
      <w:r>
        <w:rPr>
          <w:rFonts w:ascii="Arial" w:hAnsi="Arial" w:cs="Arial"/>
          <w:sz w:val="28"/>
          <w:szCs w:val="28"/>
        </w:rPr>
        <w:t xml:space="preserve"> atribuiu o defeito à quebra da tela por agente externo.</w:t>
      </w:r>
    </w:p>
    <w:p w14:paraId="14D69821" w14:textId="7749E2E1" w:rsidR="00F81C1F" w:rsidRDefault="00130BB0" w:rsidP="00130BB0">
      <w:pPr>
        <w:pStyle w:val="PargrafodaLista"/>
        <w:spacing w:after="0" w:line="360" w:lineRule="auto"/>
        <w:ind w:left="0"/>
        <w:jc w:val="both"/>
        <w:rPr>
          <w:rFonts w:ascii="Arial" w:hAnsi="Arial" w:cs="Arial"/>
          <w:sz w:val="28"/>
          <w:szCs w:val="28"/>
        </w:rPr>
      </w:pPr>
      <w:r>
        <w:rPr>
          <w:rFonts w:ascii="Arial" w:hAnsi="Arial" w:cs="Arial"/>
          <w:sz w:val="28"/>
          <w:szCs w:val="28"/>
        </w:rPr>
        <w:t xml:space="preserve">3. O autor apelou </w:t>
      </w:r>
      <w:r>
        <w:rPr>
          <w:rFonts w:ascii="Arial" w:hAnsi="Arial" w:cs="Arial"/>
          <w:color w:val="808080"/>
          <w:sz w:val="28"/>
          <w:szCs w:val="28"/>
        </w:rPr>
        <w:t>para</w:t>
      </w:r>
      <w:r>
        <w:rPr>
          <w:rFonts w:ascii="Arial" w:hAnsi="Arial" w:cs="Arial"/>
          <w:sz w:val="28"/>
          <w:szCs w:val="28"/>
        </w:rPr>
        <w:t xml:space="preserve"> </w:t>
      </w:r>
      <w:r>
        <w:rPr>
          <w:rFonts w:ascii="Arial" w:hAnsi="Arial" w:cs="Arial"/>
          <w:color w:val="808080"/>
          <w:sz w:val="28"/>
          <w:szCs w:val="28"/>
        </w:rPr>
        <w:t>anular</w:t>
      </w:r>
      <w:r>
        <w:rPr>
          <w:rFonts w:ascii="Arial" w:hAnsi="Arial" w:cs="Arial"/>
          <w:sz w:val="28"/>
          <w:szCs w:val="28"/>
        </w:rPr>
        <w:t xml:space="preserve"> </w:t>
      </w:r>
      <w:r>
        <w:rPr>
          <w:rFonts w:ascii="Arial" w:hAnsi="Arial" w:cs="Arial"/>
          <w:color w:val="808080"/>
          <w:sz w:val="28"/>
          <w:szCs w:val="28"/>
        </w:rPr>
        <w:t>a</w:t>
      </w:r>
      <w:r>
        <w:rPr>
          <w:rFonts w:ascii="Arial" w:hAnsi="Arial" w:cs="Arial"/>
          <w:sz w:val="28"/>
          <w:szCs w:val="28"/>
        </w:rPr>
        <w:t xml:space="preserve"> sentença</w:t>
      </w:r>
      <w:r>
        <w:rPr>
          <w:rFonts w:ascii="Arial" w:hAnsi="Arial" w:cs="Arial"/>
          <w:color w:val="808080"/>
          <w:sz w:val="28"/>
          <w:szCs w:val="28"/>
        </w:rPr>
        <w:t>,</w:t>
      </w:r>
      <w:r>
        <w:rPr>
          <w:rFonts w:ascii="Arial" w:hAnsi="Arial" w:cs="Arial"/>
          <w:sz w:val="28"/>
          <w:szCs w:val="28"/>
        </w:rPr>
        <w:t xml:space="preserve"> por incompatibilidade </w:t>
      </w:r>
      <w:r>
        <w:rPr>
          <w:rFonts w:ascii="Arial" w:hAnsi="Arial" w:cs="Arial"/>
          <w:color w:val="808080"/>
          <w:sz w:val="28"/>
          <w:szCs w:val="28"/>
        </w:rPr>
        <w:t>com</w:t>
      </w:r>
      <w:r>
        <w:rPr>
          <w:rFonts w:ascii="Arial" w:hAnsi="Arial" w:cs="Arial"/>
          <w:sz w:val="28"/>
          <w:szCs w:val="28"/>
        </w:rPr>
        <w:t xml:space="preserve"> a inversão do ônus da prova deferida </w:t>
      </w:r>
      <w:r>
        <w:rPr>
          <w:rFonts w:ascii="Arial" w:hAnsi="Arial" w:cs="Arial"/>
          <w:color w:val="808080"/>
          <w:sz w:val="28"/>
          <w:szCs w:val="28"/>
        </w:rPr>
        <w:t>no</w:t>
      </w:r>
      <w:r>
        <w:rPr>
          <w:rFonts w:ascii="Arial" w:hAnsi="Arial" w:cs="Arial"/>
          <w:sz w:val="28"/>
          <w:szCs w:val="28"/>
        </w:rPr>
        <w:t xml:space="preserve"> </w:t>
      </w:r>
      <w:r>
        <w:rPr>
          <w:rFonts w:ascii="Arial" w:hAnsi="Arial" w:cs="Arial"/>
          <w:color w:val="808080"/>
          <w:sz w:val="28"/>
          <w:szCs w:val="28"/>
        </w:rPr>
        <w:t>saneamento,</w:t>
      </w:r>
      <w:r>
        <w:rPr>
          <w:rFonts w:ascii="Arial" w:hAnsi="Arial" w:cs="Arial"/>
          <w:sz w:val="28"/>
          <w:szCs w:val="28"/>
        </w:rPr>
        <w:t xml:space="preserve"> e</w:t>
      </w:r>
      <w:r>
        <w:rPr>
          <w:rFonts w:ascii="Arial" w:hAnsi="Arial" w:cs="Arial"/>
          <w:color w:val="808080"/>
          <w:sz w:val="28"/>
          <w:szCs w:val="28"/>
        </w:rPr>
        <w:t xml:space="preserve">, </w:t>
      </w:r>
      <w:r>
        <w:rPr>
          <w:rFonts w:ascii="Arial" w:hAnsi="Arial" w:cs="Arial"/>
          <w:color w:val="808080"/>
          <w:sz w:val="28"/>
          <w:szCs w:val="28"/>
        </w:rPr>
        <w:lastRenderedPageBreak/>
        <w:t>subsidiariamente, para cassá-la,</w:t>
      </w:r>
      <w:r>
        <w:rPr>
          <w:rFonts w:ascii="Arial" w:hAnsi="Arial" w:cs="Arial"/>
          <w:sz w:val="28"/>
          <w:szCs w:val="28"/>
        </w:rPr>
        <w:t xml:space="preserve"> a </w:t>
      </w:r>
      <w:r>
        <w:rPr>
          <w:rFonts w:ascii="Arial" w:hAnsi="Arial" w:cs="Arial"/>
          <w:color w:val="808080"/>
          <w:sz w:val="28"/>
          <w:szCs w:val="28"/>
        </w:rPr>
        <w:t>fim</w:t>
      </w:r>
      <w:r>
        <w:rPr>
          <w:rFonts w:ascii="Arial" w:hAnsi="Arial" w:cs="Arial"/>
          <w:sz w:val="28"/>
          <w:szCs w:val="28"/>
        </w:rPr>
        <w:t xml:space="preserve"> de </w:t>
      </w:r>
      <w:r>
        <w:rPr>
          <w:rFonts w:ascii="Arial" w:hAnsi="Arial" w:cs="Arial"/>
          <w:color w:val="808080"/>
          <w:sz w:val="28"/>
          <w:szCs w:val="28"/>
        </w:rPr>
        <w:t>reabrir</w:t>
      </w:r>
      <w:r>
        <w:rPr>
          <w:rFonts w:ascii="Arial" w:hAnsi="Arial" w:cs="Arial"/>
          <w:sz w:val="28"/>
          <w:szCs w:val="28"/>
        </w:rPr>
        <w:t xml:space="preserve"> a instrução e </w:t>
      </w:r>
      <w:r>
        <w:rPr>
          <w:rFonts w:ascii="Arial" w:hAnsi="Arial" w:cs="Arial"/>
          <w:color w:val="808080"/>
          <w:sz w:val="28"/>
          <w:szCs w:val="28"/>
        </w:rPr>
        <w:t>realizar</w:t>
      </w:r>
      <w:r>
        <w:rPr>
          <w:rFonts w:ascii="Arial" w:hAnsi="Arial" w:cs="Arial"/>
          <w:sz w:val="28"/>
          <w:szCs w:val="28"/>
        </w:rPr>
        <w:t xml:space="preserve"> perícia.</w:t>
      </w:r>
    </w:p>
    <w:p w14:paraId="75F97632" w14:textId="0561D289" w:rsidR="00886ABA" w:rsidRPr="0034247B" w:rsidRDefault="00886ABA" w:rsidP="00F81C1F">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529DE032" w14:textId="370FA691" w:rsidR="00321747" w:rsidRPr="00321747" w:rsidRDefault="00511630" w:rsidP="00321747">
      <w:pPr>
        <w:spacing w:after="0" w:line="360" w:lineRule="auto"/>
        <w:jc w:val="both"/>
        <w:rPr>
          <w:rFonts w:ascii="Arial" w:hAnsi="Arial" w:cs="Arial"/>
          <w:sz w:val="28"/>
          <w:szCs w:val="28"/>
        </w:rPr>
      </w:pPr>
      <w:r>
        <w:rPr>
          <w:rFonts w:ascii="Arial" w:hAnsi="Arial" w:cs="Arial"/>
          <w:sz w:val="28"/>
          <w:szCs w:val="28"/>
        </w:rPr>
        <w:t xml:space="preserve">4. Há duas questões em discussão: (i) saber se a sentença </w:t>
      </w:r>
      <w:r>
        <w:rPr>
          <w:rFonts w:ascii="Arial" w:hAnsi="Arial" w:cs="Arial"/>
          <w:color w:val="808080"/>
          <w:sz w:val="28"/>
          <w:szCs w:val="28"/>
        </w:rPr>
        <w:t>respeitou</w:t>
      </w:r>
      <w:r>
        <w:rPr>
          <w:rFonts w:ascii="Arial" w:hAnsi="Arial" w:cs="Arial"/>
          <w:sz w:val="28"/>
          <w:szCs w:val="28"/>
        </w:rPr>
        <w:t xml:space="preserve"> a inversão do ônus da prova em favor do consumidor; e (ii) </w:t>
      </w:r>
      <w:r>
        <w:rPr>
          <w:rFonts w:ascii="Arial" w:hAnsi="Arial" w:cs="Arial"/>
          <w:color w:val="808080"/>
          <w:sz w:val="28"/>
          <w:szCs w:val="28"/>
        </w:rPr>
        <w:t>definir</w:t>
      </w:r>
      <w:r>
        <w:rPr>
          <w:rFonts w:ascii="Arial" w:hAnsi="Arial" w:cs="Arial"/>
          <w:sz w:val="28"/>
          <w:szCs w:val="28"/>
        </w:rPr>
        <w:t xml:space="preserve"> se o conjunto probatório permite </w:t>
      </w:r>
      <w:r>
        <w:rPr>
          <w:rFonts w:ascii="Arial" w:hAnsi="Arial" w:cs="Arial"/>
          <w:color w:val="808080"/>
          <w:sz w:val="28"/>
          <w:szCs w:val="28"/>
        </w:rPr>
        <w:t xml:space="preserve">julgar </w:t>
      </w:r>
      <w:r>
        <w:rPr>
          <w:rFonts w:ascii="Arial" w:hAnsi="Arial" w:cs="Arial"/>
          <w:sz w:val="28"/>
          <w:szCs w:val="28"/>
        </w:rPr>
        <w:t xml:space="preserve">o mérito ou exige provas adicionais </w:t>
      </w:r>
      <w:r>
        <w:rPr>
          <w:rFonts w:ascii="Arial" w:hAnsi="Arial" w:cs="Arial"/>
          <w:color w:val="808080"/>
          <w:sz w:val="28"/>
          <w:szCs w:val="28"/>
        </w:rPr>
        <w:t>sobre</w:t>
      </w:r>
      <w:r>
        <w:rPr>
          <w:rFonts w:ascii="Arial" w:hAnsi="Arial" w:cs="Arial"/>
          <w:sz w:val="28"/>
          <w:szCs w:val="28"/>
        </w:rPr>
        <w:t xml:space="preserve"> a natureza do dano e a identificação do aparelho.</w:t>
      </w:r>
    </w:p>
    <w:p w14:paraId="514DEA23" w14:textId="0DAEB3CF"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2BB762D2" w14:textId="0E8D9F09" w:rsidR="003B47F1" w:rsidRPr="003B47F1" w:rsidRDefault="003B47F1"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5. A decisão saneadora </w:t>
      </w:r>
      <w:r>
        <w:rPr>
          <w:rFonts w:ascii="Arial" w:hAnsi="Arial" w:cs="Arial"/>
          <w:color w:val="808080"/>
          <w:sz w:val="28"/>
          <w:szCs w:val="28"/>
        </w:rPr>
        <w:t>inverteu</w:t>
      </w:r>
      <w:r>
        <w:rPr>
          <w:rFonts w:ascii="Arial" w:hAnsi="Arial" w:cs="Arial"/>
          <w:sz w:val="28"/>
          <w:szCs w:val="28"/>
        </w:rPr>
        <w:t xml:space="preserve"> </w:t>
      </w:r>
      <w:r>
        <w:rPr>
          <w:rFonts w:ascii="Arial" w:hAnsi="Arial" w:cs="Arial"/>
          <w:color w:val="808080"/>
          <w:sz w:val="28"/>
          <w:szCs w:val="28"/>
        </w:rPr>
        <w:t>o</w:t>
      </w:r>
      <w:r>
        <w:rPr>
          <w:rFonts w:ascii="Arial" w:hAnsi="Arial" w:cs="Arial"/>
          <w:sz w:val="28"/>
          <w:szCs w:val="28"/>
        </w:rPr>
        <w:t xml:space="preserve"> ônus da prova </w:t>
      </w:r>
      <w:r>
        <w:rPr>
          <w:rFonts w:ascii="Arial" w:hAnsi="Arial" w:cs="Arial"/>
          <w:color w:val="808080"/>
          <w:sz w:val="28"/>
          <w:szCs w:val="28"/>
        </w:rPr>
        <w:t>(CDC</w:t>
      </w:r>
      <w:r>
        <w:rPr>
          <w:rFonts w:ascii="Arial" w:hAnsi="Arial" w:cs="Arial"/>
          <w:sz w:val="28"/>
          <w:szCs w:val="28"/>
        </w:rPr>
        <w:t xml:space="preserve"> 6º</w:t>
      </w:r>
      <w:r>
        <w:rPr>
          <w:rFonts w:ascii="Arial" w:hAnsi="Arial" w:cs="Arial"/>
          <w:color w:val="808080"/>
          <w:sz w:val="28"/>
          <w:szCs w:val="28"/>
        </w:rPr>
        <w:t xml:space="preserve"> VIII)</w:t>
      </w:r>
      <w:r>
        <w:rPr>
          <w:rFonts w:ascii="Arial" w:hAnsi="Arial" w:cs="Arial"/>
          <w:sz w:val="28"/>
          <w:szCs w:val="28"/>
        </w:rPr>
        <w:t xml:space="preserve">, </w:t>
      </w:r>
      <w:r>
        <w:rPr>
          <w:rFonts w:ascii="Arial" w:hAnsi="Arial" w:cs="Arial"/>
          <w:color w:val="808080"/>
          <w:sz w:val="28"/>
          <w:szCs w:val="28"/>
        </w:rPr>
        <w:t>de</w:t>
      </w:r>
      <w:r>
        <w:rPr>
          <w:rFonts w:ascii="Arial" w:hAnsi="Arial" w:cs="Arial"/>
          <w:sz w:val="28"/>
          <w:szCs w:val="28"/>
        </w:rPr>
        <w:t xml:space="preserve"> </w:t>
      </w:r>
      <w:r>
        <w:rPr>
          <w:rFonts w:ascii="Arial" w:hAnsi="Arial" w:cs="Arial"/>
          <w:color w:val="808080"/>
          <w:sz w:val="28"/>
          <w:szCs w:val="28"/>
        </w:rPr>
        <w:t>modo</w:t>
      </w:r>
      <w:r>
        <w:rPr>
          <w:rFonts w:ascii="Arial" w:hAnsi="Arial" w:cs="Arial"/>
          <w:sz w:val="28"/>
          <w:szCs w:val="28"/>
        </w:rPr>
        <w:t xml:space="preserve"> </w:t>
      </w:r>
      <w:r>
        <w:rPr>
          <w:rFonts w:ascii="Arial" w:hAnsi="Arial" w:cs="Arial"/>
          <w:color w:val="808080"/>
          <w:sz w:val="28"/>
          <w:szCs w:val="28"/>
        </w:rPr>
        <w:t>que</w:t>
      </w:r>
      <w:r>
        <w:rPr>
          <w:rFonts w:ascii="Arial" w:hAnsi="Arial" w:cs="Arial"/>
          <w:sz w:val="28"/>
          <w:szCs w:val="28"/>
        </w:rPr>
        <w:t xml:space="preserve"> </w:t>
      </w:r>
      <w:r>
        <w:rPr>
          <w:rFonts w:ascii="Arial" w:hAnsi="Arial" w:cs="Arial"/>
          <w:color w:val="808080"/>
          <w:sz w:val="28"/>
          <w:szCs w:val="28"/>
        </w:rPr>
        <w:t>é</w:t>
      </w:r>
      <w:r>
        <w:rPr>
          <w:rFonts w:ascii="Arial" w:hAnsi="Arial" w:cs="Arial"/>
          <w:sz w:val="28"/>
          <w:szCs w:val="28"/>
        </w:rPr>
        <w:t xml:space="preserve"> </w:t>
      </w:r>
      <w:r>
        <w:rPr>
          <w:rFonts w:ascii="Arial" w:hAnsi="Arial" w:cs="Arial"/>
          <w:color w:val="808080"/>
          <w:sz w:val="28"/>
          <w:szCs w:val="28"/>
        </w:rPr>
        <w:t>incompatível</w:t>
      </w:r>
      <w:r>
        <w:rPr>
          <w:rFonts w:ascii="Arial" w:hAnsi="Arial" w:cs="Arial"/>
          <w:sz w:val="28"/>
          <w:szCs w:val="28"/>
        </w:rPr>
        <w:t xml:space="preserve"> exigir do consumidor laudo particular ou </w:t>
      </w:r>
      <w:r>
        <w:rPr>
          <w:rFonts w:ascii="Arial" w:hAnsi="Arial" w:cs="Arial"/>
          <w:color w:val="808080"/>
          <w:sz w:val="28"/>
          <w:szCs w:val="28"/>
        </w:rPr>
        <w:t>perícia</w:t>
      </w:r>
      <w:r>
        <w:rPr>
          <w:rFonts w:ascii="Arial" w:hAnsi="Arial" w:cs="Arial"/>
          <w:sz w:val="28"/>
          <w:szCs w:val="28"/>
        </w:rPr>
        <w:t xml:space="preserve"> para afastar </w:t>
      </w:r>
      <w:r>
        <w:rPr>
          <w:rFonts w:ascii="Arial" w:hAnsi="Arial" w:cs="Arial"/>
          <w:color w:val="808080"/>
          <w:sz w:val="28"/>
          <w:szCs w:val="28"/>
        </w:rPr>
        <w:t>relatório</w:t>
      </w:r>
      <w:r>
        <w:rPr>
          <w:rFonts w:ascii="Arial" w:hAnsi="Arial" w:cs="Arial"/>
          <w:sz w:val="28"/>
          <w:szCs w:val="28"/>
        </w:rPr>
        <w:t xml:space="preserve"> unilateral </w:t>
      </w:r>
      <w:r>
        <w:rPr>
          <w:rFonts w:ascii="Arial" w:hAnsi="Arial" w:cs="Arial"/>
          <w:color w:val="808080"/>
          <w:sz w:val="28"/>
          <w:szCs w:val="28"/>
        </w:rPr>
        <w:t>da</w:t>
      </w:r>
      <w:r>
        <w:rPr>
          <w:rFonts w:ascii="Arial" w:hAnsi="Arial" w:cs="Arial"/>
          <w:sz w:val="28"/>
          <w:szCs w:val="28"/>
        </w:rPr>
        <w:t xml:space="preserve"> assistência vinculada à seguradora.</w:t>
      </w:r>
    </w:p>
    <w:p w14:paraId="3556CED5" w14:textId="639E1A30" w:rsidR="003B47F1" w:rsidRPr="003B47F1" w:rsidRDefault="003B47F1"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6. </w:t>
      </w:r>
      <w:r>
        <w:rPr>
          <w:rFonts w:ascii="Arial" w:hAnsi="Arial" w:cs="Arial"/>
          <w:color w:val="808080"/>
          <w:sz w:val="28"/>
          <w:szCs w:val="28"/>
        </w:rPr>
        <w:t>As</w:t>
      </w:r>
      <w:r>
        <w:rPr>
          <w:rFonts w:ascii="Arial" w:hAnsi="Arial" w:cs="Arial"/>
          <w:sz w:val="28"/>
          <w:szCs w:val="28"/>
        </w:rPr>
        <w:t xml:space="preserve"> fotografias do relatório técnico</w:t>
      </w:r>
      <w:r>
        <w:rPr>
          <w:rFonts w:ascii="Arial" w:hAnsi="Arial" w:cs="Arial"/>
          <w:color w:val="808080"/>
          <w:sz w:val="28"/>
          <w:szCs w:val="28"/>
        </w:rPr>
        <w:t>,</w:t>
      </w:r>
      <w:r>
        <w:rPr>
          <w:rFonts w:ascii="Arial" w:hAnsi="Arial" w:cs="Arial"/>
          <w:sz w:val="28"/>
          <w:szCs w:val="28"/>
        </w:rPr>
        <w:t xml:space="preserve"> </w:t>
      </w:r>
      <w:r>
        <w:rPr>
          <w:rFonts w:ascii="Arial" w:hAnsi="Arial" w:cs="Arial"/>
          <w:color w:val="808080"/>
          <w:sz w:val="28"/>
          <w:szCs w:val="28"/>
        </w:rPr>
        <w:t>que</w:t>
      </w:r>
      <w:r>
        <w:rPr>
          <w:rFonts w:ascii="Arial" w:hAnsi="Arial" w:cs="Arial"/>
          <w:sz w:val="28"/>
          <w:szCs w:val="28"/>
        </w:rPr>
        <w:t xml:space="preserve"> </w:t>
      </w:r>
      <w:r>
        <w:rPr>
          <w:rFonts w:ascii="Arial" w:hAnsi="Arial" w:cs="Arial"/>
          <w:color w:val="808080"/>
          <w:sz w:val="28"/>
          <w:szCs w:val="28"/>
        </w:rPr>
        <w:t>mostram</w:t>
      </w:r>
      <w:r>
        <w:rPr>
          <w:rFonts w:ascii="Arial" w:hAnsi="Arial" w:cs="Arial"/>
          <w:sz w:val="28"/>
          <w:szCs w:val="28"/>
        </w:rPr>
        <w:t xml:space="preserve"> a </w:t>
      </w:r>
      <w:r>
        <w:rPr>
          <w:rFonts w:ascii="Arial" w:hAnsi="Arial" w:cs="Arial"/>
          <w:color w:val="808080"/>
          <w:sz w:val="28"/>
          <w:szCs w:val="28"/>
        </w:rPr>
        <w:t>tela</w:t>
      </w:r>
      <w:r>
        <w:rPr>
          <w:rFonts w:ascii="Arial" w:hAnsi="Arial" w:cs="Arial"/>
          <w:sz w:val="28"/>
          <w:szCs w:val="28"/>
        </w:rPr>
        <w:t xml:space="preserve"> </w:t>
      </w:r>
      <w:r>
        <w:rPr>
          <w:rFonts w:ascii="Arial" w:hAnsi="Arial" w:cs="Arial"/>
          <w:color w:val="808080"/>
          <w:sz w:val="28"/>
          <w:szCs w:val="28"/>
        </w:rPr>
        <w:t>quebrada,</w:t>
      </w:r>
      <w:r>
        <w:rPr>
          <w:rFonts w:ascii="Arial" w:hAnsi="Arial" w:cs="Arial"/>
          <w:sz w:val="28"/>
          <w:szCs w:val="28"/>
        </w:rPr>
        <w:t xml:space="preserve"> </w:t>
      </w:r>
      <w:r>
        <w:rPr>
          <w:rFonts w:ascii="Arial" w:hAnsi="Arial" w:cs="Arial"/>
          <w:color w:val="808080"/>
          <w:sz w:val="28"/>
          <w:szCs w:val="28"/>
        </w:rPr>
        <w:t>divergem das</w:t>
      </w:r>
      <w:r>
        <w:rPr>
          <w:rFonts w:ascii="Arial" w:hAnsi="Arial" w:cs="Arial"/>
          <w:sz w:val="28"/>
          <w:szCs w:val="28"/>
        </w:rPr>
        <w:t xml:space="preserve"> apresentadas pelo consumidor, </w:t>
      </w:r>
      <w:r>
        <w:rPr>
          <w:rFonts w:ascii="Arial" w:hAnsi="Arial" w:cs="Arial"/>
          <w:color w:val="808080"/>
          <w:sz w:val="28"/>
          <w:szCs w:val="28"/>
        </w:rPr>
        <w:t>que</w:t>
      </w:r>
      <w:r>
        <w:rPr>
          <w:rFonts w:ascii="Arial" w:hAnsi="Arial" w:cs="Arial"/>
          <w:sz w:val="28"/>
          <w:szCs w:val="28"/>
        </w:rPr>
        <w:t xml:space="preserve"> não reproduzem </w:t>
      </w:r>
      <w:r>
        <w:rPr>
          <w:rFonts w:ascii="Arial" w:hAnsi="Arial" w:cs="Arial"/>
          <w:color w:val="808080"/>
          <w:sz w:val="28"/>
          <w:szCs w:val="28"/>
        </w:rPr>
        <w:t>o</w:t>
      </w:r>
      <w:r>
        <w:rPr>
          <w:rFonts w:ascii="Arial" w:hAnsi="Arial" w:cs="Arial"/>
          <w:sz w:val="28"/>
          <w:szCs w:val="28"/>
        </w:rPr>
        <w:t xml:space="preserve"> dano, o que impede concluir tratar-se do mesmo aparelho.</w:t>
      </w:r>
    </w:p>
    <w:p w14:paraId="5E49923A" w14:textId="6117924A" w:rsidR="003B47F1" w:rsidRPr="003B47F1" w:rsidRDefault="003B47F1"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7. A identificação do bem segurado </w:t>
      </w:r>
      <w:r>
        <w:rPr>
          <w:rFonts w:ascii="Arial" w:hAnsi="Arial" w:cs="Arial"/>
          <w:color w:val="808080"/>
          <w:sz w:val="28"/>
          <w:szCs w:val="28"/>
        </w:rPr>
        <w:t>é</w:t>
      </w:r>
      <w:r>
        <w:rPr>
          <w:rFonts w:ascii="Arial" w:hAnsi="Arial" w:cs="Arial"/>
          <w:sz w:val="28"/>
          <w:szCs w:val="28"/>
        </w:rPr>
        <w:t xml:space="preserve"> incerta</w:t>
      </w:r>
      <w:r>
        <w:rPr>
          <w:rFonts w:ascii="Arial" w:hAnsi="Arial" w:cs="Arial"/>
          <w:color w:val="808080"/>
          <w:sz w:val="28"/>
          <w:szCs w:val="28"/>
        </w:rPr>
        <w:t>,</w:t>
      </w:r>
      <w:r>
        <w:rPr>
          <w:rFonts w:ascii="Arial" w:hAnsi="Arial" w:cs="Arial"/>
          <w:sz w:val="28"/>
          <w:szCs w:val="28"/>
        </w:rPr>
        <w:t xml:space="preserve"> </w:t>
      </w:r>
      <w:r>
        <w:rPr>
          <w:rFonts w:ascii="Arial" w:hAnsi="Arial" w:cs="Arial"/>
          <w:color w:val="808080"/>
          <w:sz w:val="28"/>
          <w:szCs w:val="28"/>
        </w:rPr>
        <w:t>pois</w:t>
      </w:r>
      <w:r>
        <w:rPr>
          <w:rFonts w:ascii="Arial" w:hAnsi="Arial" w:cs="Arial"/>
          <w:sz w:val="28"/>
          <w:szCs w:val="28"/>
        </w:rPr>
        <w:t xml:space="preserve"> </w:t>
      </w:r>
      <w:r>
        <w:rPr>
          <w:rFonts w:ascii="Arial" w:hAnsi="Arial" w:cs="Arial"/>
          <w:color w:val="808080"/>
          <w:sz w:val="28"/>
          <w:szCs w:val="28"/>
        </w:rPr>
        <w:t>a</w:t>
      </w:r>
      <w:r>
        <w:rPr>
          <w:rFonts w:ascii="Arial" w:hAnsi="Arial" w:cs="Arial"/>
          <w:sz w:val="28"/>
          <w:szCs w:val="28"/>
        </w:rPr>
        <w:t xml:space="preserve"> série </w:t>
      </w:r>
      <w:r>
        <w:rPr>
          <w:rFonts w:ascii="Arial" w:hAnsi="Arial" w:cs="Arial"/>
          <w:color w:val="808080"/>
          <w:sz w:val="28"/>
          <w:szCs w:val="28"/>
        </w:rPr>
        <w:t>registrada</w:t>
      </w:r>
      <w:r>
        <w:rPr>
          <w:rFonts w:ascii="Arial" w:hAnsi="Arial" w:cs="Arial"/>
          <w:sz w:val="28"/>
          <w:szCs w:val="28"/>
        </w:rPr>
        <w:t xml:space="preserve"> </w:t>
      </w:r>
      <w:r>
        <w:rPr>
          <w:rFonts w:ascii="Arial" w:hAnsi="Arial" w:cs="Arial"/>
          <w:color w:val="808080"/>
          <w:sz w:val="28"/>
          <w:szCs w:val="28"/>
        </w:rPr>
        <w:t>no</w:t>
      </w:r>
      <w:r>
        <w:rPr>
          <w:rFonts w:ascii="Arial" w:hAnsi="Arial" w:cs="Arial"/>
          <w:sz w:val="28"/>
          <w:szCs w:val="28"/>
        </w:rPr>
        <w:t xml:space="preserve"> bilhete do seguro </w:t>
      </w:r>
      <w:r>
        <w:rPr>
          <w:rFonts w:ascii="Arial" w:hAnsi="Arial" w:cs="Arial"/>
          <w:color w:val="808080"/>
          <w:sz w:val="28"/>
          <w:szCs w:val="28"/>
        </w:rPr>
        <w:t>não</w:t>
      </w:r>
      <w:r>
        <w:rPr>
          <w:rFonts w:ascii="Arial" w:hAnsi="Arial" w:cs="Arial"/>
          <w:sz w:val="28"/>
          <w:szCs w:val="28"/>
        </w:rPr>
        <w:t xml:space="preserve"> </w:t>
      </w:r>
      <w:r>
        <w:rPr>
          <w:rFonts w:ascii="Arial" w:hAnsi="Arial" w:cs="Arial"/>
          <w:color w:val="808080"/>
          <w:sz w:val="28"/>
          <w:szCs w:val="28"/>
        </w:rPr>
        <w:t>coincide</w:t>
      </w:r>
      <w:r>
        <w:rPr>
          <w:rFonts w:ascii="Arial" w:hAnsi="Arial" w:cs="Arial"/>
          <w:sz w:val="28"/>
          <w:szCs w:val="28"/>
        </w:rPr>
        <w:t xml:space="preserve"> </w:t>
      </w:r>
      <w:r>
        <w:rPr>
          <w:rFonts w:ascii="Arial" w:hAnsi="Arial" w:cs="Arial"/>
          <w:color w:val="808080"/>
          <w:sz w:val="28"/>
          <w:szCs w:val="28"/>
        </w:rPr>
        <w:t>com</w:t>
      </w:r>
      <w:r>
        <w:rPr>
          <w:rFonts w:ascii="Arial" w:hAnsi="Arial" w:cs="Arial"/>
          <w:sz w:val="28"/>
          <w:szCs w:val="28"/>
        </w:rPr>
        <w:t xml:space="preserve"> </w:t>
      </w:r>
      <w:r>
        <w:rPr>
          <w:rFonts w:ascii="Arial" w:hAnsi="Arial" w:cs="Arial"/>
          <w:color w:val="808080"/>
          <w:sz w:val="28"/>
          <w:szCs w:val="28"/>
        </w:rPr>
        <w:t>a</w:t>
      </w:r>
      <w:r>
        <w:rPr>
          <w:rFonts w:ascii="Arial" w:hAnsi="Arial" w:cs="Arial"/>
          <w:sz w:val="28"/>
          <w:szCs w:val="28"/>
        </w:rPr>
        <w:t xml:space="preserve"> do relatório técnico.</w:t>
      </w:r>
    </w:p>
    <w:p w14:paraId="477B9489" w14:textId="53152D7B" w:rsidR="003B47F1" w:rsidRPr="003B47F1" w:rsidRDefault="00AC4DC4"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8. </w:t>
      </w:r>
      <w:r>
        <w:rPr>
          <w:rFonts w:ascii="Arial" w:hAnsi="Arial" w:cs="Arial"/>
          <w:color w:val="808080"/>
          <w:sz w:val="28"/>
          <w:szCs w:val="28"/>
        </w:rPr>
        <w:t>Contratada</w:t>
      </w:r>
      <w:r>
        <w:rPr>
          <w:rFonts w:ascii="Arial" w:hAnsi="Arial" w:cs="Arial"/>
          <w:sz w:val="28"/>
          <w:szCs w:val="28"/>
        </w:rPr>
        <w:t xml:space="preserve"> </w:t>
      </w:r>
      <w:r>
        <w:rPr>
          <w:rFonts w:ascii="Arial" w:hAnsi="Arial" w:cs="Arial"/>
          <w:color w:val="808080"/>
          <w:sz w:val="28"/>
          <w:szCs w:val="28"/>
        </w:rPr>
        <w:t>a</w:t>
      </w:r>
      <w:r>
        <w:rPr>
          <w:rFonts w:ascii="Arial" w:hAnsi="Arial" w:cs="Arial"/>
          <w:sz w:val="28"/>
          <w:szCs w:val="28"/>
        </w:rPr>
        <w:t xml:space="preserve"> cobertura </w:t>
      </w:r>
      <w:r>
        <w:rPr>
          <w:rFonts w:ascii="Arial" w:hAnsi="Arial" w:cs="Arial"/>
          <w:color w:val="808080"/>
          <w:sz w:val="28"/>
          <w:szCs w:val="28"/>
        </w:rPr>
        <w:t>de</w:t>
      </w:r>
      <w:r>
        <w:rPr>
          <w:rFonts w:ascii="Arial" w:hAnsi="Arial" w:cs="Arial"/>
          <w:sz w:val="28"/>
          <w:szCs w:val="28"/>
        </w:rPr>
        <w:t xml:space="preserve"> danos elétricos</w:t>
      </w:r>
      <w:r>
        <w:rPr>
          <w:rFonts w:ascii="Arial" w:hAnsi="Arial" w:cs="Arial"/>
          <w:color w:val="808080"/>
          <w:sz w:val="28"/>
          <w:szCs w:val="28"/>
        </w:rPr>
        <w:t>,</w:t>
      </w:r>
      <w:r>
        <w:rPr>
          <w:rFonts w:ascii="Arial" w:hAnsi="Arial" w:cs="Arial"/>
          <w:sz w:val="28"/>
          <w:szCs w:val="28"/>
        </w:rPr>
        <w:t xml:space="preserve"> </w:t>
      </w:r>
      <w:r>
        <w:rPr>
          <w:rFonts w:ascii="Arial" w:hAnsi="Arial" w:cs="Arial"/>
          <w:color w:val="808080"/>
          <w:sz w:val="28"/>
          <w:szCs w:val="28"/>
        </w:rPr>
        <w:t>persiste a</w:t>
      </w:r>
      <w:r>
        <w:rPr>
          <w:rFonts w:ascii="Arial" w:hAnsi="Arial" w:cs="Arial"/>
          <w:sz w:val="28"/>
          <w:szCs w:val="28"/>
        </w:rPr>
        <w:t xml:space="preserve"> dúvida sobre a natureza do defeito, se quebra da tela por ação externa ou falha interna, </w:t>
      </w:r>
      <w:r>
        <w:rPr>
          <w:rFonts w:ascii="Arial" w:hAnsi="Arial" w:cs="Arial"/>
          <w:color w:val="808080"/>
          <w:sz w:val="28"/>
          <w:szCs w:val="28"/>
        </w:rPr>
        <w:t>e</w:t>
      </w:r>
      <w:r>
        <w:rPr>
          <w:rFonts w:ascii="Arial" w:hAnsi="Arial" w:cs="Arial"/>
          <w:sz w:val="28"/>
          <w:szCs w:val="28"/>
        </w:rPr>
        <w:t xml:space="preserve"> </w:t>
      </w:r>
      <w:r>
        <w:rPr>
          <w:rFonts w:ascii="Arial" w:hAnsi="Arial" w:cs="Arial"/>
          <w:color w:val="808080"/>
          <w:sz w:val="28"/>
          <w:szCs w:val="28"/>
        </w:rPr>
        <w:t>cabe</w:t>
      </w:r>
      <w:r>
        <w:rPr>
          <w:rFonts w:ascii="Arial" w:hAnsi="Arial" w:cs="Arial"/>
          <w:sz w:val="28"/>
          <w:szCs w:val="28"/>
        </w:rPr>
        <w:t xml:space="preserve"> à seguradora </w:t>
      </w:r>
      <w:r>
        <w:rPr>
          <w:rFonts w:ascii="Arial" w:hAnsi="Arial" w:cs="Arial"/>
          <w:color w:val="808080"/>
          <w:sz w:val="28"/>
          <w:szCs w:val="28"/>
        </w:rPr>
        <w:t>provar</w:t>
      </w:r>
      <w:r>
        <w:rPr>
          <w:rFonts w:ascii="Arial" w:hAnsi="Arial" w:cs="Arial"/>
          <w:sz w:val="28"/>
          <w:szCs w:val="28"/>
        </w:rPr>
        <w:t xml:space="preserve"> a hipótese excludente</w:t>
      </w:r>
      <w:r>
        <w:rPr>
          <w:rFonts w:ascii="Arial" w:hAnsi="Arial" w:cs="Arial"/>
          <w:color w:val="808080"/>
          <w:sz w:val="28"/>
          <w:szCs w:val="28"/>
        </w:rPr>
        <w:t>,</w:t>
      </w:r>
      <w:r>
        <w:rPr>
          <w:rFonts w:ascii="Arial" w:hAnsi="Arial" w:cs="Arial"/>
          <w:sz w:val="28"/>
          <w:szCs w:val="28"/>
        </w:rPr>
        <w:t xml:space="preserve"> </w:t>
      </w:r>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que exige complementar a instrução (CDC 14 § 3º II; Lei 15</w:t>
      </w:r>
      <w:r>
        <w:rPr>
          <w:rFonts w:ascii="Arial" w:hAnsi="Arial" w:cs="Arial"/>
          <w:sz w:val="28"/>
          <w:szCs w:val="28"/>
        </w:rPr>
        <w:t>.</w:t>
      </w:r>
      <w:r>
        <w:rPr>
          <w:rFonts w:ascii="Arial" w:hAnsi="Arial" w:cs="Arial"/>
          <w:color w:val="808080"/>
          <w:sz w:val="28"/>
          <w:szCs w:val="28"/>
        </w:rPr>
        <w:t>040/2024 59).</w:t>
      </w:r>
    </w:p>
    <w:p w14:paraId="4B4FB137" w14:textId="045A8D2D" w:rsidR="003B47F1" w:rsidRDefault="00AC4DC4"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9. A manifestação do consumidor dispensando </w:t>
      </w:r>
      <w:r>
        <w:rPr>
          <w:rFonts w:ascii="Arial" w:hAnsi="Arial" w:cs="Arial"/>
          <w:color w:val="808080"/>
          <w:sz w:val="28"/>
          <w:szCs w:val="28"/>
        </w:rPr>
        <w:t xml:space="preserve">outras </w:t>
      </w:r>
      <w:r>
        <w:rPr>
          <w:rFonts w:ascii="Arial" w:hAnsi="Arial" w:cs="Arial"/>
          <w:sz w:val="28"/>
          <w:szCs w:val="28"/>
        </w:rPr>
        <w:t xml:space="preserve">provas após o saneamento não </w:t>
      </w:r>
      <w:r>
        <w:rPr>
          <w:rFonts w:ascii="Arial" w:hAnsi="Arial" w:cs="Arial"/>
          <w:color w:val="808080"/>
          <w:sz w:val="28"/>
          <w:szCs w:val="28"/>
        </w:rPr>
        <w:t>gera</w:t>
      </w:r>
      <w:r>
        <w:rPr>
          <w:rFonts w:ascii="Arial" w:hAnsi="Arial" w:cs="Arial"/>
          <w:sz w:val="28"/>
          <w:szCs w:val="28"/>
        </w:rPr>
        <w:t xml:space="preserve"> preclusão, pois </w:t>
      </w:r>
      <w:r>
        <w:rPr>
          <w:rFonts w:ascii="Arial" w:hAnsi="Arial" w:cs="Arial"/>
          <w:color w:val="808080"/>
          <w:sz w:val="28"/>
          <w:szCs w:val="28"/>
        </w:rPr>
        <w:t>se</w:t>
      </w:r>
      <w:r>
        <w:rPr>
          <w:rFonts w:ascii="Arial" w:hAnsi="Arial" w:cs="Arial"/>
          <w:sz w:val="28"/>
          <w:szCs w:val="28"/>
        </w:rPr>
        <w:t xml:space="preserve"> </w:t>
      </w:r>
      <w:r>
        <w:rPr>
          <w:rFonts w:ascii="Arial" w:hAnsi="Arial" w:cs="Arial"/>
          <w:color w:val="808080"/>
          <w:sz w:val="28"/>
          <w:szCs w:val="28"/>
        </w:rPr>
        <w:t>baseou</w:t>
      </w:r>
      <w:r>
        <w:rPr>
          <w:rFonts w:ascii="Arial" w:hAnsi="Arial" w:cs="Arial"/>
          <w:sz w:val="28"/>
          <w:szCs w:val="28"/>
        </w:rPr>
        <w:t xml:space="preserve"> </w:t>
      </w:r>
      <w:r>
        <w:rPr>
          <w:rFonts w:ascii="Arial" w:hAnsi="Arial" w:cs="Arial"/>
          <w:color w:val="808080"/>
          <w:sz w:val="28"/>
          <w:szCs w:val="28"/>
        </w:rPr>
        <w:t>na</w:t>
      </w:r>
      <w:r>
        <w:rPr>
          <w:rFonts w:ascii="Arial" w:hAnsi="Arial" w:cs="Arial"/>
          <w:sz w:val="28"/>
          <w:szCs w:val="28"/>
        </w:rPr>
        <w:t xml:space="preserve"> expectativa de que a </w:t>
      </w:r>
      <w:r>
        <w:rPr>
          <w:rFonts w:ascii="Arial" w:hAnsi="Arial" w:cs="Arial"/>
          <w:color w:val="808080"/>
          <w:sz w:val="28"/>
          <w:szCs w:val="28"/>
        </w:rPr>
        <w:t>falta</w:t>
      </w:r>
      <w:r>
        <w:rPr>
          <w:rFonts w:ascii="Arial" w:hAnsi="Arial" w:cs="Arial"/>
          <w:sz w:val="28"/>
          <w:szCs w:val="28"/>
        </w:rPr>
        <w:t xml:space="preserve"> de prova </w:t>
      </w:r>
      <w:r>
        <w:rPr>
          <w:rFonts w:ascii="Arial" w:hAnsi="Arial" w:cs="Arial"/>
          <w:color w:val="808080"/>
          <w:sz w:val="28"/>
          <w:szCs w:val="28"/>
        </w:rPr>
        <w:t>recairia</w:t>
      </w:r>
      <w:r>
        <w:rPr>
          <w:rFonts w:ascii="Arial" w:hAnsi="Arial" w:cs="Arial"/>
          <w:sz w:val="28"/>
          <w:szCs w:val="28"/>
        </w:rPr>
        <w:t xml:space="preserve"> </w:t>
      </w:r>
      <w:r>
        <w:rPr>
          <w:rFonts w:ascii="Arial" w:hAnsi="Arial" w:cs="Arial"/>
          <w:color w:val="808080"/>
          <w:sz w:val="28"/>
          <w:szCs w:val="28"/>
        </w:rPr>
        <w:t>sobre</w:t>
      </w:r>
      <w:r>
        <w:rPr>
          <w:rFonts w:ascii="Arial" w:hAnsi="Arial" w:cs="Arial"/>
          <w:sz w:val="28"/>
          <w:szCs w:val="28"/>
        </w:rPr>
        <w:t xml:space="preserve"> </w:t>
      </w:r>
      <w:r>
        <w:rPr>
          <w:rFonts w:ascii="Arial" w:hAnsi="Arial" w:cs="Arial"/>
          <w:color w:val="808080"/>
          <w:sz w:val="28"/>
          <w:szCs w:val="28"/>
        </w:rPr>
        <w:t>a</w:t>
      </w:r>
      <w:r>
        <w:rPr>
          <w:rFonts w:ascii="Arial" w:hAnsi="Arial" w:cs="Arial"/>
          <w:sz w:val="28"/>
          <w:szCs w:val="28"/>
        </w:rPr>
        <w:t xml:space="preserve"> parte onerada pela inversão.</w:t>
      </w:r>
    </w:p>
    <w:p w14:paraId="61C39010" w14:textId="345566A6" w:rsidR="00886ABA" w:rsidRPr="0034247B" w:rsidRDefault="00886ABA" w:rsidP="003B47F1">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3C858F40" w14:textId="4BD5651A" w:rsidR="00634358" w:rsidRPr="00634358" w:rsidRDefault="00AC4DC4" w:rsidP="00634358">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10. </w:t>
      </w:r>
      <w:r>
        <w:rPr>
          <w:rFonts w:ascii="Arial" w:eastAsia="Arial" w:hAnsi="Arial" w:cs="Arial"/>
          <w:color w:val="000000" w:themeColor="text1"/>
          <w:sz w:val="28"/>
          <w:szCs w:val="28"/>
        </w:rPr>
        <w:t xml:space="preserve">Deu-se provimento ao apelo </w:t>
      </w:r>
      <w:r>
        <w:rPr>
          <w:rFonts w:ascii="Arial" w:eastAsia="Arial" w:hAnsi="Arial" w:cs="Arial"/>
          <w:color w:val="808080"/>
          <w:sz w:val="28"/>
          <w:szCs w:val="28"/>
        </w:rPr>
        <w:t xml:space="preserve">do autor </w:t>
      </w:r>
      <w:r>
        <w:rPr>
          <w:rFonts w:ascii="Arial" w:eastAsia="Arial" w:hAnsi="Arial" w:cs="Arial"/>
          <w:color w:val="000000" w:themeColor="text1"/>
          <w:sz w:val="28"/>
          <w:szCs w:val="28"/>
        </w:rPr>
        <w:t xml:space="preserve">para cassar a </w:t>
      </w:r>
      <w:r>
        <w:rPr>
          <w:rFonts w:ascii="Arial" w:eastAsia="Arial" w:hAnsi="Arial" w:cs="Arial"/>
          <w:color w:val="808080"/>
          <w:sz w:val="28"/>
          <w:szCs w:val="28"/>
        </w:rPr>
        <w:t>sentença e determinar o retorno do feito à fase probatória</w:t>
      </w:r>
      <w:r>
        <w:rPr>
          <w:rFonts w:ascii="Arial" w:eastAsia="Arial" w:hAnsi="Arial" w:cs="Arial"/>
          <w:color w:val="000000" w:themeColor="text1"/>
          <w:sz w:val="28"/>
          <w:szCs w:val="28"/>
        </w:rPr>
        <w:t>.</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1EB6C732" w14:textId="67C335EF" w:rsidR="00A145C2" w:rsidRPr="00A145C2" w:rsidRDefault="00886ABA" w:rsidP="00A145C2">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lastRenderedPageBreak/>
        <w:t xml:space="preserve">Dispositivos relevantes citados: </w:t>
      </w:r>
      <w:r>
        <w:rPr>
          <w:rFonts w:ascii="Arial" w:eastAsia="Arial" w:hAnsi="Arial" w:cs="Arial"/>
          <w:color w:val="000000" w:themeColor="text1"/>
          <w:sz w:val="26"/>
          <w:szCs w:val="26"/>
        </w:rPr>
        <w:t xml:space="preserve">CDC, arts. 6º, VIII, e </w:t>
      </w:r>
      <w:r>
        <w:rPr>
          <w:rFonts w:ascii="Arial" w:eastAsia="Arial" w:hAnsi="Arial" w:cs="Arial"/>
          <w:color w:val="808080"/>
          <w:sz w:val="26"/>
          <w:szCs w:val="26"/>
        </w:rPr>
        <w:t>14</w:t>
      </w:r>
      <w:r>
        <w:rPr>
          <w:rFonts w:ascii="Arial" w:eastAsia="Arial" w:hAnsi="Arial" w:cs="Arial"/>
          <w:color w:val="000000" w:themeColor="text1"/>
          <w:sz w:val="26"/>
          <w:szCs w:val="26"/>
        </w:rPr>
        <w:t xml:space="preserve">, § 3º, </w:t>
      </w:r>
      <w:r>
        <w:rPr>
          <w:rFonts w:ascii="Arial" w:eastAsia="Arial" w:hAnsi="Arial" w:cs="Arial"/>
          <w:color w:val="808080"/>
          <w:sz w:val="26"/>
          <w:szCs w:val="26"/>
        </w:rPr>
        <w:t>II</w:t>
      </w:r>
      <w:r>
        <w:rPr>
          <w:rFonts w:ascii="Arial" w:eastAsia="Arial" w:hAnsi="Arial" w:cs="Arial"/>
          <w:color w:val="000000" w:themeColor="text1"/>
          <w:sz w:val="26"/>
          <w:szCs w:val="26"/>
        </w:rPr>
        <w:t>; CPC, arts. 370 e 464; Lei nº 15.040/2024, art. 59.</w:t>
      </w:r>
    </w:p>
    <w:p w14:paraId="43D43365" w14:textId="4C1E3948" w:rsidR="00886ABA" w:rsidRPr="000D0D30" w:rsidRDefault="00886ABA" w:rsidP="00886ABA">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TJDFT, </w:t>
      </w:r>
      <w:r>
        <w:rPr>
          <w:rFonts w:ascii="Arial" w:eastAsia="Arial" w:hAnsi="Arial" w:cs="Arial"/>
          <w:color w:val="808080"/>
          <w:sz w:val="26"/>
          <w:szCs w:val="26"/>
        </w:rPr>
        <w:t>0705812</w:t>
      </w:r>
      <w:r>
        <w:rPr>
          <w:rFonts w:ascii="Arial" w:eastAsia="Arial" w:hAnsi="Arial" w:cs="Arial"/>
          <w:color w:val="000000" w:themeColor="text1"/>
          <w:sz w:val="26"/>
          <w:szCs w:val="26"/>
        </w:rPr>
        <w:t>-</w:t>
      </w:r>
      <w:r>
        <w:rPr>
          <w:rFonts w:ascii="Arial" w:eastAsia="Arial" w:hAnsi="Arial" w:cs="Arial"/>
          <w:color w:val="808080"/>
          <w:sz w:val="26"/>
          <w:szCs w:val="26"/>
        </w:rPr>
        <w:t>67</w:t>
      </w:r>
      <w:r>
        <w:rPr>
          <w:rFonts w:ascii="Arial" w:eastAsia="Arial" w:hAnsi="Arial" w:cs="Arial"/>
          <w:color w:val="000000" w:themeColor="text1"/>
          <w:sz w:val="26"/>
          <w:szCs w:val="26"/>
        </w:rPr>
        <w:t>.</w:t>
      </w:r>
      <w:r>
        <w:rPr>
          <w:rFonts w:ascii="Arial" w:eastAsia="Arial" w:hAnsi="Arial" w:cs="Arial"/>
          <w:color w:val="808080"/>
          <w:sz w:val="26"/>
          <w:szCs w:val="26"/>
        </w:rPr>
        <w:t>2024</w:t>
      </w:r>
      <w:r>
        <w:rPr>
          <w:rFonts w:ascii="Arial" w:eastAsia="Arial" w:hAnsi="Arial" w:cs="Arial"/>
          <w:color w:val="000000" w:themeColor="text1"/>
          <w:sz w:val="26"/>
          <w:szCs w:val="26"/>
        </w:rPr>
        <w:t>.8.07.</w:t>
      </w:r>
      <w:r>
        <w:rPr>
          <w:rFonts w:ascii="Arial" w:eastAsia="Arial" w:hAnsi="Arial" w:cs="Arial"/>
          <w:color w:val="808080"/>
          <w:sz w:val="26"/>
          <w:szCs w:val="26"/>
        </w:rPr>
        <w:t>0002</w:t>
      </w:r>
      <w:r>
        <w:rPr>
          <w:rFonts w:ascii="Arial" w:eastAsia="Arial" w:hAnsi="Arial" w:cs="Arial"/>
          <w:color w:val="000000" w:themeColor="text1"/>
          <w:sz w:val="26"/>
          <w:szCs w:val="26"/>
        </w:rPr>
        <w:t xml:space="preserve">, Rel. Des. </w:t>
      </w:r>
      <w:r>
        <w:rPr>
          <w:rFonts w:ascii="Arial" w:eastAsia="Arial" w:hAnsi="Arial" w:cs="Arial"/>
          <w:color w:val="808080"/>
          <w:sz w:val="26"/>
          <w:szCs w:val="26"/>
        </w:rPr>
        <w:t>Aiston</w:t>
      </w:r>
      <w:r>
        <w:rPr>
          <w:rFonts w:ascii="Arial" w:eastAsia="Arial" w:hAnsi="Arial" w:cs="Arial"/>
          <w:color w:val="000000" w:themeColor="text1"/>
          <w:sz w:val="26"/>
          <w:szCs w:val="26"/>
        </w:rPr>
        <w:t xml:space="preserve"> </w:t>
      </w:r>
      <w:r>
        <w:rPr>
          <w:rFonts w:ascii="Arial" w:eastAsia="Arial" w:hAnsi="Arial" w:cs="Arial"/>
          <w:color w:val="808080"/>
          <w:sz w:val="26"/>
          <w:szCs w:val="26"/>
        </w:rPr>
        <w:t>Henrique de Sousa</w:t>
      </w:r>
      <w:r>
        <w:rPr>
          <w:rFonts w:ascii="Arial" w:eastAsia="Arial" w:hAnsi="Arial" w:cs="Arial"/>
          <w:color w:val="000000" w:themeColor="text1"/>
          <w:sz w:val="26"/>
          <w:szCs w:val="26"/>
        </w:rPr>
        <w:t xml:space="preserve">, </w:t>
      </w:r>
      <w:r>
        <w:rPr>
          <w:rFonts w:ascii="Arial" w:eastAsia="Arial" w:hAnsi="Arial" w:cs="Arial"/>
          <w:color w:val="808080"/>
          <w:sz w:val="26"/>
          <w:szCs w:val="26"/>
        </w:rPr>
        <w:t>4ª</w:t>
      </w:r>
      <w:r>
        <w:rPr>
          <w:rFonts w:ascii="Arial" w:eastAsia="Arial" w:hAnsi="Arial" w:cs="Arial"/>
          <w:color w:val="000000" w:themeColor="text1"/>
          <w:sz w:val="26"/>
          <w:szCs w:val="26"/>
        </w:rPr>
        <w:t xml:space="preserve"> Turma Cível, j. 12/</w:t>
      </w:r>
      <w:r>
        <w:rPr>
          <w:rFonts w:ascii="Arial" w:eastAsia="Arial" w:hAnsi="Arial" w:cs="Arial"/>
          <w:color w:val="808080"/>
          <w:sz w:val="26"/>
          <w:szCs w:val="26"/>
        </w:rPr>
        <w:t>02</w:t>
      </w:r>
      <w:r>
        <w:rPr>
          <w:rFonts w:ascii="Arial" w:eastAsia="Arial" w:hAnsi="Arial" w:cs="Arial"/>
          <w:color w:val="000000" w:themeColor="text1"/>
          <w:sz w:val="26"/>
          <w:szCs w:val="26"/>
        </w:rPr>
        <w:t>/</w:t>
      </w:r>
      <w:r>
        <w:rPr>
          <w:rFonts w:ascii="Arial" w:eastAsia="Arial" w:hAnsi="Arial" w:cs="Arial"/>
          <w:color w:val="808080"/>
          <w:sz w:val="26"/>
          <w:szCs w:val="26"/>
        </w:rPr>
        <w:t>2026</w:t>
      </w:r>
      <w:r>
        <w:rPr>
          <w:rFonts w:ascii="Arial" w:eastAsia="Arial" w:hAnsi="Arial" w:cs="Arial"/>
          <w:color w:val="000000" w:themeColor="text1"/>
          <w:sz w:val="26"/>
          <w:szCs w:val="26"/>
        </w:rPr>
        <w:t>.</w:t>
      </w:r>
    </w:p>
    <w:p w14:paraId="58E96891" w14:textId="77777777" w:rsidR="00886ABA" w:rsidRDefault="00886ABA" w:rsidP="00DB1301">
      <w:pPr>
        <w:spacing w:after="0" w:line="360" w:lineRule="auto"/>
        <w:rPr>
          <w:rFonts w:ascii="Arial" w:hAnsi="Arial" w:cs="Arial"/>
          <w:sz w:val="28"/>
          <w:szCs w:val="28"/>
        </w:rPr>
      </w:pPr>
    </w:p>
    <w:p w14:paraId="4887D533" w14:textId="77777777" w:rsidR="0037179E" w:rsidRPr="0037179E" w:rsidRDefault="0037179E" w:rsidP="0037179E">
      <w:pPr>
        <w:spacing w:after="0" w:line="360" w:lineRule="auto"/>
        <w:jc w:val="both"/>
        <w:rPr>
          <w:rFonts w:cstheme="minorHAnsi"/>
          <w:b/>
          <w:bCs/>
          <w:color w:val="FF0000"/>
        </w:rPr>
      </w:pPr>
      <w:r w:rsidRPr="0037179E">
        <w:rPr>
          <w:rFonts w:cstheme="minorHAnsi"/>
          <w:b/>
          <w:bCs/>
          <w:color w:val="FF0000"/>
        </w:rPr>
        <w:t>RESUMO DA SENTENÇA EM SENTIDO CONTRÁRIO</w:t>
      </w:r>
    </w:p>
    <w:p w14:paraId="1E0AD3FB" w14:textId="77777777" w:rsidR="0037179E" w:rsidRPr="0037179E" w:rsidRDefault="0037179E" w:rsidP="0037179E">
      <w:pPr>
        <w:spacing w:after="0" w:line="360" w:lineRule="auto"/>
        <w:jc w:val="both"/>
        <w:rPr>
          <w:rFonts w:cstheme="minorHAnsi"/>
          <w:b/>
          <w:bCs/>
          <w:color w:val="FF0000"/>
        </w:rPr>
      </w:pPr>
      <w:r w:rsidRPr="0037179E">
        <w:rPr>
          <w:rFonts w:cstheme="minorHAnsi"/>
          <w:b/>
          <w:bCs/>
          <w:color w:val="FF0000"/>
        </w:rPr>
        <w:t>I. RAZÕES DE DECIDIR:</w:t>
      </w:r>
    </w:p>
    <w:p w14:paraId="2072FE7B" w14:textId="77777777" w:rsidR="0037179E" w:rsidRPr="0037179E" w:rsidRDefault="0037179E" w:rsidP="0037179E">
      <w:pPr>
        <w:spacing w:after="0" w:line="360" w:lineRule="auto"/>
        <w:jc w:val="both"/>
        <w:rPr>
          <w:rFonts w:cstheme="minorHAnsi"/>
          <w:b/>
          <w:bCs/>
          <w:color w:val="FF0000"/>
        </w:rPr>
      </w:pPr>
      <w:r w:rsidRPr="0037179E">
        <w:rPr>
          <w:rFonts w:cstheme="minorHAnsi"/>
          <w:b/>
          <w:bCs/>
          <w:color w:val="FF0000"/>
        </w:rPr>
        <w:t>Ausência de comprovação de evento coberto pelo seguro</w:t>
      </w:r>
    </w:p>
    <w:p w14:paraId="7699744B"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Embora comprovada a contratação do seguro de garantia estendida, com limite máximo de indenização correspondente ao valor do televisor, a controvérsia restringiu-se à natureza do dano e à sua cobertura contratual. A alegação de que o aparelho deixou de funcionar em razão de pico de energia constava apenas da narrativa do consumidor, sem documento técnico independente que confirmasse variação elétrica ou defeito interno coberto pelo seguro. [0703419-07...2-sentenca | PDF]</w:t>
      </w:r>
    </w:p>
    <w:p w14:paraId="780F699D"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Prevalência do relatório técnico apresentado pelas rés</w:t>
      </w:r>
    </w:p>
    <w:p w14:paraId="02539C5B"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O relatório de perda de garantia, contemporâneo ao sinistro e vinculado ao aparelho e à respectiva ordem de serviço, concluiu que o defeito resultou de ação ou agente externo, consistente em tela trincada ou quebrada. O documento continha fotografias e foi produzido a partir de análise de assistência técnica autorizada, não tendo sido afastado por prova técnica em sentido contrário. [0703419-07...2-sentenca | PDF]</w:t>
      </w:r>
    </w:p>
    <w:p w14:paraId="5CA20D53"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Insuficiência da impugnação formulada pelo consumidor</w:t>
      </w:r>
    </w:p>
    <w:p w14:paraId="4FE600D2"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Apesar de impugnar a conclusão do relatório e sustentar que a tela não estava quebrada, o autor não apresentou laudo particular, orçamento técnico, relatório de outra assistência ou qualquer elemento objetivo que demonstrasse a origem elétrica ou interna do dano. Também não requereu prova pericial, tendo afirmado que os documentos existentes eram suficientes para o julgamento. [0703419-07...2-sentenca | PDF]</w:t>
      </w:r>
    </w:p>
    <w:p w14:paraId="45BA56B3"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Efeitos da inversão do ônus da prova</w:t>
      </w:r>
    </w:p>
    <w:p w14:paraId="189CE5C6"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A inversão do ônus da prova, anteriormente deferida em razão da relação de consumo, não afastou a eficácia do elemento técnico apresentado pelas rés. A sentença considerou que o relatório justificava de forma idônea a negativa administrativa e que a mera discordância do consumidor, desacompanhada de prova técnica mínima, não era suficiente para desconstituí-lo. [0703419-07...2-sentenca | PDF]</w:t>
      </w:r>
    </w:p>
    <w:p w14:paraId="5627A11D"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Limitação da cobertura da garantia estendida</w:t>
      </w:r>
    </w:p>
    <w:p w14:paraId="495CBA9D"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lastRenderedPageBreak/>
        <w:t>A garantia estendida não foi considerada cobertura universal para qualquer dano sofrido pelo produto. A obrigação de indenizar dependia da ocorrência de evento abrangido pelo contrato, não alcançando dano decorrente de ação ou agente externo. Como o único documento técnico específico apontava tela trincada ou quebrada por causa externa, não se reconheceu a obrigação da seguradora de pagar a indenização securitária. [0703419-07...2-sentenca | PDF]</w:t>
      </w:r>
    </w:p>
    <w:p w14:paraId="056FF427"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Ausência de responsabilidade material da comerciante</w:t>
      </w:r>
    </w:p>
    <w:p w14:paraId="32F62AD9"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Embora reconhecida a legitimidade passiva da comerciante por integrar a cadeia de consumo, a sentença distinguiu legitimidade processual de responsabilidade civil. Não foram comprovados defeito originário do produto, vício oculto, falha na venda ou conduta própria da comerciante que tivesse causado o dano, sendo a pretensão material decorrente exclusivamente da negativa de cobertura securitária. [0703419-07...2-sentenca | PDF]</w:t>
      </w:r>
    </w:p>
    <w:p w14:paraId="28D6A6E4"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Inexistência de falha na prestação do serviço securitário</w:t>
      </w:r>
    </w:p>
    <w:p w14:paraId="4DCD4D6C"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A negativa de cobertura foi considerada amparada em relatório técnico contemporâneo que indicava causa contratualmente excluída. Diante da ausência de prova de evento coberto ou de irregularidade na regulação do sinistro, não ficou caracterizada falha na prestação do serviço capaz de justificar a indenização material pretendida. [0703419-07...2-sentenca | PDF]</w:t>
      </w:r>
    </w:p>
    <w:p w14:paraId="582004D8" w14:textId="77777777" w:rsidR="0037179E" w:rsidRPr="002D7F75" w:rsidRDefault="0037179E" w:rsidP="0037179E">
      <w:pPr>
        <w:spacing w:after="0" w:line="360" w:lineRule="auto"/>
        <w:jc w:val="both"/>
        <w:rPr>
          <w:rFonts w:cstheme="minorHAnsi"/>
          <w:b/>
          <w:bCs/>
          <w:color w:val="FF0000"/>
        </w:rPr>
      </w:pPr>
      <w:r w:rsidRPr="002D7F75">
        <w:rPr>
          <w:rFonts w:cstheme="minorHAnsi"/>
          <w:b/>
          <w:bCs/>
          <w:color w:val="FF0000"/>
        </w:rPr>
        <w:t>Inexistência de dano moral indenizável</w:t>
      </w:r>
    </w:p>
    <w:p w14:paraId="5F66BFCA"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A negativa de cobertura, quando fundada em interpretação contratual razoável e em relatório técnico, não configura, por si só, violação a direito da personalidade. A controvérsia foi qualificada como divergência contratual legítima sobre a natureza do dano e a extensão da cobertura, sem demonstração de exposição vexatória, ofensa à honra, conduta abusiva autônoma, desvio produtivo qualificado ou repercussão concreta superior ao inadimplemento contratual discutido. [0703419-07...2-sentenca | PDF]</w:t>
      </w:r>
    </w:p>
    <w:p w14:paraId="03D882C0" w14:textId="77777777" w:rsidR="0037179E" w:rsidRPr="002D7F75" w:rsidRDefault="0037179E" w:rsidP="0037179E">
      <w:pPr>
        <w:spacing w:after="0" w:line="360" w:lineRule="auto"/>
        <w:jc w:val="both"/>
        <w:rPr>
          <w:rFonts w:cstheme="minorHAnsi"/>
          <w:b/>
          <w:bCs/>
          <w:color w:val="FF0000"/>
        </w:rPr>
      </w:pPr>
      <w:r w:rsidRPr="002D7F75">
        <w:rPr>
          <w:rFonts w:cstheme="minorHAnsi"/>
          <w:b/>
          <w:bCs/>
          <w:color w:val="FF0000"/>
        </w:rPr>
        <w:t>Privação temporária de bem doméstico</w:t>
      </w:r>
    </w:p>
    <w:p w14:paraId="241CB57A"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Embora o televisor constitua bem de utilidade doméstica, a privação de seu uso, nas circunstâncias comprovadas no processo, não foi considerada suficiente para produzir automaticamente dano extrapatrimonial. [0703419-07...2-sentenca | PDF]</w:t>
      </w:r>
    </w:p>
    <w:p w14:paraId="7C6AC5DC" w14:textId="77777777" w:rsidR="0037179E" w:rsidRPr="002D7F75" w:rsidRDefault="0037179E" w:rsidP="0037179E">
      <w:pPr>
        <w:spacing w:after="0" w:line="360" w:lineRule="auto"/>
        <w:jc w:val="both"/>
        <w:rPr>
          <w:rFonts w:cstheme="minorHAnsi"/>
          <w:b/>
          <w:bCs/>
          <w:color w:val="FF0000"/>
        </w:rPr>
      </w:pPr>
      <w:r w:rsidRPr="002D7F75">
        <w:rPr>
          <w:rFonts w:cstheme="minorHAnsi"/>
          <w:b/>
          <w:bCs/>
          <w:color w:val="FF0000"/>
        </w:rPr>
        <w:t>II. DISPOSITIVO DA SENTENÇA</w:t>
      </w:r>
    </w:p>
    <w:p w14:paraId="27358022"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Com fundamento no art. 487, I, do Código de Processo Civil, foram julgados improcedentes os pedidos de indenização material e moral. O autor foi condenado ao pagamento das custas processuais e de honorários advocatícios fixados em 10% sobre o valor da causa, nos termos do art. 85, § 2º, do CPC, ficando suspensa a exigibilidade das verbas sucumbenciais em razão da gratuidade de justiça, conforme o art. 98, § 3º, do CPC. [0703419-07...2-sentenca | PDF]</w:t>
      </w:r>
    </w:p>
    <w:p w14:paraId="5350F300" w14:textId="77777777" w:rsidR="00886ABA" w:rsidRDefault="00886ABA" w:rsidP="00DB1301">
      <w:pPr>
        <w:spacing w:after="0" w:line="360" w:lineRule="auto"/>
        <w:rPr>
          <w:rFonts w:ascii="Arial" w:hAnsi="Arial" w:cs="Arial"/>
          <w:sz w:val="28"/>
          <w:szCs w:val="28"/>
        </w:rPr>
      </w:pPr>
    </w:p>
    <w:p w14:paraId="63358632" w14:textId="11C03E9F" w:rsidR="00DB1301" w:rsidRDefault="00F63CDB" w:rsidP="00355C73">
      <w:pPr>
        <w:pageBreakBefore/>
        <w:spacing w:after="0" w:line="360" w:lineRule="auto"/>
        <w:jc w:val="center"/>
        <w:outlineLvl w:val="0"/>
        <w:rPr>
          <w:rFonts w:ascii="Arial" w:hAnsi="Arial" w:cs="Arial"/>
          <w:b/>
          <w:bCs/>
          <w:sz w:val="28"/>
          <w:szCs w:val="28"/>
        </w:rPr>
      </w:pPr>
      <w:commentRangeStart w:id="6"/>
      <w:r>
        <w:rPr>
          <w:rFonts w:ascii="Arial" w:hAnsi="Arial" w:cs="Arial"/>
          <w:b/>
          <w:bCs/>
          <w:sz w:val="28"/>
          <w:szCs w:val="28"/>
        </w:rPr>
        <w:lastRenderedPageBreak/>
        <w:t>RELATÓRIO</w:t>
      </w:r>
      <w:commentRangeEnd w:id="6"/>
      <w:r>
        <w:commentReference w:id="6"/>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37CD8EB4" w14:textId="77777777" w:rsidR="00D873F6" w:rsidRPr="00D873F6" w:rsidRDefault="00F63CDB" w:rsidP="00D873F6">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D873F6" w:rsidRPr="00D873F6">
        <w:rPr>
          <w:rFonts w:ascii="Arial" w:hAnsi="Arial" w:cs="Arial"/>
          <w:i/>
          <w:iCs/>
          <w:sz w:val="26"/>
          <w:szCs w:val="26"/>
        </w:rPr>
        <w:t>Cuida-se de ação submetida ao procedimento comum proposta por CARLOS JOSE FERREIRA DANTAS em desfavor de ASSURANT SEGURADORA S.A e outros, na qual requereu indenização por danos materiais e danos morais em razão de negativa de cobertura de seguro de garantia estendida. O autor afirmou que, em 18 de março de 2023, adquiriu no estabelecimento da ré Carrefour Comércio e Indústria Ltda. um televisor LG Smart TV 55”, modelo 55UQ8050PSA, pelo valor de R$ 2.699,00 e, na mesma ocasião, contratou seguro de garantia estendida, mediante pagamento de prêmio único no valor de R$ 877,91, com vigência indicada até 17 de março de 2027, conforme bilhete de seguro de ID 263079028. Segundo a inicial, em 18 de agosto de 2025, após alegado pico na rede elétrica, o televisor deixou de funcionar. O autor comunicou o sinistro à seguradora, sob protocolo n. 5957508 e sinistro n. 45210553, seguido de vistoria superficial realizada pela assistência técnica indicada pelo seguro e que, em seguida, recebeu negativa de cobertura, sob o fundamento de que o defeito não estaria coberto pelo seguro (ID 263079032).</w:t>
      </w:r>
    </w:p>
    <w:p w14:paraId="6425A49B" w14:textId="2707852B"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 xml:space="preserve">Nesse cenário, o relatório de perda de garantia juntado no ID 263079035 registrou que o aparelho apresentava </w:t>
      </w:r>
      <w:r w:rsidR="003A0FF2">
        <w:rPr>
          <w:rFonts w:ascii="Arial" w:hAnsi="Arial" w:cs="Arial"/>
          <w:i/>
          <w:iCs/>
          <w:sz w:val="26"/>
          <w:szCs w:val="26"/>
        </w:rPr>
        <w:t>‘</w:t>
      </w:r>
      <w:r w:rsidRPr="00D873F6">
        <w:rPr>
          <w:rFonts w:ascii="Arial" w:hAnsi="Arial" w:cs="Arial"/>
          <w:i/>
          <w:iCs/>
          <w:sz w:val="26"/>
          <w:szCs w:val="26"/>
        </w:rPr>
        <w:t>tela com aspecto de quebrada logo após pico elétrico</w:t>
      </w:r>
      <w:r w:rsidR="003A0FF2">
        <w:rPr>
          <w:rFonts w:ascii="Arial" w:hAnsi="Arial" w:cs="Arial"/>
          <w:i/>
          <w:iCs/>
          <w:sz w:val="26"/>
          <w:szCs w:val="26"/>
        </w:rPr>
        <w:t>’</w:t>
      </w:r>
      <w:r w:rsidRPr="00D873F6">
        <w:rPr>
          <w:rFonts w:ascii="Arial" w:hAnsi="Arial" w:cs="Arial"/>
          <w:i/>
          <w:iCs/>
          <w:sz w:val="26"/>
          <w:szCs w:val="26"/>
        </w:rPr>
        <w:t xml:space="preserve"> e concluiu pela perda da </w:t>
      </w:r>
      <w:r w:rsidRPr="00D873F6">
        <w:rPr>
          <w:rFonts w:ascii="Arial" w:hAnsi="Arial" w:cs="Arial"/>
          <w:i/>
          <w:iCs/>
          <w:sz w:val="26"/>
          <w:szCs w:val="26"/>
        </w:rPr>
        <w:lastRenderedPageBreak/>
        <w:t xml:space="preserve">garantia, por </w:t>
      </w:r>
      <w:r w:rsidR="003A0FF2">
        <w:rPr>
          <w:rFonts w:ascii="Arial" w:hAnsi="Arial" w:cs="Arial"/>
          <w:i/>
          <w:iCs/>
          <w:sz w:val="26"/>
          <w:szCs w:val="26"/>
        </w:rPr>
        <w:t>‘</w:t>
      </w:r>
      <w:r w:rsidRPr="00D873F6">
        <w:rPr>
          <w:rFonts w:ascii="Arial" w:hAnsi="Arial" w:cs="Arial"/>
          <w:i/>
          <w:iCs/>
          <w:sz w:val="26"/>
          <w:szCs w:val="26"/>
        </w:rPr>
        <w:t>defeito causado por ação/agente externo — tela trincada/quebrada</w:t>
      </w:r>
      <w:r w:rsidR="003A0FF2">
        <w:rPr>
          <w:rFonts w:ascii="Arial" w:hAnsi="Arial" w:cs="Arial"/>
          <w:i/>
          <w:iCs/>
          <w:sz w:val="26"/>
          <w:szCs w:val="26"/>
        </w:rPr>
        <w:t>’</w:t>
      </w:r>
      <w:r w:rsidRPr="00D873F6">
        <w:rPr>
          <w:rFonts w:ascii="Arial" w:hAnsi="Arial" w:cs="Arial"/>
          <w:i/>
          <w:iCs/>
          <w:sz w:val="26"/>
          <w:szCs w:val="26"/>
        </w:rPr>
        <w:t xml:space="preserve"> e, em seguida, o autor impugnou essa conclusão e sustentou que o televisor não estava quebrado, que não houve análise técnica adequada e que a negativa de cobertura foi indevida. Ao final, pediu a inversão do ônus da prova, a condenação da seguradora ao pagamento do valor do aparelho, em R$ 2.699,00, e a condenação solidária das rés ao pagamento de indenização por danos morais no valor de R$ 3.000,00. </w:t>
      </w:r>
    </w:p>
    <w:p w14:paraId="1DAFDE79"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 xml:space="preserve">Gratuidade de justiça concedida ao autor pelo Acórdão de ID 282043254. </w:t>
      </w:r>
    </w:p>
    <w:p w14:paraId="54653AE7"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Citada, a ré Carrefour apresentou contestação no ID 267030276 e alegou, em síntese, ilegitimidade passiva, ausência de responsabilidade pelo vício do produto ou pela regulação do sinistro, responsabilidade exclusiva da seguradora, inexistência de ato ilícito e ausência de dano moral indenizável. Defendeu, ainda, a impossibilidade de inversão do ônus da prova, pugnando, ao final, pela improcedência dos pedidos.</w:t>
      </w:r>
    </w:p>
    <w:p w14:paraId="50527BA0"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A ré Assurant Seguradora, por sua vez, apresentou contestação no ID 270816176 ao argumento, em resumo, de ausência de interesse de agir, de regularidade da negativa de cobertura, de existência de excludente contratual decorrente de dano por agente externo e de inexistência de dano moral. Por tudo isso, requereu a improcedência dos pedidos.</w:t>
      </w:r>
    </w:p>
    <w:p w14:paraId="2A78C3C4"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Réplica no ID 271915612.</w:t>
      </w:r>
    </w:p>
    <w:p w14:paraId="37BAF4AD"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lastRenderedPageBreak/>
        <w:t>Na decisão saneadora de ID 275689769, foram rejeitadas as preliminares, reconheceu-se a relação de consumo, inverteu-se o ônus da prova e delimitou-se a controvérsia à verificação dos termos do contrato de seguro, da natureza do dano alegado no produto e de eventual dano daí decorrente.</w:t>
      </w:r>
    </w:p>
    <w:p w14:paraId="2A1367AB" w14:textId="0781F899" w:rsidR="00F63CDB" w:rsidRPr="000A7009"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Após manifestações das partes, os autos vieram conclusos para julgamento</w:t>
      </w:r>
      <w:r w:rsidR="00230A7D" w:rsidRPr="00230A7D">
        <w:rPr>
          <w:rFonts w:ascii="Arial" w:hAnsi="Arial" w:cs="Arial"/>
          <w:i/>
          <w:iCs/>
          <w:sz w:val="26"/>
          <w:szCs w:val="26"/>
        </w:rPr>
        <w:t>.</w:t>
      </w:r>
      <w:r w:rsidR="0061262D" w:rsidRPr="00777828">
        <w:rPr>
          <w:rFonts w:ascii="Arial" w:hAnsi="Arial" w:cs="Arial"/>
          <w:sz w:val="26"/>
          <w:szCs w:val="26"/>
        </w:rPr>
        <w:t xml:space="preserve">” </w:t>
      </w:r>
      <w:r w:rsidR="0061262D" w:rsidRPr="00FA2993">
        <w:rPr>
          <w:rFonts w:ascii="Arial" w:hAnsi="Arial" w:cs="Arial"/>
          <w:i/>
          <w:iCs/>
          <w:sz w:val="26"/>
          <w:szCs w:val="26"/>
        </w:rPr>
        <w:t xml:space="preserve">(ID </w:t>
      </w:r>
      <w:r w:rsidR="003A0FF2" w:rsidRPr="00FA2993">
        <w:rPr>
          <w:rFonts w:ascii="Arial" w:hAnsi="Arial" w:cs="Arial"/>
          <w:i/>
          <w:iCs/>
          <w:sz w:val="26"/>
          <w:szCs w:val="26"/>
        </w:rPr>
        <w:t>89619912</w:t>
      </w:r>
      <w:r w:rsidR="0061262D" w:rsidRPr="00FA2993">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2E25829C" w:rsidR="0061262D" w:rsidRDefault="003A0FF2" w:rsidP="00DB1301">
      <w:pPr>
        <w:spacing w:after="0" w:line="360" w:lineRule="auto"/>
        <w:ind w:firstLine="2268"/>
        <w:jc w:val="both"/>
        <w:rPr>
          <w:rFonts w:ascii="Arial" w:hAnsi="Arial" w:cs="Arial"/>
          <w:sz w:val="28"/>
          <w:szCs w:val="28"/>
        </w:rPr>
      </w:pPr>
      <w:r>
        <w:rPr>
          <w:rFonts w:ascii="Arial" w:hAnsi="Arial" w:cs="Arial"/>
          <w:sz w:val="28"/>
          <w:szCs w:val="28"/>
        </w:rPr>
        <w:t xml:space="preserve">A </w:t>
      </w:r>
      <w:r>
        <w:rPr>
          <w:rFonts w:ascii="Arial" w:hAnsi="Arial" w:cs="Arial"/>
          <w:color w:val="808080"/>
          <w:sz w:val="28"/>
          <w:szCs w:val="28"/>
        </w:rPr>
        <w:t>MM</w:t>
      </w:r>
      <w:r>
        <w:rPr>
          <w:rFonts w:ascii="Arial" w:hAnsi="Arial" w:cs="Arial"/>
          <w:sz w:val="28"/>
          <w:szCs w:val="28"/>
        </w:rPr>
        <w:t xml:space="preserve">. Juíza sentenciante, </w:t>
      </w:r>
      <w:r>
        <w:rPr>
          <w:rFonts w:ascii="Arial" w:hAnsi="Arial" w:cs="Arial"/>
          <w:color w:val="808080"/>
          <w:sz w:val="28"/>
          <w:szCs w:val="28"/>
        </w:rPr>
        <w:t>Dra</w:t>
      </w:r>
      <w:r>
        <w:rPr>
          <w:rFonts w:ascii="Arial" w:hAnsi="Arial" w:cs="Arial"/>
          <w:sz w:val="28"/>
          <w:szCs w:val="28"/>
        </w:rPr>
        <w:t>. Luciana Correa Sette Torres de Oliveira, da 7ª Vara Cível de Brasília,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163354A9" w14:textId="093AC1E8" w:rsidR="0006080C" w:rsidRPr="007A5C88" w:rsidRDefault="0006080C" w:rsidP="00D773DA">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D773DA" w:rsidRPr="00D773DA">
        <w:rPr>
          <w:rFonts w:ascii="Arial" w:hAnsi="Arial" w:cs="Arial"/>
          <w:i/>
          <w:iCs/>
          <w:sz w:val="26"/>
          <w:szCs w:val="26"/>
        </w:rPr>
        <w:t>Diante do exposto, com fundamento no art. 487, I, do CPC, JULGO IMPROCEDENTES os pedidos formulados na inicial, e condeno o autor ao pagamento das custas processuais e dos honorários advocatícios, que fixo em 10% sobre o valor da causa, nos termos do art. 85, § 2º, do CPC, observando-se a suspensão da exigibilidade das verba</w:t>
      </w:r>
      <w:r w:rsidR="00E730F3">
        <w:rPr>
          <w:rFonts w:ascii="Arial" w:hAnsi="Arial" w:cs="Arial"/>
          <w:i/>
          <w:iCs/>
          <w:sz w:val="26"/>
          <w:szCs w:val="26"/>
        </w:rPr>
        <w:t>s</w:t>
      </w:r>
      <w:r w:rsidR="00C41BF5">
        <w:rPr>
          <w:rFonts w:ascii="Arial" w:hAnsi="Arial" w:cs="Arial"/>
          <w:sz w:val="26"/>
          <w:szCs w:val="26"/>
        </w:rPr>
        <w:t xml:space="preserve"> </w:t>
      </w:r>
      <w:r w:rsidR="00D773DA" w:rsidRPr="00D773DA">
        <w:rPr>
          <w:rFonts w:ascii="Arial" w:hAnsi="Arial" w:cs="Arial"/>
          <w:i/>
          <w:iCs/>
          <w:sz w:val="26"/>
          <w:szCs w:val="26"/>
        </w:rPr>
        <w:t>de sucumbência porque o autor é beneficiário da gratuidade de justiça, nos termos do art. 98, § 3º, do CPC.</w:t>
      </w:r>
      <w:r w:rsidR="00063145" w:rsidRPr="007A5C88">
        <w:rPr>
          <w:rFonts w:ascii="Arial" w:hAnsi="Arial" w:cs="Arial"/>
          <w:i/>
          <w:iCs/>
          <w:sz w:val="26"/>
          <w:szCs w:val="26"/>
        </w:rPr>
        <w:t>”</w:t>
      </w:r>
    </w:p>
    <w:p w14:paraId="41F018EC" w14:textId="77777777" w:rsidR="0061262D" w:rsidRDefault="0061262D" w:rsidP="00DB1301">
      <w:pPr>
        <w:spacing w:after="0" w:line="360" w:lineRule="auto"/>
        <w:ind w:firstLine="2268"/>
        <w:jc w:val="both"/>
        <w:rPr>
          <w:rFonts w:ascii="Arial" w:hAnsi="Arial" w:cs="Arial"/>
          <w:sz w:val="28"/>
          <w:szCs w:val="28"/>
        </w:rPr>
      </w:pPr>
    </w:p>
    <w:p w14:paraId="09687F55" w14:textId="77777777" w:rsidR="000348DD" w:rsidRDefault="00366AE2">
      <w:pPr>
        <w:spacing w:after="0" w:line="360" w:lineRule="auto"/>
        <w:ind w:firstLine="2268"/>
        <w:jc w:val="both"/>
        <w:rPr>
          <w:rFonts w:ascii="Arial" w:hAnsi="Arial" w:cs="Arial"/>
          <w:sz w:val="28"/>
          <w:szCs w:val="28"/>
        </w:rPr>
      </w:pPr>
      <w:commentRangeStart w:id="7"/>
      <w:r>
        <w:rPr>
          <w:rFonts w:ascii="Arial" w:hAnsi="Arial"/>
          <w:color w:val="808080"/>
          <w:sz w:val="28"/>
        </w:rPr>
        <w:t>Apelo do autor, Carlos José Ferreira Dantas (ID 89619913), em que alega, em síntese, que:</w:t>
      </w:r>
      <w:r>
        <w:rPr>
          <w:rFonts w:ascii="Arial" w:hAnsi="Arial"/>
          <w:b/>
          <w:color w:val="808080"/>
          <w:sz w:val="28"/>
        </w:rPr>
        <w:t xml:space="preserve"> 1)</w:t>
      </w:r>
      <w:r>
        <w:rPr>
          <w:rFonts w:ascii="Arial" w:hAnsi="Arial"/>
          <w:color w:val="808080"/>
          <w:sz w:val="28"/>
        </w:rPr>
        <w:t xml:space="preserve"> a sentença é nula, por incompatibilidade com a distribuição do ônus da prova constante da decisão saneadora;</w:t>
      </w:r>
      <w:r>
        <w:rPr>
          <w:rFonts w:ascii="Arial" w:hAnsi="Arial"/>
          <w:b/>
          <w:color w:val="808080"/>
          <w:sz w:val="28"/>
        </w:rPr>
        <w:t xml:space="preserve"> 2)</w:t>
      </w:r>
      <w:r>
        <w:rPr>
          <w:rFonts w:ascii="Arial" w:hAnsi="Arial"/>
          <w:color w:val="808080"/>
          <w:sz w:val="28"/>
        </w:rPr>
        <w:t xml:space="preserve"> a fundamentação quanto à alegada exclusão de cobertura contratual do seguro de garantia estendida é insuficiente;</w:t>
      </w:r>
      <w:r>
        <w:rPr>
          <w:rFonts w:ascii="Arial" w:hAnsi="Arial"/>
          <w:b/>
          <w:color w:val="808080"/>
          <w:sz w:val="28"/>
        </w:rPr>
        <w:t xml:space="preserve"> 3)</w:t>
      </w:r>
      <w:r>
        <w:rPr>
          <w:rFonts w:ascii="Arial" w:hAnsi="Arial"/>
          <w:color w:val="808080"/>
          <w:sz w:val="28"/>
        </w:rPr>
        <w:t xml:space="preserve"> as rés não comprovaram o f</w:t>
      </w:r>
      <w:r>
        <w:rPr>
          <w:rFonts w:ascii="Arial" w:hAnsi="Arial"/>
          <w:color w:val="808080"/>
          <w:sz w:val="28"/>
        </w:rPr>
        <w:t xml:space="preserve">ato excludente, apesar da </w:t>
      </w:r>
      <w:r>
        <w:rPr>
          <w:rFonts w:ascii="Arial" w:hAnsi="Arial"/>
          <w:color w:val="808080"/>
          <w:sz w:val="28"/>
        </w:rPr>
        <w:lastRenderedPageBreak/>
        <w:t>expressa inversão do ônus da prova;</w:t>
      </w:r>
      <w:r>
        <w:rPr>
          <w:rFonts w:ascii="Arial" w:hAnsi="Arial"/>
          <w:b/>
          <w:color w:val="808080"/>
          <w:sz w:val="28"/>
        </w:rPr>
        <w:t xml:space="preserve"> 4)</w:t>
      </w:r>
      <w:r>
        <w:rPr>
          <w:rFonts w:ascii="Arial" w:hAnsi="Arial"/>
          <w:color w:val="808080"/>
          <w:sz w:val="28"/>
        </w:rPr>
        <w:t xml:space="preserve"> o relatório apresentado pela assistência técnica é unilateral e tecnicamente insuficiente;</w:t>
      </w:r>
      <w:r>
        <w:rPr>
          <w:rFonts w:ascii="Arial" w:hAnsi="Arial"/>
          <w:b/>
          <w:color w:val="808080"/>
          <w:sz w:val="28"/>
        </w:rPr>
        <w:t xml:space="preserve"> 5)</w:t>
      </w:r>
      <w:r>
        <w:rPr>
          <w:rFonts w:ascii="Arial" w:hAnsi="Arial"/>
          <w:color w:val="808080"/>
          <w:sz w:val="28"/>
        </w:rPr>
        <w:t xml:space="preserve"> os documentos produzidos pela assistência técnica corroboram a ocorrência de pico elétrico contem</w:t>
      </w:r>
      <w:r>
        <w:rPr>
          <w:rFonts w:ascii="Arial" w:hAnsi="Arial"/>
          <w:color w:val="808080"/>
          <w:sz w:val="28"/>
        </w:rPr>
        <w:t>porâneo ao surgimento do defeito;</w:t>
      </w:r>
      <w:r>
        <w:rPr>
          <w:rFonts w:ascii="Arial" w:hAnsi="Arial"/>
          <w:b/>
          <w:color w:val="808080"/>
          <w:sz w:val="28"/>
        </w:rPr>
        <w:t xml:space="preserve"> 6)</w:t>
      </w:r>
      <w:r>
        <w:rPr>
          <w:rFonts w:ascii="Arial" w:hAnsi="Arial"/>
          <w:color w:val="808080"/>
          <w:sz w:val="28"/>
        </w:rPr>
        <w:t xml:space="preserve"> a negativa de cobertura é genérica, sem indicação da cláusula contratual aplicável, do agente externo ou dos exames realizados;</w:t>
      </w:r>
      <w:r>
        <w:rPr>
          <w:rFonts w:ascii="Arial" w:hAnsi="Arial"/>
          <w:b/>
          <w:color w:val="808080"/>
          <w:sz w:val="28"/>
        </w:rPr>
        <w:t xml:space="preserve"> 7)</w:t>
      </w:r>
      <w:r>
        <w:rPr>
          <w:rFonts w:ascii="Arial" w:hAnsi="Arial"/>
          <w:color w:val="808080"/>
          <w:sz w:val="28"/>
        </w:rPr>
        <w:t xml:space="preserve"> o revendedor varejista (Carrefour) tem responsabilidade solidária; e</w:t>
      </w:r>
      <w:r>
        <w:rPr>
          <w:rFonts w:ascii="Arial" w:hAnsi="Arial"/>
          <w:b/>
          <w:color w:val="808080"/>
          <w:sz w:val="28"/>
        </w:rPr>
        <w:t xml:space="preserve"> 8)</w:t>
      </w:r>
      <w:r>
        <w:rPr>
          <w:rFonts w:ascii="Arial" w:hAnsi="Arial"/>
          <w:color w:val="808080"/>
          <w:sz w:val="28"/>
        </w:rPr>
        <w:t xml:space="preserve"> a situação ultra</w:t>
      </w:r>
      <w:r>
        <w:rPr>
          <w:rFonts w:ascii="Arial" w:hAnsi="Arial"/>
          <w:color w:val="808080"/>
          <w:sz w:val="28"/>
        </w:rPr>
        <w:t>passou o mero inadimplemento contratual, ensejando compensação por danos morais.</w:t>
      </w:r>
      <w:commentRangeEnd w:id="7"/>
      <w:r>
        <w:commentReference w:id="7"/>
      </w:r>
    </w:p>
    <w:p w14:paraId="41B647D9" w14:textId="77777777" w:rsidR="00C37113" w:rsidRPr="00882188" w:rsidRDefault="00C37113" w:rsidP="00882188">
      <w:pPr>
        <w:spacing w:after="0" w:line="360" w:lineRule="auto"/>
        <w:ind w:firstLine="2268"/>
        <w:jc w:val="both"/>
        <w:rPr>
          <w:rFonts w:ascii="Arial" w:hAnsi="Arial" w:cs="Arial"/>
          <w:sz w:val="28"/>
          <w:szCs w:val="28"/>
        </w:rPr>
      </w:pPr>
    </w:p>
    <w:p w14:paraId="587747ED" w14:textId="6911CBD0" w:rsidR="006343B5" w:rsidRPr="006343B5" w:rsidRDefault="00882188" w:rsidP="006343B5">
      <w:pPr>
        <w:spacing w:after="0" w:line="360" w:lineRule="auto"/>
        <w:ind w:firstLine="2268"/>
        <w:jc w:val="both"/>
        <w:rPr>
          <w:rFonts w:ascii="Arial" w:hAnsi="Arial" w:cs="Arial"/>
          <w:sz w:val="28"/>
          <w:szCs w:val="28"/>
        </w:rPr>
      </w:pPr>
      <w:r w:rsidRPr="00882188">
        <w:rPr>
          <w:rFonts w:ascii="Arial" w:hAnsi="Arial" w:cs="Arial"/>
          <w:sz w:val="28"/>
          <w:szCs w:val="28"/>
        </w:rPr>
        <w:t>Requer</w:t>
      </w:r>
      <w:r w:rsidR="00946FF7">
        <w:rPr>
          <w:rFonts w:ascii="Arial" w:hAnsi="Arial" w:cs="Arial"/>
          <w:sz w:val="28"/>
          <w:szCs w:val="28"/>
        </w:rPr>
        <w:t xml:space="preserve"> </w:t>
      </w:r>
      <w:r w:rsidR="006D07B9">
        <w:rPr>
          <w:rFonts w:ascii="Arial" w:hAnsi="Arial" w:cs="Arial"/>
          <w:sz w:val="28"/>
          <w:szCs w:val="28"/>
        </w:rPr>
        <w:t>a reforma da r. sentença para</w:t>
      </w:r>
      <w:r w:rsidR="00FC6B80">
        <w:rPr>
          <w:rFonts w:ascii="Arial" w:hAnsi="Arial" w:cs="Arial"/>
          <w:sz w:val="28"/>
          <w:szCs w:val="28"/>
        </w:rPr>
        <w:t xml:space="preserve"> que o pedido seja julgado procedente</w:t>
      </w:r>
      <w:r w:rsidR="00637DEB">
        <w:rPr>
          <w:rFonts w:ascii="Arial" w:hAnsi="Arial" w:cs="Arial"/>
          <w:sz w:val="28"/>
          <w:szCs w:val="28"/>
        </w:rPr>
        <w:t xml:space="preserve">, </w:t>
      </w:r>
      <w:r w:rsidR="006343B5" w:rsidRPr="006343B5">
        <w:rPr>
          <w:rFonts w:ascii="Arial" w:hAnsi="Arial" w:cs="Arial"/>
          <w:sz w:val="28"/>
          <w:szCs w:val="28"/>
        </w:rPr>
        <w:t>condenando solidariamente as recorridas ao pagamento de R$ 2.699,00 por danos materiais e de R$ 3.000,00 por danos morais, ou outro valor arbitrado pelo Tribunal</w:t>
      </w:r>
      <w:r w:rsidR="006343B5">
        <w:rPr>
          <w:rFonts w:ascii="Arial" w:hAnsi="Arial" w:cs="Arial"/>
          <w:sz w:val="28"/>
          <w:szCs w:val="28"/>
        </w:rPr>
        <w:t>. Subsidiariamente, pede a cassação da sentença</w:t>
      </w:r>
      <w:r w:rsidR="00565748">
        <w:rPr>
          <w:rFonts w:ascii="Arial" w:hAnsi="Arial" w:cs="Arial"/>
          <w:sz w:val="28"/>
          <w:szCs w:val="28"/>
        </w:rPr>
        <w:t>, com a reabertura da instrução e a realização de perícia na televisão.</w:t>
      </w:r>
    </w:p>
    <w:p w14:paraId="15BADA6A" w14:textId="77777777" w:rsidR="00882188" w:rsidRPr="00882188" w:rsidRDefault="00882188" w:rsidP="00882188">
      <w:pPr>
        <w:spacing w:after="0" w:line="360" w:lineRule="auto"/>
        <w:ind w:firstLine="2268"/>
        <w:jc w:val="both"/>
        <w:rPr>
          <w:rFonts w:ascii="Arial" w:hAnsi="Arial" w:cs="Arial"/>
          <w:sz w:val="28"/>
          <w:szCs w:val="28"/>
        </w:rPr>
      </w:pPr>
    </w:p>
    <w:p w14:paraId="1B8C42E7" w14:textId="7938F5CD" w:rsidR="00882188" w:rsidRDefault="00882188" w:rsidP="00D92F6D">
      <w:pPr>
        <w:spacing w:after="0" w:line="360" w:lineRule="auto"/>
        <w:ind w:firstLine="2268"/>
        <w:jc w:val="both"/>
        <w:rPr>
          <w:rFonts w:ascii="Arial" w:hAnsi="Arial" w:cs="Arial"/>
          <w:sz w:val="28"/>
          <w:szCs w:val="28"/>
        </w:rPr>
      </w:pPr>
      <w:commentRangeStart w:id="8"/>
      <w:r>
        <w:rPr>
          <w:rFonts w:ascii="Arial" w:hAnsi="Arial" w:cs="Arial"/>
          <w:sz w:val="28"/>
          <w:szCs w:val="28"/>
        </w:rPr>
        <w:t>Contrarrazões da ré</w:t>
      </w:r>
      <w:r w:rsidR="00284747">
        <w:rPr>
          <w:rFonts w:ascii="Arial" w:hAnsi="Arial" w:cs="Arial"/>
          <w:sz w:val="28"/>
          <w:szCs w:val="28"/>
        </w:rPr>
        <w:t>,</w:t>
      </w:r>
      <w:r>
        <w:rPr>
          <w:rFonts w:ascii="Arial" w:hAnsi="Arial" w:cs="Arial"/>
          <w:sz w:val="28"/>
          <w:szCs w:val="28"/>
        </w:rPr>
        <w:t xml:space="preserve"> Carrefour Comércio e Indústria Ltda. (ID 89619917), em que alega que:</w:t>
      </w:r>
      <w:r>
        <w:rPr>
          <w:rFonts w:ascii="Arial" w:hAnsi="Arial" w:cs="Arial"/>
          <w:b/>
          <w:sz w:val="28"/>
          <w:szCs w:val="28"/>
        </w:rPr>
        <w:t xml:space="preserve"> </w:t>
      </w:r>
      <w:r>
        <w:rPr>
          <w:rFonts w:ascii="Arial" w:hAnsi="Arial" w:cs="Arial"/>
          <w:b/>
          <w:bCs/>
          <w:sz w:val="28"/>
          <w:szCs w:val="28"/>
        </w:rPr>
        <w:t xml:space="preserve">1) </w:t>
      </w:r>
      <w:r>
        <w:rPr>
          <w:rFonts w:ascii="Arial" w:hAnsi="Arial" w:cs="Arial"/>
          <w:sz w:val="28"/>
          <w:szCs w:val="28"/>
        </w:rPr>
        <w:t>a</w:t>
      </w:r>
      <w:r>
        <w:rPr>
          <w:rFonts w:ascii="Arial" w:hAnsi="Arial" w:cs="Arial"/>
          <w:b/>
          <w:bCs/>
          <w:sz w:val="28"/>
          <w:szCs w:val="28"/>
        </w:rPr>
        <w:t xml:space="preserve"> </w:t>
      </w:r>
      <w:r>
        <w:rPr>
          <w:rFonts w:ascii="Arial" w:hAnsi="Arial" w:cs="Arial"/>
          <w:sz w:val="28"/>
          <w:szCs w:val="28"/>
        </w:rPr>
        <w:t>inversão do ônus da prova não dispensa prova mínima do fato constitutivo;</w:t>
      </w:r>
      <w:r>
        <w:rPr>
          <w:rFonts w:ascii="Arial" w:hAnsi="Arial" w:cs="Arial"/>
          <w:b/>
          <w:sz w:val="28"/>
          <w:szCs w:val="28"/>
        </w:rPr>
        <w:t xml:space="preserve"> </w:t>
      </w:r>
      <w:r>
        <w:rPr>
          <w:rFonts w:ascii="Arial" w:hAnsi="Arial" w:cs="Arial"/>
          <w:b/>
          <w:bCs/>
          <w:sz w:val="28"/>
          <w:szCs w:val="28"/>
        </w:rPr>
        <w:t xml:space="preserve">2) </w:t>
      </w:r>
      <w:r>
        <w:rPr>
          <w:rFonts w:ascii="Arial" w:hAnsi="Arial" w:cs="Arial"/>
          <w:sz w:val="28"/>
          <w:szCs w:val="28"/>
        </w:rPr>
        <w:t xml:space="preserve">o </w:t>
      </w:r>
      <w:r>
        <w:rPr>
          <w:rFonts w:ascii="Arial" w:hAnsi="Arial" w:cs="Arial"/>
          <w:color w:val="808080"/>
          <w:sz w:val="28"/>
          <w:szCs w:val="28"/>
        </w:rPr>
        <w:t>pedido</w:t>
      </w:r>
      <w:r>
        <w:rPr>
          <w:rFonts w:ascii="Arial" w:hAnsi="Arial" w:cs="Arial"/>
          <w:sz w:val="28"/>
          <w:szCs w:val="28"/>
        </w:rPr>
        <w:t xml:space="preserve"> de cassação da sentença para realização de perícia é comportamento contraditório, em razão da anterior dispensa de provas adicionais, </w:t>
      </w:r>
      <w:r>
        <w:rPr>
          <w:rFonts w:ascii="Arial" w:hAnsi="Arial" w:cs="Arial"/>
          <w:color w:val="808080"/>
          <w:sz w:val="28"/>
          <w:szCs w:val="28"/>
        </w:rPr>
        <w:t>que ensejou</w:t>
      </w:r>
      <w:r>
        <w:rPr>
          <w:rFonts w:ascii="Arial" w:hAnsi="Arial" w:cs="Arial"/>
          <w:sz w:val="28"/>
          <w:szCs w:val="28"/>
        </w:rPr>
        <w:t xml:space="preserve"> preclusão;</w:t>
      </w:r>
      <w:r>
        <w:rPr>
          <w:rFonts w:ascii="Arial" w:hAnsi="Arial" w:cs="Arial"/>
          <w:b/>
          <w:sz w:val="28"/>
          <w:szCs w:val="28"/>
        </w:rPr>
        <w:t xml:space="preserve"> </w:t>
      </w:r>
      <w:r>
        <w:rPr>
          <w:rFonts w:ascii="Arial" w:hAnsi="Arial" w:cs="Arial"/>
          <w:b/>
          <w:bCs/>
          <w:sz w:val="28"/>
          <w:szCs w:val="28"/>
        </w:rPr>
        <w:t xml:space="preserve">3) </w:t>
      </w:r>
      <w:r>
        <w:rPr>
          <w:rFonts w:ascii="Arial" w:hAnsi="Arial" w:cs="Arial"/>
          <w:sz w:val="28"/>
          <w:szCs w:val="28"/>
        </w:rPr>
        <w:t>a sentença está devidamente fundamentada;</w:t>
      </w:r>
      <w:r>
        <w:rPr>
          <w:rFonts w:ascii="Arial" w:hAnsi="Arial" w:cs="Arial"/>
          <w:b/>
          <w:sz w:val="28"/>
          <w:szCs w:val="28"/>
        </w:rPr>
        <w:t xml:space="preserve"> </w:t>
      </w:r>
      <w:r>
        <w:rPr>
          <w:rFonts w:ascii="Arial" w:hAnsi="Arial" w:cs="Arial"/>
          <w:b/>
          <w:bCs/>
          <w:sz w:val="28"/>
          <w:szCs w:val="28"/>
        </w:rPr>
        <w:t>4)</w:t>
      </w:r>
      <w:r>
        <w:rPr>
          <w:rFonts w:ascii="Arial" w:hAnsi="Arial" w:cs="Arial"/>
          <w:sz w:val="28"/>
          <w:szCs w:val="28"/>
        </w:rPr>
        <w:t xml:space="preserve"> o relatório técnico é idôneo e não há prova de que o dano decorreu de pico elétrico;</w:t>
      </w:r>
      <w:r>
        <w:rPr>
          <w:rFonts w:ascii="Arial" w:hAnsi="Arial" w:cs="Arial"/>
          <w:b/>
          <w:sz w:val="28"/>
          <w:szCs w:val="28"/>
        </w:rPr>
        <w:t xml:space="preserve"> </w:t>
      </w:r>
      <w:r>
        <w:rPr>
          <w:rFonts w:ascii="Arial" w:hAnsi="Arial" w:cs="Arial"/>
          <w:b/>
          <w:bCs/>
          <w:sz w:val="28"/>
          <w:szCs w:val="28"/>
        </w:rPr>
        <w:t>5)</w:t>
      </w:r>
      <w:r>
        <w:rPr>
          <w:rFonts w:ascii="Arial" w:hAnsi="Arial" w:cs="Arial"/>
          <w:sz w:val="28"/>
          <w:szCs w:val="28"/>
        </w:rPr>
        <w:t xml:space="preserve"> não tem responsabilidade pela negativa de cobertura do seguro, </w:t>
      </w:r>
      <w:r>
        <w:rPr>
          <w:rFonts w:ascii="Arial" w:hAnsi="Arial" w:cs="Arial"/>
          <w:color w:val="808080"/>
          <w:sz w:val="28"/>
          <w:szCs w:val="28"/>
        </w:rPr>
        <w:t xml:space="preserve">pois </w:t>
      </w:r>
      <w:r>
        <w:rPr>
          <w:rFonts w:ascii="Arial" w:hAnsi="Arial" w:cs="Arial"/>
          <w:sz w:val="28"/>
          <w:szCs w:val="28"/>
        </w:rPr>
        <w:t xml:space="preserve">não </w:t>
      </w:r>
      <w:r>
        <w:rPr>
          <w:rFonts w:ascii="Arial" w:hAnsi="Arial" w:cs="Arial"/>
          <w:color w:val="808080"/>
          <w:sz w:val="28"/>
          <w:szCs w:val="28"/>
        </w:rPr>
        <w:t>há</w:t>
      </w:r>
      <w:r>
        <w:rPr>
          <w:rFonts w:ascii="Arial" w:hAnsi="Arial" w:cs="Arial"/>
          <w:sz w:val="28"/>
          <w:szCs w:val="28"/>
        </w:rPr>
        <w:t xml:space="preserve"> pertinência causal entre a sua conduta de revendedor varejista e os danos alegados; e</w:t>
      </w:r>
      <w:r>
        <w:rPr>
          <w:rFonts w:ascii="Arial" w:hAnsi="Arial" w:cs="Arial"/>
          <w:b/>
          <w:sz w:val="28"/>
          <w:szCs w:val="28"/>
        </w:rPr>
        <w:t xml:space="preserve"> </w:t>
      </w:r>
      <w:r>
        <w:rPr>
          <w:rFonts w:ascii="Arial" w:hAnsi="Arial" w:cs="Arial"/>
          <w:b/>
          <w:bCs/>
          <w:sz w:val="28"/>
          <w:szCs w:val="28"/>
        </w:rPr>
        <w:t>6)</w:t>
      </w:r>
      <w:r>
        <w:rPr>
          <w:rFonts w:ascii="Arial" w:hAnsi="Arial" w:cs="Arial"/>
          <w:sz w:val="28"/>
          <w:szCs w:val="28"/>
        </w:rPr>
        <w:t xml:space="preserve"> não há suporte probatório para a condenação por danos morais.</w:t>
      </w:r>
      <w:commentRangeEnd w:id="8"/>
      <w:r>
        <w:commentReference w:id="8"/>
      </w:r>
    </w:p>
    <w:p w14:paraId="06AD0BA5" w14:textId="77777777" w:rsidR="000A4FF8" w:rsidRDefault="000A4FF8" w:rsidP="00732EE4">
      <w:pPr>
        <w:spacing w:after="0" w:line="360" w:lineRule="auto"/>
        <w:ind w:firstLine="2268"/>
        <w:jc w:val="both"/>
        <w:rPr>
          <w:rFonts w:ascii="Arial" w:hAnsi="Arial" w:cs="Arial"/>
          <w:sz w:val="28"/>
          <w:szCs w:val="28"/>
        </w:rPr>
      </w:pPr>
    </w:p>
    <w:p w14:paraId="3A5E90DA" w14:textId="31DFFEA6" w:rsidR="000A4FF8" w:rsidRDefault="00FB0184" w:rsidP="00732EE4">
      <w:pPr>
        <w:spacing w:after="0" w:line="360" w:lineRule="auto"/>
        <w:ind w:firstLine="2268"/>
        <w:jc w:val="both"/>
        <w:rPr>
          <w:rFonts w:ascii="Arial" w:hAnsi="Arial" w:cs="Arial"/>
          <w:sz w:val="28"/>
          <w:szCs w:val="28"/>
        </w:rPr>
      </w:pPr>
      <w:r w:rsidRPr="65F20F86">
        <w:rPr>
          <w:rFonts w:ascii="Arial" w:hAnsi="Arial" w:cs="Arial"/>
          <w:sz w:val="28"/>
          <w:szCs w:val="28"/>
        </w:rPr>
        <w:t>Contrarrazões</w:t>
      </w:r>
      <w:r>
        <w:rPr>
          <w:rFonts w:ascii="Arial" w:hAnsi="Arial" w:cs="Arial"/>
          <w:sz w:val="28"/>
          <w:szCs w:val="28"/>
        </w:rPr>
        <w:t xml:space="preserve"> da ré</w:t>
      </w:r>
      <w:r w:rsidR="00284747">
        <w:rPr>
          <w:rFonts w:ascii="Arial" w:hAnsi="Arial" w:cs="Arial"/>
          <w:sz w:val="28"/>
          <w:szCs w:val="28"/>
        </w:rPr>
        <w:t>,</w:t>
      </w:r>
      <w:r>
        <w:rPr>
          <w:rFonts w:ascii="Arial" w:hAnsi="Arial" w:cs="Arial"/>
          <w:sz w:val="28"/>
          <w:szCs w:val="28"/>
        </w:rPr>
        <w:t xml:space="preserve"> </w:t>
      </w:r>
      <w:r w:rsidR="00D96484">
        <w:rPr>
          <w:rFonts w:ascii="Arial" w:hAnsi="Arial" w:cs="Arial"/>
          <w:sz w:val="28"/>
          <w:szCs w:val="28"/>
        </w:rPr>
        <w:t>Assurant Seguradora S.A.</w:t>
      </w:r>
      <w:r>
        <w:rPr>
          <w:rFonts w:ascii="Arial" w:hAnsi="Arial" w:cs="Arial"/>
          <w:sz w:val="28"/>
          <w:szCs w:val="28"/>
        </w:rPr>
        <w:t xml:space="preserve"> (ID </w:t>
      </w:r>
      <w:r w:rsidR="00D96484">
        <w:rPr>
          <w:rFonts w:ascii="Arial" w:hAnsi="Arial" w:cs="Arial"/>
          <w:sz w:val="28"/>
          <w:szCs w:val="28"/>
        </w:rPr>
        <w:t>89619918</w:t>
      </w:r>
      <w:r>
        <w:rPr>
          <w:rFonts w:ascii="Arial" w:hAnsi="Arial" w:cs="Arial"/>
          <w:sz w:val="28"/>
          <w:szCs w:val="28"/>
        </w:rPr>
        <w:t>)</w:t>
      </w:r>
      <w:r w:rsidRPr="65F20F86">
        <w:rPr>
          <w:rFonts w:ascii="Arial" w:hAnsi="Arial" w:cs="Arial"/>
          <w:sz w:val="28"/>
          <w:szCs w:val="28"/>
        </w:rPr>
        <w:t>, em que alega que:</w:t>
      </w:r>
      <w:r w:rsidRPr="65F20F86">
        <w:rPr>
          <w:rFonts w:ascii="Arial" w:hAnsi="Arial" w:cs="Arial"/>
          <w:b/>
          <w:sz w:val="28"/>
          <w:szCs w:val="28"/>
        </w:rPr>
        <w:t xml:space="preserve"> </w:t>
      </w:r>
      <w:r w:rsidRPr="65F20F86">
        <w:rPr>
          <w:rFonts w:ascii="Arial" w:hAnsi="Arial" w:cs="Arial"/>
          <w:b/>
          <w:bCs/>
          <w:sz w:val="28"/>
          <w:szCs w:val="28"/>
        </w:rPr>
        <w:t>1)</w:t>
      </w:r>
      <w:r w:rsidR="00D96484">
        <w:rPr>
          <w:rFonts w:ascii="Arial" w:hAnsi="Arial" w:cs="Arial"/>
          <w:b/>
          <w:bCs/>
          <w:sz w:val="28"/>
          <w:szCs w:val="28"/>
        </w:rPr>
        <w:t xml:space="preserve"> </w:t>
      </w:r>
      <w:r w:rsidR="00C511E6">
        <w:rPr>
          <w:rFonts w:ascii="Arial" w:hAnsi="Arial" w:cs="Arial"/>
          <w:sz w:val="28"/>
          <w:szCs w:val="28"/>
        </w:rPr>
        <w:t>constatou-se mau uso do produto, o que é excluído da cobertura securitária</w:t>
      </w:r>
      <w:r w:rsidR="00447AC0">
        <w:rPr>
          <w:rFonts w:ascii="Arial" w:hAnsi="Arial" w:cs="Arial"/>
          <w:sz w:val="28"/>
          <w:szCs w:val="28"/>
        </w:rPr>
        <w:t>, conforme o laudo da assistência técnica</w:t>
      </w:r>
      <w:r w:rsidR="00C511E6">
        <w:rPr>
          <w:rFonts w:ascii="Arial" w:hAnsi="Arial" w:cs="Arial"/>
          <w:sz w:val="28"/>
          <w:szCs w:val="28"/>
        </w:rPr>
        <w:t>;</w:t>
      </w:r>
      <w:r w:rsidR="00C511E6">
        <w:rPr>
          <w:rFonts w:ascii="Arial" w:hAnsi="Arial" w:cs="Arial"/>
          <w:b/>
          <w:sz w:val="28"/>
          <w:szCs w:val="28"/>
        </w:rPr>
        <w:t xml:space="preserve"> </w:t>
      </w:r>
      <w:r w:rsidR="00C511E6" w:rsidRPr="00E02EC0">
        <w:rPr>
          <w:rFonts w:ascii="Arial" w:hAnsi="Arial" w:cs="Arial"/>
          <w:b/>
          <w:bCs/>
          <w:sz w:val="28"/>
          <w:szCs w:val="28"/>
        </w:rPr>
        <w:t>2)</w:t>
      </w:r>
      <w:r w:rsidR="00C511E6">
        <w:rPr>
          <w:rFonts w:ascii="Arial" w:hAnsi="Arial" w:cs="Arial"/>
          <w:sz w:val="28"/>
          <w:szCs w:val="28"/>
        </w:rPr>
        <w:t xml:space="preserve"> </w:t>
      </w:r>
      <w:r w:rsidR="0075018F">
        <w:rPr>
          <w:rFonts w:ascii="Arial" w:hAnsi="Arial" w:cs="Arial"/>
          <w:sz w:val="28"/>
          <w:szCs w:val="28"/>
        </w:rPr>
        <w:t>o contrato de seguro é restrito a certos riscos predeterminados,</w:t>
      </w:r>
      <w:r w:rsidR="00744AFA">
        <w:rPr>
          <w:rFonts w:ascii="Arial" w:hAnsi="Arial" w:cs="Arial"/>
          <w:sz w:val="28"/>
          <w:szCs w:val="28"/>
        </w:rPr>
        <w:t xml:space="preserve"> não abrangendo todo e qualquer defeito que possa ocorrer;</w:t>
      </w:r>
      <w:r w:rsidR="00744AFA">
        <w:rPr>
          <w:rFonts w:ascii="Arial" w:hAnsi="Arial" w:cs="Arial"/>
          <w:b/>
          <w:sz w:val="28"/>
          <w:szCs w:val="28"/>
        </w:rPr>
        <w:t xml:space="preserve"> </w:t>
      </w:r>
      <w:r w:rsidR="008B7040" w:rsidRPr="00E02EC0">
        <w:rPr>
          <w:rFonts w:ascii="Arial" w:hAnsi="Arial" w:cs="Arial"/>
          <w:b/>
          <w:bCs/>
          <w:sz w:val="28"/>
          <w:szCs w:val="28"/>
        </w:rPr>
        <w:t>3)</w:t>
      </w:r>
      <w:r w:rsidR="008B7040">
        <w:rPr>
          <w:rFonts w:ascii="Arial" w:hAnsi="Arial" w:cs="Arial"/>
          <w:sz w:val="28"/>
          <w:szCs w:val="28"/>
        </w:rPr>
        <w:t xml:space="preserve"> o apelante teve conhecimento das cláusulas contratuais</w:t>
      </w:r>
      <w:r w:rsidR="00C30270">
        <w:rPr>
          <w:rFonts w:ascii="Arial" w:hAnsi="Arial" w:cs="Arial"/>
          <w:sz w:val="28"/>
          <w:szCs w:val="28"/>
        </w:rPr>
        <w:t xml:space="preserve"> e foram esclarecidas as coberturas</w:t>
      </w:r>
      <w:r w:rsidR="00181CD2">
        <w:rPr>
          <w:rFonts w:ascii="Arial" w:hAnsi="Arial" w:cs="Arial"/>
          <w:sz w:val="28"/>
          <w:szCs w:val="28"/>
        </w:rPr>
        <w:t xml:space="preserve">, mediante documentos específicos entregues no ato da contratação e/ou direcionamento para endereços eletrônicos contendo informações adicionais; </w:t>
      </w:r>
      <w:r w:rsidR="00E02EC0">
        <w:rPr>
          <w:rFonts w:ascii="Arial" w:hAnsi="Arial" w:cs="Arial"/>
          <w:sz w:val="28"/>
          <w:szCs w:val="28"/>
        </w:rPr>
        <w:t>e</w:t>
      </w:r>
      <w:r w:rsidR="00E02EC0">
        <w:rPr>
          <w:rFonts w:ascii="Arial" w:hAnsi="Arial" w:cs="Arial"/>
          <w:b/>
          <w:sz w:val="28"/>
          <w:szCs w:val="28"/>
        </w:rPr>
        <w:t xml:space="preserve"> </w:t>
      </w:r>
      <w:r w:rsidR="00181CD2" w:rsidRPr="00E02EC0">
        <w:rPr>
          <w:rFonts w:ascii="Arial" w:hAnsi="Arial" w:cs="Arial"/>
          <w:b/>
          <w:bCs/>
          <w:sz w:val="28"/>
          <w:szCs w:val="28"/>
        </w:rPr>
        <w:t>4)</w:t>
      </w:r>
      <w:r w:rsidR="00181CD2">
        <w:rPr>
          <w:rFonts w:ascii="Arial" w:hAnsi="Arial" w:cs="Arial"/>
          <w:sz w:val="28"/>
          <w:szCs w:val="28"/>
        </w:rPr>
        <w:t xml:space="preserve"> não cabem danos morais</w:t>
      </w:r>
      <w:r w:rsidR="00E02EC0">
        <w:rPr>
          <w:rFonts w:ascii="Arial" w:hAnsi="Arial" w:cs="Arial"/>
          <w:sz w:val="28"/>
          <w:szCs w:val="28"/>
        </w:rPr>
        <w:t>.</w:t>
      </w:r>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4BC87465"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A975F5">
        <w:rPr>
          <w:rFonts w:ascii="Arial" w:hAnsi="Arial" w:cs="Arial"/>
          <w:sz w:val="28"/>
          <w:szCs w:val="28"/>
        </w:rPr>
        <w:t>26/1/26</w:t>
      </w:r>
      <w:r w:rsidRPr="00A72414">
        <w:rPr>
          <w:rFonts w:ascii="Arial" w:hAnsi="Arial" w:cs="Arial"/>
          <w:sz w:val="28"/>
          <w:szCs w:val="28"/>
        </w:rPr>
        <w:t xml:space="preserve">. Sentença proferida em </w:t>
      </w:r>
      <w:r w:rsidR="00F76937">
        <w:rPr>
          <w:rFonts w:ascii="Arial" w:hAnsi="Arial" w:cs="Arial"/>
          <w:sz w:val="28"/>
          <w:szCs w:val="28"/>
        </w:rPr>
        <w:t>27/7/26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FA1D9A">
        <w:rPr>
          <w:rFonts w:ascii="Arial" w:hAnsi="Arial" w:cs="Arial"/>
          <w:sz w:val="28"/>
          <w:szCs w:val="28"/>
        </w:rPr>
        <w:t>2</w:t>
      </w:r>
      <w:r w:rsidR="00F76937">
        <w:rPr>
          <w:rFonts w:ascii="Arial" w:hAnsi="Arial" w:cs="Arial"/>
          <w:sz w:val="28"/>
          <w:szCs w:val="28"/>
        </w:rPr>
        <w:t>9</w:t>
      </w:r>
      <w:r w:rsidR="00FA1D9A">
        <w:rPr>
          <w:rFonts w:ascii="Arial" w:hAnsi="Arial" w:cs="Arial"/>
          <w:sz w:val="28"/>
          <w:szCs w:val="28"/>
        </w:rPr>
        <w:t>/</w:t>
      </w:r>
      <w:r w:rsidR="00F76937">
        <w:rPr>
          <w:rFonts w:ascii="Arial" w:hAnsi="Arial" w:cs="Arial"/>
          <w:sz w:val="28"/>
          <w:szCs w:val="28"/>
        </w:rPr>
        <w:t>7</w:t>
      </w:r>
      <w:r w:rsidR="00FA1D9A">
        <w:rPr>
          <w:rFonts w:ascii="Arial" w:hAnsi="Arial" w:cs="Arial"/>
          <w:sz w:val="28"/>
          <w:szCs w:val="28"/>
        </w:rPr>
        <w:t>/26</w:t>
      </w:r>
      <w:r w:rsidRPr="00A72414">
        <w:rPr>
          <w:rFonts w:ascii="Arial" w:hAnsi="Arial" w:cs="Arial"/>
          <w:sz w:val="28"/>
          <w:szCs w:val="28"/>
        </w:rPr>
        <w:t xml:space="preserve">. Valor da causa: </w:t>
      </w:r>
      <w:r w:rsidR="00FF1E97" w:rsidRPr="00FF1E97">
        <w:rPr>
          <w:rFonts w:ascii="Arial" w:hAnsi="Arial" w:cs="Arial"/>
          <w:sz w:val="28"/>
          <w:szCs w:val="28"/>
        </w:rPr>
        <w:t xml:space="preserve">R$ </w:t>
      </w:r>
      <w:r w:rsidR="00CC166A" w:rsidRPr="00CC166A">
        <w:rPr>
          <w:rFonts w:ascii="Arial" w:hAnsi="Arial" w:cs="Arial"/>
          <w:sz w:val="28"/>
          <w:szCs w:val="28"/>
        </w:rPr>
        <w:t>5.699,00</w:t>
      </w:r>
      <w:r w:rsidR="00CC166A">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168180D1"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APELO D</w:t>
      </w:r>
      <w:r w:rsidR="00CC166A">
        <w:rPr>
          <w:rFonts w:ascii="Arial" w:hAnsi="Arial" w:cs="Arial"/>
          <w:b/>
          <w:bCs/>
          <w:color w:val="000000" w:themeColor="text1"/>
          <w:sz w:val="28"/>
          <w:szCs w:val="28"/>
        </w:rPr>
        <w:t>O AUTOR</w:t>
      </w:r>
      <w:r w:rsidRPr="007E1C8C">
        <w:rPr>
          <w:rFonts w:ascii="Arial" w:hAnsi="Arial" w:cs="Arial"/>
          <w:b/>
          <w:bCs/>
          <w:color w:val="000000" w:themeColor="text1"/>
          <w:sz w:val="28"/>
          <w:szCs w:val="28"/>
        </w:rPr>
        <w:t xml:space="preserve">, </w:t>
      </w:r>
      <w:r w:rsidR="00CC166A">
        <w:rPr>
          <w:rFonts w:ascii="Arial" w:hAnsi="Arial" w:cs="Arial"/>
          <w:b/>
          <w:bCs/>
          <w:color w:val="000000" w:themeColor="text1"/>
          <w:sz w:val="28"/>
          <w:szCs w:val="28"/>
        </w:rPr>
        <w:t>CARLOS JOSÉ FERREIRA DANTAS</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2AE4BE4A"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14:paraId="7E4D53BA" w14:textId="77777777" w:rsidR="00C22469" w:rsidRDefault="00C22469" w:rsidP="00DB1301">
      <w:pPr>
        <w:spacing w:after="0" w:line="360" w:lineRule="auto"/>
        <w:ind w:firstLine="2268"/>
        <w:jc w:val="both"/>
        <w:rPr>
          <w:rFonts w:ascii="Arial" w:hAnsi="Arial" w:cs="Arial"/>
          <w:sz w:val="28"/>
          <w:szCs w:val="28"/>
        </w:rPr>
      </w:pPr>
    </w:p>
    <w:p w14:paraId="00321D16" w14:textId="1D20F495" w:rsidR="00EB3378" w:rsidRDefault="003C00A7" w:rsidP="00EB3378">
      <w:pPr>
        <w:spacing w:after="0" w:line="360" w:lineRule="auto"/>
        <w:jc w:val="center"/>
        <w:rPr>
          <w:rFonts w:ascii="Arial" w:hAnsi="Arial" w:cs="Arial"/>
          <w:sz w:val="28"/>
          <w:szCs w:val="28"/>
        </w:rPr>
      </w:pPr>
      <w:commentRangeStart w:id="9"/>
      <w:commentRangeStart w:id="10"/>
      <w:r>
        <w:rPr>
          <w:rFonts w:ascii="Arial" w:hAnsi="Arial" w:cs="Arial"/>
          <w:sz w:val="28"/>
          <w:szCs w:val="28"/>
          <w:highlight w:val="yellow"/>
        </w:rPr>
        <w:t xml:space="preserve">DA </w:t>
      </w:r>
      <w:r>
        <w:rPr>
          <w:rFonts w:ascii="Arial" w:hAnsi="Arial" w:cs="Arial"/>
          <w:color w:val="808080"/>
          <w:sz w:val="28"/>
          <w:szCs w:val="28"/>
          <w:highlight w:val="yellow"/>
        </w:rPr>
        <w:t>CASSAÇÃO</w:t>
      </w:r>
      <w:r>
        <w:rPr>
          <w:rFonts w:ascii="Arial" w:hAnsi="Arial" w:cs="Arial"/>
          <w:sz w:val="28"/>
          <w:szCs w:val="28"/>
          <w:highlight w:val="yellow"/>
        </w:rPr>
        <w:t xml:space="preserve"> </w:t>
      </w:r>
      <w:r>
        <w:rPr>
          <w:rFonts w:ascii="Arial" w:hAnsi="Arial" w:cs="Arial"/>
          <w:color w:val="808080"/>
          <w:sz w:val="28"/>
          <w:szCs w:val="28"/>
          <w:highlight w:val="yellow"/>
        </w:rPr>
        <w:t>DA</w:t>
      </w:r>
      <w:r>
        <w:rPr>
          <w:rFonts w:ascii="Arial" w:hAnsi="Arial" w:cs="Arial"/>
          <w:sz w:val="28"/>
          <w:szCs w:val="28"/>
          <w:highlight w:val="yellow"/>
        </w:rPr>
        <w:t xml:space="preserve"> </w:t>
      </w:r>
      <w:r>
        <w:rPr>
          <w:rFonts w:ascii="Arial" w:hAnsi="Arial" w:cs="Arial"/>
          <w:color w:val="808080"/>
          <w:sz w:val="28"/>
          <w:szCs w:val="28"/>
          <w:highlight w:val="yellow"/>
        </w:rPr>
        <w:t>SENTENÇA</w:t>
      </w:r>
      <w:r>
        <w:rPr>
          <w:rFonts w:ascii="Arial" w:hAnsi="Arial" w:cs="Arial"/>
          <w:sz w:val="28"/>
          <w:szCs w:val="28"/>
          <w:highlight w:val="yellow"/>
        </w:rPr>
        <w:t xml:space="preserve"> </w:t>
      </w:r>
      <w:r>
        <w:rPr>
          <w:rFonts w:ascii="Arial" w:hAnsi="Arial" w:cs="Arial"/>
          <w:color w:val="808080"/>
          <w:sz w:val="28"/>
          <w:szCs w:val="28"/>
          <w:highlight w:val="yellow"/>
        </w:rPr>
        <w:t>PARA</w:t>
      </w:r>
      <w:r>
        <w:rPr>
          <w:rFonts w:ascii="Arial" w:hAnsi="Arial" w:cs="Arial"/>
          <w:sz w:val="28"/>
          <w:szCs w:val="28"/>
          <w:highlight w:val="yellow"/>
        </w:rPr>
        <w:t xml:space="preserve"> </w:t>
      </w:r>
      <w:r>
        <w:rPr>
          <w:rFonts w:ascii="Arial" w:hAnsi="Arial" w:cs="Arial"/>
          <w:color w:val="808080"/>
          <w:sz w:val="28"/>
          <w:szCs w:val="28"/>
          <w:highlight w:val="yellow"/>
        </w:rPr>
        <w:t>O</w:t>
      </w:r>
      <w:r>
        <w:rPr>
          <w:rFonts w:ascii="Arial" w:hAnsi="Arial" w:cs="Arial"/>
          <w:sz w:val="28"/>
          <w:szCs w:val="28"/>
          <w:highlight w:val="yellow"/>
        </w:rPr>
        <w:t xml:space="preserve"> </w:t>
      </w:r>
      <w:r>
        <w:rPr>
          <w:rFonts w:ascii="Arial" w:hAnsi="Arial" w:cs="Arial"/>
          <w:color w:val="808080"/>
          <w:sz w:val="28"/>
          <w:szCs w:val="28"/>
          <w:highlight w:val="yellow"/>
        </w:rPr>
        <w:t>PROSSEGUIMENTO</w:t>
      </w:r>
      <w:r>
        <w:rPr>
          <w:rFonts w:ascii="Arial" w:hAnsi="Arial" w:cs="Arial"/>
          <w:sz w:val="28"/>
          <w:szCs w:val="28"/>
          <w:highlight w:val="yellow"/>
        </w:rPr>
        <w:t xml:space="preserve"> </w:t>
      </w:r>
      <w:r>
        <w:rPr>
          <w:rFonts w:ascii="Arial" w:hAnsi="Arial" w:cs="Arial"/>
          <w:color w:val="808080"/>
          <w:sz w:val="28"/>
          <w:szCs w:val="28"/>
          <w:highlight w:val="yellow"/>
        </w:rPr>
        <w:t>DA</w:t>
      </w:r>
      <w:r>
        <w:rPr>
          <w:rFonts w:ascii="Arial" w:hAnsi="Arial" w:cs="Arial"/>
          <w:sz w:val="28"/>
          <w:szCs w:val="28"/>
          <w:highlight w:val="yellow"/>
        </w:rPr>
        <w:t xml:space="preserve"> </w:t>
      </w:r>
      <w:r>
        <w:rPr>
          <w:rFonts w:ascii="Arial" w:hAnsi="Arial" w:cs="Arial"/>
          <w:color w:val="808080"/>
          <w:sz w:val="28"/>
          <w:szCs w:val="28"/>
          <w:highlight w:val="yellow"/>
        </w:rPr>
        <w:t>INSTRUÇÃO</w:t>
      </w:r>
      <w:r>
        <w:rPr>
          <w:rFonts w:ascii="Arial" w:hAnsi="Arial" w:cs="Arial"/>
          <w:sz w:val="28"/>
          <w:szCs w:val="28"/>
          <w:highlight w:val="yellow"/>
        </w:rPr>
        <w:t xml:space="preserve"> </w:t>
      </w:r>
      <w:r>
        <w:rPr>
          <w:rFonts w:ascii="Arial" w:hAnsi="Arial" w:cs="Arial"/>
          <w:color w:val="808080"/>
          <w:sz w:val="28"/>
          <w:szCs w:val="28"/>
          <w:highlight w:val="yellow"/>
        </w:rPr>
        <w:t>PROBATÓRIA</w:t>
      </w:r>
      <w:commentRangeEnd w:id="9"/>
      <w:r>
        <w:commentReference w:id="9"/>
      </w:r>
      <w:commentRangeEnd w:id="10"/>
      <w:r w:rsidR="00B13257">
        <w:rPr>
          <w:rStyle w:val="Refdecomentrio"/>
          <w:rFonts w:ascii="Arial" w:hAnsi="Arial" w:cs="Arial"/>
          <w:sz w:val="28"/>
          <w:szCs w:val="28"/>
        </w:rPr>
        <w:commentReference w:id="10"/>
      </w:r>
    </w:p>
    <w:p w14:paraId="00CF8CE5" w14:textId="2FBB5C6E" w:rsidR="00355C73" w:rsidRDefault="00355C73" w:rsidP="00DB1301">
      <w:pPr>
        <w:spacing w:after="0" w:line="360" w:lineRule="auto"/>
        <w:ind w:firstLine="2268"/>
        <w:jc w:val="both"/>
        <w:rPr>
          <w:rFonts w:ascii="Arial" w:hAnsi="Arial" w:cs="Arial"/>
          <w:sz w:val="28"/>
          <w:szCs w:val="28"/>
        </w:rPr>
      </w:pPr>
    </w:p>
    <w:p w14:paraId="4557A403" w14:textId="57DDB45A" w:rsidR="0033735F" w:rsidRPr="007E1C8C" w:rsidRDefault="008759F4" w:rsidP="005A37C9">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w:t>
      </w:r>
      <w:r>
        <w:rPr>
          <w:rFonts w:ascii="Arial" w:hAnsi="Arial" w:cs="Arial"/>
          <w:color w:val="808080"/>
          <w:sz w:val="28"/>
          <w:szCs w:val="28"/>
        </w:rPr>
        <w:t>autor/</w:t>
      </w:r>
      <w:r>
        <w:rPr>
          <w:rFonts w:ascii="Arial" w:hAnsi="Arial" w:cs="Arial"/>
          <w:color w:val="000000" w:themeColor="text1"/>
          <w:sz w:val="28"/>
          <w:szCs w:val="28"/>
        </w:rPr>
        <w:t>apelante alega que</w:t>
      </w:r>
      <w:r>
        <w:rPr>
          <w:rFonts w:ascii="Arial" w:hAnsi="Arial" w:cs="Arial"/>
          <w:color w:val="808080"/>
          <w:sz w:val="28"/>
          <w:szCs w:val="28"/>
        </w:rPr>
        <w:t>:</w:t>
      </w:r>
      <w:r>
        <w:rPr>
          <w:rFonts w:ascii="Arial" w:hAnsi="Arial" w:cs="Arial"/>
          <w:b/>
          <w:color w:val="808080"/>
          <w:sz w:val="28"/>
          <w:szCs w:val="28"/>
        </w:rPr>
        <w:t xml:space="preserve"> 1)</w:t>
      </w:r>
      <w:r>
        <w:rPr>
          <w:rFonts w:ascii="Arial" w:hAnsi="Arial" w:cs="Arial"/>
          <w:color w:val="000000" w:themeColor="text1"/>
          <w:sz w:val="28"/>
          <w:szCs w:val="28"/>
        </w:rPr>
        <w:t xml:space="preserve"> a sentença é nula, </w:t>
      </w:r>
      <w:r>
        <w:rPr>
          <w:rFonts w:ascii="Arial" w:hAnsi="Arial" w:cs="Arial"/>
          <w:color w:val="808080"/>
          <w:sz w:val="28"/>
          <w:szCs w:val="28"/>
        </w:rPr>
        <w:t>por</w:t>
      </w:r>
      <w:r>
        <w:rPr>
          <w:rFonts w:ascii="Arial" w:hAnsi="Arial" w:cs="Arial"/>
          <w:color w:val="000000" w:themeColor="text1"/>
          <w:sz w:val="28"/>
          <w:szCs w:val="28"/>
        </w:rPr>
        <w:t xml:space="preserve"> incompatibilidade entre a inversão do ônus da prova</w:t>
      </w:r>
      <w:r>
        <w:rPr>
          <w:rFonts w:ascii="Arial" w:hAnsi="Arial" w:cs="Arial"/>
          <w:color w:val="808080"/>
          <w:sz w:val="28"/>
          <w:szCs w:val="28"/>
        </w:rPr>
        <w:t>, deferida no saneamento,</w:t>
      </w:r>
      <w:r>
        <w:rPr>
          <w:rFonts w:ascii="Arial" w:hAnsi="Arial" w:cs="Arial"/>
          <w:color w:val="000000" w:themeColor="text1"/>
          <w:sz w:val="28"/>
          <w:szCs w:val="28"/>
        </w:rPr>
        <w:t xml:space="preserve"> e </w:t>
      </w:r>
      <w:r>
        <w:rPr>
          <w:rFonts w:ascii="Arial" w:hAnsi="Arial" w:cs="Arial"/>
          <w:color w:val="808080"/>
          <w:sz w:val="28"/>
          <w:szCs w:val="28"/>
        </w:rPr>
        <w:t>a</w:t>
      </w:r>
      <w:r>
        <w:rPr>
          <w:rFonts w:ascii="Arial" w:hAnsi="Arial" w:cs="Arial"/>
          <w:color w:val="000000" w:themeColor="text1"/>
          <w:sz w:val="28"/>
          <w:szCs w:val="28"/>
        </w:rPr>
        <w:t xml:space="preserve"> </w:t>
      </w:r>
      <w:r>
        <w:rPr>
          <w:rFonts w:ascii="Arial" w:hAnsi="Arial" w:cs="Arial"/>
          <w:color w:val="808080"/>
          <w:sz w:val="28"/>
          <w:szCs w:val="28"/>
        </w:rPr>
        <w:t>exigência</w:t>
      </w:r>
      <w:r>
        <w:rPr>
          <w:rFonts w:ascii="Arial" w:hAnsi="Arial" w:cs="Arial"/>
          <w:color w:val="000000" w:themeColor="text1"/>
          <w:sz w:val="28"/>
          <w:szCs w:val="28"/>
        </w:rPr>
        <w:t xml:space="preserve"> de </w:t>
      </w:r>
      <w:r>
        <w:rPr>
          <w:rFonts w:ascii="Arial" w:hAnsi="Arial" w:cs="Arial"/>
          <w:iCs/>
          <w:color w:val="000000" w:themeColor="text1"/>
          <w:sz w:val="28"/>
          <w:szCs w:val="28"/>
        </w:rPr>
        <w:t xml:space="preserve">laudo particular, relatório de outra assistência ou prova pericial </w:t>
      </w:r>
      <w:r>
        <w:rPr>
          <w:rFonts w:ascii="Arial" w:hAnsi="Arial" w:cs="Arial"/>
          <w:iCs/>
          <w:color w:val="808080"/>
          <w:sz w:val="28"/>
          <w:szCs w:val="28"/>
        </w:rPr>
        <w:t>para</w:t>
      </w:r>
      <w:r>
        <w:rPr>
          <w:rFonts w:ascii="Arial" w:hAnsi="Arial" w:cs="Arial"/>
          <w:iCs/>
          <w:color w:val="000000" w:themeColor="text1"/>
          <w:sz w:val="28"/>
          <w:szCs w:val="28"/>
        </w:rPr>
        <w:t xml:space="preserve"> afastar o documento </w:t>
      </w:r>
      <w:r>
        <w:rPr>
          <w:rFonts w:ascii="Arial" w:hAnsi="Arial" w:cs="Arial"/>
          <w:iCs/>
          <w:color w:val="808080"/>
          <w:sz w:val="28"/>
          <w:szCs w:val="28"/>
        </w:rPr>
        <w:t>unilateral</w:t>
      </w:r>
      <w:r>
        <w:rPr>
          <w:rFonts w:ascii="Arial" w:hAnsi="Arial" w:cs="Arial"/>
          <w:iCs/>
          <w:color w:val="000000" w:themeColor="text1"/>
          <w:sz w:val="28"/>
          <w:szCs w:val="28"/>
        </w:rPr>
        <w:t xml:space="preserve"> </w:t>
      </w:r>
      <w:r>
        <w:rPr>
          <w:rFonts w:ascii="Arial" w:hAnsi="Arial" w:cs="Arial"/>
          <w:iCs/>
          <w:color w:val="808080"/>
          <w:sz w:val="28"/>
          <w:szCs w:val="28"/>
        </w:rPr>
        <w:t>da</w:t>
      </w:r>
      <w:r>
        <w:rPr>
          <w:rFonts w:ascii="Arial" w:hAnsi="Arial" w:cs="Arial"/>
          <w:iCs/>
          <w:color w:val="000000" w:themeColor="text1"/>
          <w:sz w:val="28"/>
          <w:szCs w:val="28"/>
        </w:rPr>
        <w:t xml:space="preserve"> assistência indicada pela seguradora</w:t>
      </w:r>
      <w:r>
        <w:rPr>
          <w:rFonts w:ascii="Arial" w:hAnsi="Arial" w:cs="Arial"/>
          <w:iCs/>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e</w:t>
      </w:r>
      <w:r>
        <w:rPr>
          <w:rFonts w:ascii="Arial" w:hAnsi="Arial" w:cs="Arial"/>
          <w:b/>
          <w:color w:val="000000" w:themeColor="text1"/>
          <w:sz w:val="28"/>
          <w:szCs w:val="28"/>
        </w:rPr>
        <w:t xml:space="preserve"> </w:t>
      </w:r>
      <w:r>
        <w:rPr>
          <w:rFonts w:ascii="Arial" w:hAnsi="Arial" w:cs="Arial"/>
          <w:b/>
          <w:color w:val="808080"/>
          <w:sz w:val="28"/>
          <w:szCs w:val="28"/>
        </w:rPr>
        <w:t>2)</w:t>
      </w:r>
      <w:r>
        <w:rPr>
          <w:rFonts w:ascii="Arial" w:hAnsi="Arial" w:cs="Arial"/>
          <w:color w:val="000000" w:themeColor="text1"/>
          <w:sz w:val="28"/>
          <w:szCs w:val="28"/>
        </w:rPr>
        <w:t xml:space="preserve"> </w:t>
      </w:r>
      <w:r>
        <w:rPr>
          <w:rFonts w:ascii="Arial" w:hAnsi="Arial" w:cs="Arial"/>
          <w:color w:val="808080"/>
          <w:sz w:val="28"/>
          <w:szCs w:val="28"/>
        </w:rPr>
        <w:t>se</w:t>
      </w:r>
      <w:r>
        <w:rPr>
          <w:rFonts w:ascii="Arial" w:hAnsi="Arial" w:cs="Arial"/>
          <w:iCs/>
          <w:color w:val="000000" w:themeColor="text1"/>
          <w:sz w:val="28"/>
          <w:szCs w:val="28"/>
        </w:rPr>
        <w:t xml:space="preserve"> </w:t>
      </w:r>
      <w:r>
        <w:rPr>
          <w:rFonts w:ascii="Arial" w:hAnsi="Arial" w:cs="Arial"/>
          <w:iCs/>
          <w:color w:val="808080"/>
          <w:sz w:val="28"/>
          <w:szCs w:val="28"/>
        </w:rPr>
        <w:t>a</w:t>
      </w:r>
      <w:r>
        <w:rPr>
          <w:rFonts w:ascii="Arial" w:hAnsi="Arial" w:cs="Arial"/>
          <w:iCs/>
          <w:color w:val="000000" w:themeColor="text1"/>
          <w:sz w:val="28"/>
          <w:szCs w:val="28"/>
        </w:rPr>
        <w:t xml:space="preserve"> origem do dano </w:t>
      </w:r>
      <w:r>
        <w:rPr>
          <w:rFonts w:ascii="Arial" w:hAnsi="Arial" w:cs="Arial"/>
          <w:iCs/>
          <w:color w:val="808080"/>
          <w:sz w:val="28"/>
          <w:szCs w:val="28"/>
        </w:rPr>
        <w:t>dependia</w:t>
      </w:r>
      <w:r>
        <w:rPr>
          <w:rFonts w:ascii="Arial" w:hAnsi="Arial" w:cs="Arial"/>
          <w:iCs/>
          <w:color w:val="000000" w:themeColor="text1"/>
          <w:sz w:val="28"/>
          <w:szCs w:val="28"/>
        </w:rPr>
        <w:t xml:space="preserve"> de exame técnico independente, </w:t>
      </w:r>
      <w:r>
        <w:rPr>
          <w:rFonts w:ascii="Arial" w:hAnsi="Arial" w:cs="Arial"/>
          <w:iCs/>
          <w:color w:val="808080"/>
          <w:sz w:val="28"/>
          <w:szCs w:val="28"/>
        </w:rPr>
        <w:t xml:space="preserve">a perícia </w:t>
      </w:r>
      <w:r>
        <w:rPr>
          <w:rFonts w:ascii="Arial" w:hAnsi="Arial" w:cs="Arial"/>
          <w:iCs/>
          <w:color w:val="000000" w:themeColor="text1"/>
          <w:sz w:val="28"/>
          <w:szCs w:val="28"/>
        </w:rPr>
        <w:t xml:space="preserve">deveria ter sido determinada </w:t>
      </w:r>
      <w:r>
        <w:rPr>
          <w:rFonts w:ascii="Arial" w:hAnsi="Arial" w:cs="Arial"/>
          <w:iCs/>
          <w:color w:val="808080"/>
          <w:sz w:val="28"/>
          <w:szCs w:val="28"/>
        </w:rPr>
        <w:t>(CPC</w:t>
      </w:r>
      <w:r>
        <w:rPr>
          <w:rFonts w:ascii="Arial" w:hAnsi="Arial" w:cs="Arial"/>
          <w:iCs/>
          <w:color w:val="000000" w:themeColor="text1"/>
          <w:sz w:val="28"/>
          <w:szCs w:val="28"/>
        </w:rPr>
        <w:t xml:space="preserve"> 370 e 464</w:t>
      </w:r>
      <w:r>
        <w:rPr>
          <w:rFonts w:ascii="Arial" w:hAnsi="Arial" w:cs="Arial"/>
          <w:iCs/>
          <w:color w:val="808080"/>
          <w:sz w:val="28"/>
          <w:szCs w:val="28"/>
        </w:rPr>
        <w:t>)</w:t>
      </w:r>
      <w:r>
        <w:rPr>
          <w:rFonts w:ascii="Arial" w:hAnsi="Arial" w:cs="Arial"/>
          <w:iCs/>
          <w:color w:val="000000" w:themeColor="text1"/>
          <w:sz w:val="28"/>
          <w:szCs w:val="28"/>
        </w:rPr>
        <w:t xml:space="preserve">, e não </w:t>
      </w:r>
      <w:r>
        <w:rPr>
          <w:rFonts w:ascii="Arial" w:hAnsi="Arial" w:cs="Arial"/>
          <w:iCs/>
          <w:color w:val="808080"/>
          <w:sz w:val="28"/>
          <w:szCs w:val="28"/>
        </w:rPr>
        <w:t>a</w:t>
      </w:r>
      <w:r>
        <w:rPr>
          <w:rFonts w:ascii="Arial" w:hAnsi="Arial" w:cs="Arial"/>
          <w:iCs/>
          <w:color w:val="000000" w:themeColor="text1"/>
          <w:sz w:val="28"/>
          <w:szCs w:val="28"/>
        </w:rPr>
        <w:t xml:space="preserve"> </w:t>
      </w:r>
      <w:r>
        <w:rPr>
          <w:rFonts w:ascii="Arial" w:hAnsi="Arial" w:cs="Arial"/>
          <w:iCs/>
          <w:color w:val="808080"/>
          <w:sz w:val="28"/>
          <w:szCs w:val="28"/>
        </w:rPr>
        <w:t>sua</w:t>
      </w:r>
      <w:r>
        <w:rPr>
          <w:rFonts w:ascii="Arial" w:hAnsi="Arial" w:cs="Arial"/>
          <w:iCs/>
          <w:color w:val="000000" w:themeColor="text1"/>
          <w:sz w:val="28"/>
          <w:szCs w:val="28"/>
        </w:rPr>
        <w:t xml:space="preserve"> ausência</w:t>
      </w:r>
      <w:r>
        <w:rPr>
          <w:rFonts w:ascii="Arial" w:hAnsi="Arial" w:cs="Arial"/>
          <w:iCs/>
          <w:color w:val="808080"/>
          <w:sz w:val="28"/>
          <w:szCs w:val="28"/>
        </w:rPr>
        <w:t xml:space="preserve"> utilizada</w:t>
      </w:r>
      <w:r>
        <w:rPr>
          <w:rFonts w:ascii="Arial" w:hAnsi="Arial" w:cs="Arial"/>
          <w:iCs/>
          <w:color w:val="000000" w:themeColor="text1"/>
          <w:sz w:val="28"/>
          <w:szCs w:val="28"/>
        </w:rPr>
        <w:t xml:space="preserve"> em prejuízo da parte beneficiada pela inversão </w:t>
      </w:r>
      <w:r>
        <w:rPr>
          <w:rFonts w:ascii="Arial" w:hAnsi="Arial" w:cs="Arial"/>
          <w:iCs/>
          <w:color w:val="808080"/>
          <w:sz w:val="28"/>
          <w:szCs w:val="28"/>
        </w:rPr>
        <w:t>(ID</w:t>
      </w:r>
      <w:r>
        <w:rPr>
          <w:rFonts w:ascii="Arial" w:hAnsi="Arial" w:cs="Arial"/>
          <w:iCs/>
          <w:color w:val="000000" w:themeColor="text1"/>
          <w:sz w:val="28"/>
          <w:szCs w:val="28"/>
        </w:rPr>
        <w:t xml:space="preserve"> </w:t>
      </w:r>
      <w:r>
        <w:rPr>
          <w:rFonts w:ascii="Arial" w:hAnsi="Arial" w:cs="Arial"/>
          <w:iCs/>
          <w:color w:val="808080"/>
          <w:sz w:val="28"/>
          <w:szCs w:val="28"/>
        </w:rPr>
        <w:t>89619913)</w:t>
      </w:r>
      <w:r>
        <w:rPr>
          <w:rFonts w:ascii="Arial" w:hAnsi="Arial" w:cs="Arial"/>
          <w:color w:val="000000" w:themeColor="text1"/>
          <w:sz w:val="28"/>
          <w:szCs w:val="28"/>
        </w:rPr>
        <w:t>.</w:t>
      </w:r>
    </w:p>
    <w:p w14:paraId="4E3BF3A9" w14:textId="77777777" w:rsidR="0033735F" w:rsidRDefault="0033735F" w:rsidP="0033735F">
      <w:pPr>
        <w:spacing w:after="0" w:line="360" w:lineRule="auto"/>
        <w:ind w:firstLine="2268"/>
        <w:jc w:val="both"/>
        <w:rPr>
          <w:rFonts w:ascii="Arial" w:hAnsi="Arial" w:cs="Arial"/>
          <w:color w:val="000000" w:themeColor="text1"/>
          <w:sz w:val="28"/>
          <w:szCs w:val="28"/>
        </w:rPr>
      </w:pPr>
    </w:p>
    <w:p w14:paraId="1751BF6D" w14:textId="18383705" w:rsidR="00506A7D" w:rsidRDefault="004E578E" w:rsidP="00506A7D">
      <w:pPr>
        <w:spacing w:after="0" w:line="360" w:lineRule="auto"/>
        <w:ind w:firstLine="2268"/>
        <w:jc w:val="both"/>
        <w:rPr>
          <w:rFonts w:ascii="Arial" w:hAnsi="Arial" w:cs="Arial"/>
          <w:color w:val="7030A0"/>
          <w:sz w:val="28"/>
          <w:szCs w:val="28"/>
        </w:rPr>
      </w:pPr>
      <w:r>
        <w:rPr>
          <w:rFonts w:ascii="Arial" w:hAnsi="Arial" w:cs="Arial"/>
          <w:sz w:val="28"/>
          <w:szCs w:val="28"/>
          <w:highlight w:val="yellow"/>
        </w:rPr>
        <w:t>Com</w:t>
      </w:r>
      <w:r w:rsidR="00506A7D">
        <w:rPr>
          <w:rFonts w:ascii="Arial" w:hAnsi="Arial" w:cs="Arial"/>
          <w:sz w:val="28"/>
          <w:szCs w:val="28"/>
          <w:highlight w:val="yellow"/>
        </w:rPr>
        <w:t xml:space="preserve"> razão</w:t>
      </w:r>
      <w:r w:rsidR="00506A7D" w:rsidRPr="007F4412">
        <w:rPr>
          <w:rFonts w:ascii="Arial" w:hAnsi="Arial" w:cs="Arial"/>
          <w:color w:val="7030A0"/>
          <w:sz w:val="28"/>
          <w:szCs w:val="28"/>
          <w:highlight w:val="yellow"/>
        </w:rPr>
        <w:t xml:space="preserve"> </w:t>
      </w:r>
      <w:r w:rsidR="00624045">
        <w:rPr>
          <w:rFonts w:ascii="Arial" w:hAnsi="Arial" w:cs="Arial"/>
          <w:sz w:val="28"/>
          <w:szCs w:val="28"/>
          <w:highlight w:val="yellow"/>
        </w:rPr>
        <w:t>o</w:t>
      </w:r>
      <w:r w:rsidR="00506A7D" w:rsidRPr="009B7564">
        <w:rPr>
          <w:rFonts w:ascii="Arial" w:hAnsi="Arial" w:cs="Arial"/>
          <w:sz w:val="28"/>
          <w:szCs w:val="28"/>
          <w:highlight w:val="yellow"/>
        </w:rPr>
        <w:t xml:space="preserve"> apelante</w:t>
      </w:r>
      <w:r w:rsidR="00506A7D" w:rsidRPr="007F4412">
        <w:rPr>
          <w:rFonts w:ascii="Arial" w:hAnsi="Arial" w:cs="Arial"/>
          <w:color w:val="7030A0"/>
          <w:sz w:val="28"/>
          <w:szCs w:val="28"/>
          <w:highlight w:val="yellow"/>
        </w:rPr>
        <w:t>.</w:t>
      </w:r>
    </w:p>
    <w:p w14:paraId="6A7CE69B" w14:textId="77777777" w:rsidR="0070621B" w:rsidRDefault="0070621B" w:rsidP="00506A7D">
      <w:pPr>
        <w:spacing w:after="0" w:line="360" w:lineRule="auto"/>
        <w:ind w:firstLine="2268"/>
        <w:jc w:val="both"/>
        <w:rPr>
          <w:rFonts w:ascii="Arial" w:hAnsi="Arial" w:cs="Arial"/>
          <w:color w:val="7030A0"/>
          <w:sz w:val="28"/>
          <w:szCs w:val="28"/>
        </w:rPr>
      </w:pPr>
    </w:p>
    <w:p w14:paraId="622CB948" w14:textId="49ED3874" w:rsidR="009908C1" w:rsidRDefault="00CA4D84" w:rsidP="00506A7D">
      <w:pPr>
        <w:spacing w:after="0" w:line="360" w:lineRule="auto"/>
        <w:ind w:firstLine="2268"/>
        <w:jc w:val="both"/>
        <w:rPr>
          <w:rFonts w:ascii="Arial" w:hAnsi="Arial" w:cs="Arial"/>
          <w:sz w:val="28"/>
          <w:szCs w:val="28"/>
        </w:rPr>
      </w:pPr>
      <w:r>
        <w:rPr>
          <w:rFonts w:ascii="Arial" w:hAnsi="Arial" w:cs="Arial"/>
          <w:sz w:val="28"/>
          <w:szCs w:val="28"/>
        </w:rPr>
        <w:t xml:space="preserve">A despeito da inversão do ônus da prova </w:t>
      </w:r>
      <w:r>
        <w:rPr>
          <w:rFonts w:ascii="Arial" w:hAnsi="Arial" w:cs="Arial"/>
          <w:color w:val="808080"/>
          <w:sz w:val="28"/>
          <w:szCs w:val="28"/>
        </w:rPr>
        <w:t>no</w:t>
      </w:r>
      <w:r>
        <w:rPr>
          <w:rFonts w:ascii="Arial" w:hAnsi="Arial" w:cs="Arial"/>
          <w:sz w:val="28"/>
          <w:szCs w:val="28"/>
        </w:rPr>
        <w:t xml:space="preserve"> saneamento, a r. sentença </w:t>
      </w:r>
      <w:r>
        <w:rPr>
          <w:rFonts w:ascii="Arial" w:hAnsi="Arial" w:cs="Arial"/>
          <w:color w:val="808080"/>
          <w:sz w:val="28"/>
          <w:szCs w:val="28"/>
        </w:rPr>
        <w:t xml:space="preserve">considerou que </w:t>
      </w:r>
      <w:r>
        <w:rPr>
          <w:rFonts w:ascii="Arial" w:hAnsi="Arial" w:cs="Arial"/>
          <w:sz w:val="28"/>
          <w:szCs w:val="28"/>
        </w:rPr>
        <w:t>(ID 89619912):</w:t>
      </w:r>
    </w:p>
    <w:p w14:paraId="1D734E93" w14:textId="77777777" w:rsidR="009908C1" w:rsidRDefault="009908C1" w:rsidP="00506A7D">
      <w:pPr>
        <w:spacing w:after="0" w:line="360" w:lineRule="auto"/>
        <w:ind w:firstLine="2268"/>
        <w:jc w:val="both"/>
        <w:rPr>
          <w:rFonts w:ascii="Arial" w:hAnsi="Arial" w:cs="Arial"/>
          <w:sz w:val="28"/>
          <w:szCs w:val="28"/>
        </w:rPr>
      </w:pPr>
    </w:p>
    <w:p w14:paraId="11379652" w14:textId="504FF441" w:rsidR="009908C1" w:rsidRDefault="00EF3BD7" w:rsidP="009908C1">
      <w:pPr>
        <w:spacing w:after="0" w:line="360" w:lineRule="auto"/>
        <w:ind w:left="2268"/>
        <w:jc w:val="both"/>
        <w:rPr>
          <w:rFonts w:ascii="Arial" w:hAnsi="Arial" w:cs="Arial"/>
          <w:i/>
          <w:iCs/>
          <w:sz w:val="26"/>
          <w:szCs w:val="26"/>
        </w:rPr>
      </w:pPr>
      <w:r w:rsidRPr="009908C1">
        <w:rPr>
          <w:rFonts w:ascii="Arial" w:hAnsi="Arial" w:cs="Arial"/>
          <w:i/>
          <w:sz w:val="26"/>
          <w:szCs w:val="26"/>
        </w:rPr>
        <w:lastRenderedPageBreak/>
        <w:t>“</w:t>
      </w:r>
      <w:r w:rsidR="009908C1">
        <w:rPr>
          <w:rFonts w:ascii="Arial" w:hAnsi="Arial" w:cs="Arial"/>
          <w:i/>
          <w:sz w:val="26"/>
          <w:szCs w:val="26"/>
        </w:rPr>
        <w:t xml:space="preserve">(...) </w:t>
      </w:r>
      <w:r w:rsidR="009908C1">
        <w:rPr>
          <w:rFonts w:ascii="Arial" w:hAnsi="Arial" w:cs="Arial"/>
          <w:i/>
          <w:iCs/>
          <w:sz w:val="26"/>
          <w:szCs w:val="26"/>
        </w:rPr>
        <w:t>N</w:t>
      </w:r>
      <w:r w:rsidRPr="009908C1">
        <w:rPr>
          <w:rFonts w:ascii="Arial" w:hAnsi="Arial" w:cs="Arial"/>
          <w:i/>
          <w:iCs/>
          <w:sz w:val="26"/>
          <w:szCs w:val="26"/>
        </w:rPr>
        <w:t>ão há, nos autos, documento técnico independente que confirme que a causa do dano tenha sido variação de energia elétrica ou defeito interno coberto pelo seguro</w:t>
      </w:r>
      <w:r w:rsidR="009908C1">
        <w:rPr>
          <w:rFonts w:ascii="Arial" w:hAnsi="Arial" w:cs="Arial"/>
          <w:i/>
          <w:iCs/>
          <w:sz w:val="26"/>
          <w:szCs w:val="26"/>
        </w:rPr>
        <w:t xml:space="preserve">. </w:t>
      </w:r>
    </w:p>
    <w:p w14:paraId="28437BB4" w14:textId="78CB5AAC" w:rsidR="009908C1" w:rsidRDefault="009908C1" w:rsidP="009908C1">
      <w:pPr>
        <w:spacing w:after="0" w:line="360" w:lineRule="auto"/>
        <w:ind w:left="2268"/>
        <w:jc w:val="both"/>
        <w:rPr>
          <w:rFonts w:ascii="Arial" w:hAnsi="Arial" w:cs="Arial"/>
          <w:sz w:val="26"/>
          <w:szCs w:val="26"/>
        </w:rPr>
      </w:pPr>
      <w:r>
        <w:rPr>
          <w:rFonts w:ascii="Arial" w:hAnsi="Arial" w:cs="Arial"/>
          <w:i/>
          <w:iCs/>
          <w:sz w:val="26"/>
          <w:szCs w:val="26"/>
        </w:rPr>
        <w:t>(...)</w:t>
      </w:r>
    </w:p>
    <w:p w14:paraId="6FCFB57D" w14:textId="433E706B" w:rsidR="009908C1" w:rsidRDefault="009908C1" w:rsidP="009908C1">
      <w:pPr>
        <w:spacing w:after="0" w:line="360" w:lineRule="auto"/>
        <w:ind w:left="2268"/>
        <w:jc w:val="both"/>
        <w:rPr>
          <w:rFonts w:ascii="Arial" w:hAnsi="Arial" w:cs="Arial"/>
          <w:sz w:val="26"/>
          <w:szCs w:val="26"/>
        </w:rPr>
      </w:pPr>
      <w:r>
        <w:rPr>
          <w:rFonts w:ascii="Arial" w:hAnsi="Arial" w:cs="Arial"/>
          <w:sz w:val="26"/>
          <w:szCs w:val="26"/>
        </w:rPr>
        <w:t>O</w:t>
      </w:r>
      <w:r w:rsidR="00EF3BD7" w:rsidRPr="009908C1">
        <w:rPr>
          <w:rFonts w:ascii="Arial" w:hAnsi="Arial" w:cs="Arial"/>
          <w:i/>
          <w:iCs/>
          <w:sz w:val="26"/>
          <w:szCs w:val="26"/>
        </w:rPr>
        <w:t xml:space="preserve"> autor impugnou a conclusão e sustentou que a tela não estava quebrada, mas não produziu laudo particular, orçamento técnico, relatório de assistência diversa ou outro elemento objetivo capaz de demonstrar que o dano era interno, elétrico ou coberto pelo seguro, tampouco requereu perícia, ao contrário, informou que os documentos existentes eram suficientes para o julgamento</w:t>
      </w:r>
      <w:r>
        <w:rPr>
          <w:rFonts w:ascii="Arial" w:hAnsi="Arial" w:cs="Arial"/>
          <w:i/>
          <w:iCs/>
          <w:sz w:val="26"/>
          <w:szCs w:val="26"/>
        </w:rPr>
        <w:t>. (...)</w:t>
      </w:r>
      <w:r w:rsidRPr="009908C1">
        <w:rPr>
          <w:rFonts w:ascii="Arial" w:hAnsi="Arial" w:cs="Arial"/>
          <w:sz w:val="26"/>
          <w:szCs w:val="26"/>
        </w:rPr>
        <w:t xml:space="preserve"> </w:t>
      </w:r>
    </w:p>
    <w:p w14:paraId="421AAE67" w14:textId="0BD7B09B" w:rsidR="0070621B" w:rsidRPr="009908C1" w:rsidRDefault="009908C1" w:rsidP="009908C1">
      <w:pPr>
        <w:spacing w:after="0" w:line="360" w:lineRule="auto"/>
        <w:ind w:left="2268"/>
        <w:jc w:val="both"/>
        <w:rPr>
          <w:rFonts w:ascii="Arial" w:hAnsi="Arial" w:cs="Arial"/>
          <w:sz w:val="26"/>
          <w:szCs w:val="26"/>
        </w:rPr>
      </w:pPr>
      <w:r w:rsidRPr="009908C1">
        <w:rPr>
          <w:rFonts w:ascii="Arial" w:hAnsi="Arial" w:cs="Arial"/>
          <w:i/>
          <w:iCs/>
          <w:sz w:val="26"/>
          <w:szCs w:val="26"/>
        </w:rPr>
        <w:t>A mera discordância do consumidor, desacompanhada de prova técnica mínima em sentido contrário, não é suficiente para afastar a conclusão documental existente nos autos</w:t>
      </w:r>
      <w:r w:rsidR="00874CC9">
        <w:rPr>
          <w:rFonts w:ascii="Arial" w:hAnsi="Arial" w:cs="Arial"/>
          <w:i/>
          <w:iCs/>
          <w:sz w:val="26"/>
          <w:szCs w:val="26"/>
        </w:rPr>
        <w:t>.</w:t>
      </w:r>
      <w:r>
        <w:rPr>
          <w:rFonts w:ascii="Arial" w:hAnsi="Arial" w:cs="Arial"/>
          <w:i/>
          <w:iCs/>
          <w:sz w:val="26"/>
          <w:szCs w:val="26"/>
        </w:rPr>
        <w:t>”</w:t>
      </w:r>
    </w:p>
    <w:p w14:paraId="371C2566" w14:textId="77777777" w:rsidR="00506A7D" w:rsidRDefault="00506A7D" w:rsidP="00DB1301">
      <w:pPr>
        <w:spacing w:after="0" w:line="360" w:lineRule="auto"/>
        <w:ind w:firstLine="2268"/>
        <w:jc w:val="both"/>
        <w:rPr>
          <w:rFonts w:ascii="Arial" w:hAnsi="Arial" w:cs="Arial"/>
          <w:sz w:val="28"/>
          <w:szCs w:val="28"/>
        </w:rPr>
      </w:pPr>
    </w:p>
    <w:p w14:paraId="07F11B30" w14:textId="35B2403D" w:rsidR="00C10020" w:rsidRPr="00C10020" w:rsidRDefault="009908C1" w:rsidP="00C10020">
      <w:pPr>
        <w:spacing w:after="0" w:line="360" w:lineRule="auto"/>
        <w:ind w:firstLine="2268"/>
        <w:jc w:val="both"/>
        <w:rPr>
          <w:rFonts w:ascii="Arial" w:hAnsi="Arial" w:cs="Arial"/>
          <w:sz w:val="28"/>
          <w:szCs w:val="28"/>
        </w:rPr>
      </w:pPr>
      <w:r>
        <w:rPr>
          <w:rFonts w:ascii="Arial" w:hAnsi="Arial" w:cs="Arial"/>
          <w:sz w:val="28"/>
          <w:szCs w:val="28"/>
        </w:rPr>
        <w:t xml:space="preserve">A inversão do ônus da prova </w:t>
      </w:r>
      <w:r>
        <w:rPr>
          <w:rFonts w:ascii="Arial" w:hAnsi="Arial" w:cs="Arial"/>
          <w:color w:val="808080"/>
          <w:sz w:val="28"/>
          <w:szCs w:val="28"/>
        </w:rPr>
        <w:t>está</w:t>
      </w:r>
      <w:r>
        <w:rPr>
          <w:rFonts w:ascii="Arial" w:hAnsi="Arial" w:cs="Arial"/>
          <w:sz w:val="28"/>
          <w:szCs w:val="28"/>
        </w:rPr>
        <w:t xml:space="preserve"> </w:t>
      </w:r>
      <w:r>
        <w:rPr>
          <w:rFonts w:ascii="Arial" w:hAnsi="Arial" w:cs="Arial"/>
          <w:color w:val="808080"/>
          <w:sz w:val="28"/>
          <w:szCs w:val="28"/>
        </w:rPr>
        <w:t>prevista no</w:t>
      </w:r>
      <w:r>
        <w:rPr>
          <w:rFonts w:ascii="Arial" w:hAnsi="Arial" w:cs="Arial"/>
          <w:sz w:val="28"/>
          <w:szCs w:val="28"/>
        </w:rPr>
        <w:t xml:space="preserve"> art. 6º, VIII, do CDC:</w:t>
      </w:r>
    </w:p>
    <w:p w14:paraId="27AF7347" w14:textId="71D75E17" w:rsidR="006A20E6" w:rsidRDefault="00C10020" w:rsidP="00874CC9">
      <w:pPr>
        <w:spacing w:after="0" w:line="360" w:lineRule="auto"/>
        <w:ind w:firstLine="2268"/>
        <w:jc w:val="both"/>
        <w:rPr>
          <w:rFonts w:ascii="Arial" w:hAnsi="Arial" w:cs="Arial"/>
          <w:sz w:val="28"/>
          <w:szCs w:val="28"/>
        </w:rPr>
      </w:pPr>
      <w:r w:rsidRPr="00C10020">
        <w:rPr>
          <w:rFonts w:ascii="Arial" w:hAnsi="Arial" w:cs="Arial"/>
          <w:sz w:val="28"/>
          <w:szCs w:val="28"/>
        </w:rPr>
        <w:t> </w:t>
      </w:r>
    </w:p>
    <w:p w14:paraId="780976C9" w14:textId="77777777" w:rsidR="00954A54" w:rsidRPr="00954A54" w:rsidRDefault="006A20E6" w:rsidP="00954A54">
      <w:pPr>
        <w:spacing w:after="0" w:line="360" w:lineRule="auto"/>
        <w:ind w:left="2268"/>
        <w:jc w:val="both"/>
        <w:rPr>
          <w:rFonts w:ascii="Arial" w:hAnsi="Arial" w:cs="Arial"/>
          <w:i/>
          <w:iCs/>
          <w:sz w:val="26"/>
          <w:szCs w:val="26"/>
        </w:rPr>
      </w:pPr>
      <w:r w:rsidRPr="003C531E">
        <w:rPr>
          <w:rFonts w:ascii="Arial" w:hAnsi="Arial" w:cs="Arial"/>
          <w:sz w:val="26"/>
          <w:szCs w:val="26"/>
        </w:rPr>
        <w:t>“</w:t>
      </w:r>
      <w:r w:rsidR="00954A54" w:rsidRPr="00954A54">
        <w:rPr>
          <w:rFonts w:ascii="Arial" w:hAnsi="Arial" w:cs="Arial"/>
          <w:i/>
          <w:iCs/>
          <w:sz w:val="26"/>
          <w:szCs w:val="26"/>
        </w:rPr>
        <w:t>Art. 6º São direitos básicos do consumidor:</w:t>
      </w:r>
    </w:p>
    <w:p w14:paraId="26FEF8C8" w14:textId="77777777" w:rsidR="00954A54" w:rsidRPr="00954A54" w:rsidRDefault="00954A54" w:rsidP="00954A54">
      <w:pPr>
        <w:spacing w:after="0" w:line="360" w:lineRule="auto"/>
        <w:ind w:left="2268"/>
        <w:jc w:val="both"/>
        <w:rPr>
          <w:rFonts w:ascii="Arial" w:hAnsi="Arial" w:cs="Arial"/>
          <w:i/>
          <w:iCs/>
          <w:sz w:val="26"/>
          <w:szCs w:val="26"/>
        </w:rPr>
      </w:pPr>
      <w:r w:rsidRPr="00954A54">
        <w:rPr>
          <w:rFonts w:ascii="Arial" w:hAnsi="Arial" w:cs="Arial"/>
          <w:i/>
          <w:iCs/>
          <w:sz w:val="26"/>
          <w:szCs w:val="26"/>
        </w:rPr>
        <w:t>(...)</w:t>
      </w:r>
    </w:p>
    <w:p w14:paraId="68C1FC1D" w14:textId="3614D37A" w:rsidR="006A20E6" w:rsidRPr="003C531E" w:rsidRDefault="00954A54" w:rsidP="00954A54">
      <w:pPr>
        <w:spacing w:after="0" w:line="360" w:lineRule="auto"/>
        <w:ind w:left="2268"/>
        <w:jc w:val="both"/>
        <w:rPr>
          <w:rFonts w:ascii="Arial" w:hAnsi="Arial" w:cs="Arial"/>
          <w:sz w:val="26"/>
          <w:szCs w:val="26"/>
        </w:rPr>
      </w:pPr>
      <w:r w:rsidRPr="00954A54">
        <w:rPr>
          <w:rFonts w:ascii="Arial" w:hAnsi="Arial" w:cs="Arial"/>
          <w:i/>
          <w:iCs/>
          <w:sz w:val="26"/>
          <w:szCs w:val="26"/>
        </w:rPr>
        <w:t>VIII - a facilitação da defesa de seus direitos, inclusive com a inversão do ônus da prova, a seu favor, no processo civil, quando, a critério do juiz, for verossímil a alegação ou quando for ele hipossuficiente, segundo as regras ordinárias de experiências;</w:t>
      </w:r>
      <w:r w:rsidR="00BA541C" w:rsidRPr="003C531E">
        <w:rPr>
          <w:rFonts w:ascii="Arial" w:hAnsi="Arial" w:cs="Arial"/>
          <w:sz w:val="26"/>
          <w:szCs w:val="26"/>
        </w:rPr>
        <w:t>”</w:t>
      </w:r>
    </w:p>
    <w:p w14:paraId="1F729BB0" w14:textId="77777777" w:rsidR="008D4483" w:rsidRDefault="008D4483" w:rsidP="00DB1301">
      <w:pPr>
        <w:spacing w:after="0" w:line="360" w:lineRule="auto"/>
        <w:ind w:firstLine="2268"/>
        <w:jc w:val="both"/>
        <w:rPr>
          <w:rFonts w:ascii="Arial" w:hAnsi="Arial" w:cs="Arial"/>
          <w:sz w:val="28"/>
          <w:szCs w:val="28"/>
        </w:rPr>
      </w:pPr>
    </w:p>
    <w:p w14:paraId="3F428AA8" w14:textId="6F7B715F" w:rsidR="009C1D38" w:rsidRPr="009C1D38" w:rsidRDefault="00874CC9" w:rsidP="009C1D38">
      <w:pPr>
        <w:spacing w:after="0" w:line="360" w:lineRule="auto"/>
        <w:ind w:firstLine="2268"/>
        <w:jc w:val="both"/>
        <w:rPr>
          <w:rFonts w:ascii="Arial" w:hAnsi="Arial" w:cs="Arial"/>
          <w:sz w:val="28"/>
          <w:szCs w:val="28"/>
        </w:rPr>
      </w:pPr>
      <w:r>
        <w:rPr>
          <w:rFonts w:ascii="Arial" w:hAnsi="Arial" w:cs="Arial"/>
          <w:sz w:val="28"/>
          <w:szCs w:val="28"/>
        </w:rPr>
        <w:lastRenderedPageBreak/>
        <w:t xml:space="preserve">No caso, a verossimilhança das alegações </w:t>
      </w:r>
      <w:r>
        <w:rPr>
          <w:rFonts w:ascii="Arial" w:hAnsi="Arial" w:cs="Arial"/>
          <w:color w:val="808080"/>
          <w:sz w:val="28"/>
          <w:szCs w:val="28"/>
        </w:rPr>
        <w:t xml:space="preserve">e a hipossuficiência </w:t>
      </w:r>
      <w:r>
        <w:rPr>
          <w:rFonts w:ascii="Arial" w:hAnsi="Arial" w:cs="Arial"/>
          <w:sz w:val="28"/>
          <w:szCs w:val="28"/>
        </w:rPr>
        <w:t xml:space="preserve">do consumidor </w:t>
      </w:r>
      <w:r>
        <w:rPr>
          <w:rFonts w:ascii="Arial" w:hAnsi="Arial" w:cs="Arial"/>
          <w:color w:val="808080"/>
          <w:sz w:val="28"/>
          <w:szCs w:val="28"/>
        </w:rPr>
        <w:t>autorizaram</w:t>
      </w:r>
      <w:r>
        <w:rPr>
          <w:rFonts w:ascii="Arial" w:hAnsi="Arial" w:cs="Arial"/>
          <w:sz w:val="28"/>
          <w:szCs w:val="28"/>
        </w:rPr>
        <w:t xml:space="preserve"> a inversão, como </w:t>
      </w:r>
      <w:r>
        <w:rPr>
          <w:rFonts w:ascii="Arial" w:hAnsi="Arial" w:cs="Arial"/>
          <w:color w:val="808080"/>
          <w:sz w:val="28"/>
          <w:szCs w:val="28"/>
        </w:rPr>
        <w:t>consta</w:t>
      </w:r>
      <w:r>
        <w:rPr>
          <w:rFonts w:ascii="Arial" w:hAnsi="Arial" w:cs="Arial"/>
          <w:sz w:val="28"/>
          <w:szCs w:val="28"/>
        </w:rPr>
        <w:t xml:space="preserve"> da decisão </w:t>
      </w:r>
      <w:r>
        <w:rPr>
          <w:rFonts w:ascii="Arial" w:hAnsi="Arial" w:cs="Arial"/>
          <w:color w:val="808080"/>
          <w:sz w:val="28"/>
          <w:szCs w:val="28"/>
        </w:rPr>
        <w:t>saneadora</w:t>
      </w:r>
      <w:r>
        <w:rPr>
          <w:rFonts w:ascii="Arial" w:hAnsi="Arial" w:cs="Arial"/>
          <w:sz w:val="28"/>
          <w:szCs w:val="28"/>
        </w:rPr>
        <w:t xml:space="preserve"> </w:t>
      </w:r>
      <w:r>
        <w:rPr>
          <w:rFonts w:ascii="Arial" w:hAnsi="Arial" w:cs="Arial"/>
          <w:color w:val="808080"/>
          <w:sz w:val="28"/>
          <w:szCs w:val="28"/>
        </w:rPr>
        <w:t>(</w:t>
      </w:r>
      <w:r>
        <w:rPr>
          <w:rFonts w:ascii="Arial" w:hAnsi="Arial" w:cs="Arial"/>
          <w:sz w:val="28"/>
          <w:szCs w:val="28"/>
        </w:rPr>
        <w:t>ID 89619894</w:t>
      </w:r>
      <w:r>
        <w:rPr>
          <w:rFonts w:ascii="Arial" w:hAnsi="Arial" w:cs="Arial"/>
          <w:color w:val="808080"/>
          <w:sz w:val="28"/>
          <w:szCs w:val="28"/>
        </w:rPr>
        <w:t>)</w:t>
      </w:r>
      <w:r>
        <w:rPr>
          <w:rFonts w:ascii="Arial" w:hAnsi="Arial" w:cs="Arial"/>
          <w:sz w:val="28"/>
          <w:szCs w:val="28"/>
        </w:rPr>
        <w:t>.</w:t>
      </w:r>
    </w:p>
    <w:p w14:paraId="76CE165C" w14:textId="77777777" w:rsidR="009C1D38" w:rsidRPr="009C1D38" w:rsidRDefault="009C1D38" w:rsidP="009C1D38">
      <w:pPr>
        <w:spacing w:after="0" w:line="360" w:lineRule="auto"/>
        <w:ind w:firstLine="2268"/>
        <w:jc w:val="both"/>
        <w:rPr>
          <w:rFonts w:ascii="Arial" w:hAnsi="Arial" w:cs="Arial"/>
          <w:sz w:val="28"/>
          <w:szCs w:val="28"/>
        </w:rPr>
      </w:pPr>
      <w:r w:rsidRPr="009C1D38">
        <w:rPr>
          <w:rFonts w:ascii="Arial" w:hAnsi="Arial" w:cs="Arial"/>
          <w:sz w:val="28"/>
          <w:szCs w:val="28"/>
        </w:rPr>
        <w:t> </w:t>
      </w:r>
    </w:p>
    <w:p w14:paraId="5B3CC4A0" w14:textId="6E39BC3D" w:rsidR="009C1D38" w:rsidRPr="009C1D38" w:rsidRDefault="009C1D38" w:rsidP="009C1D38">
      <w:pPr>
        <w:spacing w:after="0" w:line="360" w:lineRule="auto"/>
        <w:ind w:firstLine="2268"/>
        <w:jc w:val="both"/>
        <w:rPr>
          <w:rFonts w:ascii="Arial" w:hAnsi="Arial" w:cs="Arial"/>
          <w:sz w:val="28"/>
          <w:szCs w:val="28"/>
        </w:rPr>
      </w:pPr>
      <w:r>
        <w:rPr>
          <w:rFonts w:ascii="Arial" w:hAnsi="Arial" w:cs="Arial"/>
          <w:sz w:val="28"/>
          <w:szCs w:val="28"/>
        </w:rPr>
        <w:t>A verossimilhança está na afirmação, desde a inicial, de que “</w:t>
      </w:r>
      <w:r>
        <w:rPr>
          <w:rFonts w:ascii="Arial" w:hAnsi="Arial" w:cs="Arial"/>
          <w:i/>
          <w:iCs/>
          <w:sz w:val="28"/>
          <w:szCs w:val="28"/>
        </w:rPr>
        <w:t>a tela não está quebrada</w:t>
      </w:r>
      <w:r>
        <w:rPr>
          <w:rFonts w:ascii="Arial" w:hAnsi="Arial" w:cs="Arial"/>
          <w:sz w:val="28"/>
          <w:szCs w:val="28"/>
        </w:rPr>
        <w:t>”</w:t>
      </w:r>
      <w:r>
        <w:rPr>
          <w:rFonts w:ascii="Arial" w:hAnsi="Arial" w:cs="Arial"/>
          <w:color w:val="808080"/>
          <w:sz w:val="28"/>
          <w:szCs w:val="28"/>
        </w:rPr>
        <w:t>, e nas fotos juntadas com a réplica</w:t>
      </w:r>
      <w:r>
        <w:rPr>
          <w:rFonts w:ascii="Arial" w:hAnsi="Arial" w:cs="Arial"/>
          <w:sz w:val="28"/>
          <w:szCs w:val="28"/>
        </w:rPr>
        <w:t xml:space="preserve"> (ID 89618439, p. 13, </w:t>
      </w:r>
      <w:r>
        <w:rPr>
          <w:rFonts w:ascii="Arial" w:hAnsi="Arial" w:cs="Arial"/>
          <w:color w:val="808080"/>
          <w:sz w:val="28"/>
          <w:szCs w:val="28"/>
        </w:rPr>
        <w:t>e</w:t>
      </w:r>
      <w:r>
        <w:rPr>
          <w:rFonts w:ascii="Arial" w:hAnsi="Arial" w:cs="Arial"/>
          <w:sz w:val="28"/>
          <w:szCs w:val="28"/>
        </w:rPr>
        <w:t xml:space="preserve"> 89619887, p. 12).</w:t>
      </w:r>
    </w:p>
    <w:p w14:paraId="594A822A" w14:textId="371BC432" w:rsidR="002D2044" w:rsidRDefault="002D2044" w:rsidP="00DB1301">
      <w:pPr>
        <w:spacing w:after="0" w:line="360" w:lineRule="auto"/>
        <w:ind w:firstLine="2268"/>
        <w:jc w:val="both"/>
        <w:rPr>
          <w:rFonts w:ascii="Arial" w:hAnsi="Arial" w:cs="Arial"/>
          <w:sz w:val="28"/>
          <w:szCs w:val="28"/>
        </w:rPr>
      </w:pPr>
    </w:p>
    <w:p w14:paraId="65AF7D29" w14:textId="77777777" w:rsidR="00D77C11" w:rsidRDefault="0092188E" w:rsidP="00DB1301">
      <w:pPr>
        <w:spacing w:after="0" w:line="360" w:lineRule="auto"/>
        <w:ind w:firstLine="2268"/>
        <w:jc w:val="both"/>
        <w:rPr>
          <w:rFonts w:ascii="Arial" w:hAnsi="Arial" w:cs="Arial"/>
          <w:sz w:val="28"/>
          <w:szCs w:val="28"/>
        </w:rPr>
      </w:pPr>
      <w:r>
        <w:rPr>
          <w:rFonts w:ascii="Arial" w:hAnsi="Arial" w:cs="Arial"/>
          <w:color w:val="808080"/>
          <w:sz w:val="28"/>
          <w:szCs w:val="28"/>
          <w:highlight w:val="yellow"/>
        </w:rPr>
        <w:t>Decerto</w:t>
      </w:r>
      <w:r>
        <w:rPr>
          <w:rFonts w:ascii="Arial" w:hAnsi="Arial" w:cs="Arial"/>
          <w:sz w:val="28"/>
          <w:szCs w:val="28"/>
          <w:highlight w:val="yellow"/>
        </w:rPr>
        <w:t xml:space="preserve">, do cotejo entre </w:t>
      </w:r>
      <w:r>
        <w:rPr>
          <w:rFonts w:ascii="Arial" w:hAnsi="Arial" w:cs="Arial"/>
          <w:color w:val="808080"/>
          <w:sz w:val="28"/>
          <w:szCs w:val="28"/>
          <w:highlight w:val="yellow"/>
        </w:rPr>
        <w:t>essas</w:t>
      </w:r>
      <w:r>
        <w:rPr>
          <w:rFonts w:ascii="Arial" w:hAnsi="Arial" w:cs="Arial"/>
          <w:sz w:val="28"/>
          <w:szCs w:val="28"/>
          <w:highlight w:val="yellow"/>
        </w:rPr>
        <w:t xml:space="preserve"> fotografias e </w:t>
      </w:r>
      <w:r>
        <w:rPr>
          <w:rFonts w:ascii="Arial" w:hAnsi="Arial" w:cs="Arial"/>
          <w:color w:val="808080"/>
          <w:sz w:val="28"/>
          <w:szCs w:val="28"/>
          <w:highlight w:val="yellow"/>
        </w:rPr>
        <w:t>as</w:t>
      </w:r>
      <w:r>
        <w:rPr>
          <w:rFonts w:ascii="Arial" w:hAnsi="Arial" w:cs="Arial"/>
          <w:sz w:val="28"/>
          <w:szCs w:val="28"/>
          <w:highlight w:val="yellow"/>
        </w:rPr>
        <w:t xml:space="preserve"> do laudo que embasou a negativa </w:t>
      </w:r>
      <w:r>
        <w:rPr>
          <w:rFonts w:ascii="Arial" w:hAnsi="Arial" w:cs="Arial"/>
          <w:color w:val="808080"/>
          <w:sz w:val="28"/>
          <w:szCs w:val="28"/>
          <w:highlight w:val="yellow"/>
        </w:rPr>
        <w:t>resulta</w:t>
      </w:r>
      <w:r>
        <w:rPr>
          <w:rFonts w:ascii="Arial" w:hAnsi="Arial" w:cs="Arial"/>
          <w:sz w:val="28"/>
          <w:szCs w:val="28"/>
          <w:highlight w:val="yellow"/>
        </w:rPr>
        <w:t xml:space="preserve"> divergência fática objetiva, </w:t>
      </w:r>
      <w:r>
        <w:rPr>
          <w:rFonts w:ascii="Arial" w:hAnsi="Arial" w:cs="Arial"/>
          <w:color w:val="808080"/>
          <w:sz w:val="28"/>
          <w:szCs w:val="28"/>
          <w:highlight w:val="yellow"/>
        </w:rPr>
        <w:t>a</w:t>
      </w:r>
      <w:r>
        <w:rPr>
          <w:rFonts w:ascii="Arial" w:hAnsi="Arial" w:cs="Arial"/>
          <w:sz w:val="28"/>
          <w:szCs w:val="28"/>
          <w:highlight w:val="yellow"/>
        </w:rPr>
        <w:t xml:space="preserve"> </w:t>
      </w:r>
      <w:r>
        <w:rPr>
          <w:rFonts w:ascii="Arial" w:hAnsi="Arial" w:cs="Arial"/>
          <w:color w:val="808080"/>
          <w:sz w:val="28"/>
          <w:szCs w:val="28"/>
          <w:highlight w:val="yellow"/>
        </w:rPr>
        <w:t>esclarecer</w:t>
      </w:r>
      <w:r>
        <w:rPr>
          <w:rFonts w:ascii="Arial" w:hAnsi="Arial" w:cs="Arial"/>
          <w:sz w:val="28"/>
          <w:szCs w:val="28"/>
          <w:highlight w:val="yellow"/>
        </w:rPr>
        <w:t xml:space="preserve"> antes do julgamento do mérito</w:t>
      </w:r>
      <w:r>
        <w:rPr>
          <w:rFonts w:ascii="Arial" w:hAnsi="Arial" w:cs="Arial"/>
          <w:color w:val="808080"/>
          <w:sz w:val="28"/>
          <w:szCs w:val="28"/>
          <w:highlight w:val="yellow"/>
        </w:rPr>
        <w:t xml:space="preserve"> (ID 89619859)</w:t>
      </w:r>
      <w:r>
        <w:rPr>
          <w:rFonts w:ascii="Arial" w:hAnsi="Arial" w:cs="Arial"/>
          <w:sz w:val="28"/>
          <w:szCs w:val="28"/>
          <w:highlight w:val="yellow"/>
        </w:rPr>
        <w:t>.</w:t>
      </w:r>
    </w:p>
    <w:p w14:paraId="6C7661B9" w14:textId="77777777" w:rsidR="00D77C11" w:rsidRDefault="00D77C11" w:rsidP="00DB1301">
      <w:pPr>
        <w:spacing w:after="0" w:line="360" w:lineRule="auto"/>
        <w:ind w:firstLine="2268"/>
        <w:jc w:val="both"/>
        <w:rPr>
          <w:rFonts w:ascii="Arial" w:hAnsi="Arial" w:cs="Arial"/>
          <w:sz w:val="28"/>
          <w:szCs w:val="28"/>
        </w:rPr>
      </w:pPr>
    </w:p>
    <w:p w14:paraId="646D6A57" w14:textId="77777777" w:rsidR="000348DD" w:rsidRDefault="00366AE2">
      <w:pPr>
        <w:spacing w:after="0" w:line="360" w:lineRule="auto"/>
        <w:ind w:firstLine="2268"/>
        <w:jc w:val="both"/>
      </w:pPr>
      <w:r>
        <w:rPr>
          <w:rFonts w:ascii="Arial" w:hAnsi="Arial" w:cs="Arial"/>
          <w:color w:val="808080"/>
          <w:sz w:val="28"/>
          <w:szCs w:val="28"/>
        </w:rPr>
        <w:t>Em</w:t>
      </w:r>
      <w:r>
        <w:rPr>
          <w:rFonts w:ascii="Arial" w:hAnsi="Arial" w:cs="Arial"/>
          <w:sz w:val="28"/>
          <w:szCs w:val="28"/>
        </w:rPr>
        <w:t xml:space="preserve"> um aparelho consta dano nítido à tela, cuja causa aparente não </w:t>
      </w:r>
      <w:r>
        <w:rPr>
          <w:rFonts w:ascii="Arial" w:hAnsi="Arial" w:cs="Arial"/>
          <w:color w:val="808080"/>
          <w:sz w:val="28"/>
          <w:szCs w:val="28"/>
        </w:rPr>
        <w:t>é</w:t>
      </w:r>
      <w:r>
        <w:rPr>
          <w:rFonts w:ascii="Arial" w:hAnsi="Arial" w:cs="Arial"/>
          <w:sz w:val="28"/>
          <w:szCs w:val="28"/>
        </w:rPr>
        <w:t xml:space="preserve"> perturbação da rede elétrica, mas a ação de objeto externo (ID 89619859).</w:t>
      </w:r>
    </w:p>
    <w:p w14:paraId="54956837" w14:textId="77777777" w:rsidR="000348DD" w:rsidRDefault="000348DD">
      <w:pPr>
        <w:spacing w:after="0" w:line="360" w:lineRule="auto"/>
        <w:ind w:firstLine="2268"/>
        <w:jc w:val="both"/>
      </w:pPr>
    </w:p>
    <w:p w14:paraId="1F04EBC1" w14:textId="18616BEF" w:rsidR="0092188E" w:rsidRDefault="00D032BC" w:rsidP="00DB1301">
      <w:pPr>
        <w:spacing w:after="0" w:line="360" w:lineRule="auto"/>
        <w:ind w:firstLine="2268"/>
        <w:jc w:val="both"/>
        <w:rPr>
          <w:rFonts w:ascii="Arial" w:hAnsi="Arial" w:cs="Arial"/>
          <w:sz w:val="28"/>
          <w:szCs w:val="28"/>
        </w:rPr>
      </w:pPr>
      <w:r>
        <w:rPr>
          <w:rFonts w:ascii="Arial" w:hAnsi="Arial" w:cs="Arial"/>
          <w:sz w:val="28"/>
          <w:szCs w:val="28"/>
        </w:rPr>
        <w:t xml:space="preserve">Nas fotos </w:t>
      </w:r>
      <w:r>
        <w:rPr>
          <w:rFonts w:ascii="Arial" w:hAnsi="Arial" w:cs="Arial"/>
          <w:color w:val="808080"/>
          <w:sz w:val="28"/>
          <w:szCs w:val="28"/>
        </w:rPr>
        <w:t>do</w:t>
      </w:r>
      <w:r>
        <w:rPr>
          <w:rFonts w:ascii="Arial" w:hAnsi="Arial" w:cs="Arial"/>
          <w:sz w:val="28"/>
          <w:szCs w:val="28"/>
        </w:rPr>
        <w:t xml:space="preserve"> apelante, o mesmo dano</w:t>
      </w:r>
      <w:r>
        <w:rPr>
          <w:rFonts w:ascii="Arial" w:hAnsi="Arial" w:cs="Arial"/>
          <w:color w:val="808080"/>
          <w:sz w:val="28"/>
          <w:szCs w:val="28"/>
        </w:rPr>
        <w:t xml:space="preserve"> não existe</w:t>
      </w:r>
      <w:r>
        <w:rPr>
          <w:rFonts w:ascii="Arial" w:hAnsi="Arial" w:cs="Arial"/>
          <w:sz w:val="28"/>
          <w:szCs w:val="28"/>
        </w:rPr>
        <w:t xml:space="preserve">, </w:t>
      </w:r>
      <w:r>
        <w:rPr>
          <w:rFonts w:ascii="Arial" w:hAnsi="Arial" w:cs="Arial"/>
          <w:color w:val="808080"/>
          <w:sz w:val="28"/>
          <w:szCs w:val="28"/>
        </w:rPr>
        <w:t>o</w:t>
      </w:r>
      <w:r>
        <w:rPr>
          <w:rFonts w:ascii="Arial" w:hAnsi="Arial" w:cs="Arial"/>
          <w:sz w:val="28"/>
          <w:szCs w:val="28"/>
        </w:rPr>
        <w:t xml:space="preserve"> que </w:t>
      </w:r>
      <w:r>
        <w:rPr>
          <w:rFonts w:ascii="Arial" w:hAnsi="Arial" w:cs="Arial"/>
          <w:color w:val="808080"/>
          <w:sz w:val="28"/>
          <w:szCs w:val="28"/>
        </w:rPr>
        <w:t>sugere tratar-</w:t>
      </w:r>
      <w:r>
        <w:rPr>
          <w:rFonts w:ascii="Arial" w:hAnsi="Arial" w:cs="Arial"/>
          <w:sz w:val="28"/>
          <w:szCs w:val="28"/>
        </w:rPr>
        <w:t>se de aparelhos distintos (ID 89619887, p. 12).</w:t>
      </w:r>
    </w:p>
    <w:p w14:paraId="6D09F2F0" w14:textId="77777777" w:rsidR="00D175FB" w:rsidRDefault="00D175FB" w:rsidP="00DB1301">
      <w:pPr>
        <w:spacing w:after="0" w:line="360" w:lineRule="auto"/>
        <w:ind w:firstLine="2268"/>
        <w:jc w:val="both"/>
        <w:rPr>
          <w:rFonts w:ascii="Arial" w:hAnsi="Arial" w:cs="Arial"/>
          <w:sz w:val="28"/>
          <w:szCs w:val="28"/>
        </w:rPr>
      </w:pPr>
    </w:p>
    <w:p w14:paraId="7881A4AA" w14:textId="77777777" w:rsidR="00F02F93" w:rsidRDefault="00B06C21" w:rsidP="00DB1301">
      <w:pPr>
        <w:spacing w:after="0" w:line="360" w:lineRule="auto"/>
        <w:ind w:firstLine="2268"/>
        <w:jc w:val="both"/>
        <w:rPr>
          <w:rFonts w:ascii="Arial" w:hAnsi="Arial" w:cs="Arial"/>
          <w:sz w:val="28"/>
          <w:szCs w:val="28"/>
        </w:rPr>
      </w:pPr>
      <w:commentRangeStart w:id="11"/>
      <w:r>
        <w:rPr>
          <w:rFonts w:ascii="Arial" w:hAnsi="Arial" w:cs="Arial"/>
          <w:sz w:val="28"/>
          <w:szCs w:val="28"/>
        </w:rPr>
        <w:t xml:space="preserve">Contribui para a dúvida a impossibilidade de </w:t>
      </w:r>
      <w:r>
        <w:rPr>
          <w:rFonts w:ascii="Arial" w:hAnsi="Arial" w:cs="Arial"/>
          <w:color w:val="808080"/>
          <w:sz w:val="28"/>
          <w:szCs w:val="28"/>
        </w:rPr>
        <w:t>cotejar</w:t>
      </w:r>
      <w:r>
        <w:rPr>
          <w:rFonts w:ascii="Arial" w:hAnsi="Arial" w:cs="Arial"/>
          <w:sz w:val="28"/>
          <w:szCs w:val="28"/>
        </w:rPr>
        <w:t xml:space="preserve"> </w:t>
      </w:r>
      <w:r>
        <w:rPr>
          <w:rFonts w:ascii="Arial" w:hAnsi="Arial" w:cs="Arial"/>
          <w:color w:val="808080"/>
          <w:sz w:val="28"/>
          <w:szCs w:val="28"/>
        </w:rPr>
        <w:t>os</w:t>
      </w:r>
      <w:r>
        <w:rPr>
          <w:rFonts w:ascii="Arial" w:hAnsi="Arial" w:cs="Arial"/>
          <w:sz w:val="28"/>
          <w:szCs w:val="28"/>
        </w:rPr>
        <w:t xml:space="preserve"> </w:t>
      </w:r>
      <w:r>
        <w:rPr>
          <w:rFonts w:ascii="Arial" w:hAnsi="Arial" w:cs="Arial"/>
          <w:color w:val="808080"/>
          <w:sz w:val="28"/>
          <w:szCs w:val="28"/>
        </w:rPr>
        <w:t>números</w:t>
      </w:r>
      <w:r>
        <w:rPr>
          <w:rFonts w:ascii="Arial" w:hAnsi="Arial" w:cs="Arial"/>
          <w:sz w:val="28"/>
          <w:szCs w:val="28"/>
        </w:rPr>
        <w:t xml:space="preserve"> </w:t>
      </w:r>
      <w:r>
        <w:rPr>
          <w:rFonts w:ascii="Arial" w:hAnsi="Arial" w:cs="Arial"/>
          <w:color w:val="808080"/>
          <w:sz w:val="28"/>
          <w:szCs w:val="28"/>
        </w:rPr>
        <w:t>de</w:t>
      </w:r>
      <w:r>
        <w:rPr>
          <w:rFonts w:ascii="Arial" w:hAnsi="Arial" w:cs="Arial"/>
          <w:sz w:val="28"/>
          <w:szCs w:val="28"/>
        </w:rPr>
        <w:t xml:space="preserve"> </w:t>
      </w:r>
      <w:r>
        <w:rPr>
          <w:rFonts w:ascii="Arial" w:hAnsi="Arial" w:cs="Arial"/>
          <w:color w:val="808080"/>
          <w:sz w:val="28"/>
          <w:szCs w:val="28"/>
        </w:rPr>
        <w:t>série:</w:t>
      </w:r>
      <w:r>
        <w:rPr>
          <w:rFonts w:ascii="Arial" w:hAnsi="Arial" w:cs="Arial"/>
          <w:sz w:val="28"/>
          <w:szCs w:val="28"/>
        </w:rPr>
        <w:t xml:space="preserve"> </w:t>
      </w:r>
      <w:r>
        <w:rPr>
          <w:rFonts w:ascii="Arial" w:hAnsi="Arial" w:cs="Arial"/>
          <w:color w:val="808080"/>
          <w:sz w:val="28"/>
          <w:szCs w:val="28"/>
        </w:rPr>
        <w:t>o</w:t>
      </w:r>
      <w:r>
        <w:rPr>
          <w:rFonts w:ascii="Arial" w:hAnsi="Arial" w:cs="Arial"/>
          <w:sz w:val="28"/>
          <w:szCs w:val="28"/>
        </w:rPr>
        <w:t xml:space="preserve"> bilhete do seguro </w:t>
      </w:r>
      <w:r>
        <w:rPr>
          <w:rFonts w:ascii="Arial" w:hAnsi="Arial" w:cs="Arial"/>
          <w:color w:val="808080"/>
          <w:sz w:val="28"/>
          <w:szCs w:val="28"/>
        </w:rPr>
        <w:t>registra</w:t>
      </w:r>
      <w:r>
        <w:rPr>
          <w:rFonts w:ascii="Arial" w:hAnsi="Arial" w:cs="Arial"/>
          <w:sz w:val="28"/>
          <w:szCs w:val="28"/>
        </w:rPr>
        <w:t xml:space="preserve"> </w:t>
      </w:r>
      <w:r>
        <w:rPr>
          <w:rFonts w:ascii="Arial" w:hAnsi="Arial" w:cs="Arial"/>
          <w:color w:val="808080"/>
          <w:sz w:val="28"/>
          <w:szCs w:val="28"/>
        </w:rPr>
        <w:t>como</w:t>
      </w:r>
      <w:r>
        <w:rPr>
          <w:rFonts w:ascii="Arial" w:hAnsi="Arial" w:cs="Arial"/>
          <w:sz w:val="28"/>
          <w:szCs w:val="28"/>
        </w:rPr>
        <w:t xml:space="preserve"> </w:t>
      </w:r>
      <w:r>
        <w:rPr>
          <w:rFonts w:ascii="Arial" w:hAnsi="Arial" w:cs="Arial"/>
          <w:color w:val="808080"/>
          <w:sz w:val="28"/>
          <w:szCs w:val="28"/>
        </w:rPr>
        <w:t>série (RMS) o número 6718388, que consta também como “Código” do produto, ao passo que o laudo identifica o aparelho pela série alfanumérica “301AZPU6P600”</w:t>
      </w:r>
      <w:r>
        <w:rPr>
          <w:rFonts w:ascii="Arial" w:hAnsi="Arial" w:cs="Arial"/>
          <w:sz w:val="28"/>
          <w:szCs w:val="28"/>
        </w:rPr>
        <w:t xml:space="preserve"> (ID 89618455</w:t>
      </w:r>
      <w:r>
        <w:rPr>
          <w:rFonts w:ascii="Arial" w:hAnsi="Arial" w:cs="Arial"/>
          <w:color w:val="808080"/>
          <w:sz w:val="28"/>
          <w:szCs w:val="28"/>
        </w:rPr>
        <w:t xml:space="preserve"> e 89619859</w:t>
      </w:r>
      <w:r>
        <w:rPr>
          <w:rFonts w:ascii="Arial" w:hAnsi="Arial" w:cs="Arial"/>
          <w:sz w:val="28"/>
          <w:szCs w:val="28"/>
        </w:rPr>
        <w:t>).</w:t>
      </w:r>
      <w:commentRangeEnd w:id="11"/>
      <w:r>
        <w:commentReference w:id="11"/>
      </w:r>
    </w:p>
    <w:p w14:paraId="5CA677A2" w14:textId="77777777" w:rsidR="00F02F93" w:rsidRDefault="00F02F93" w:rsidP="00DB1301">
      <w:pPr>
        <w:spacing w:after="0" w:line="360" w:lineRule="auto"/>
        <w:ind w:firstLine="2268"/>
        <w:jc w:val="both"/>
        <w:rPr>
          <w:rFonts w:ascii="Arial" w:hAnsi="Arial" w:cs="Arial"/>
          <w:sz w:val="28"/>
          <w:szCs w:val="28"/>
        </w:rPr>
      </w:pPr>
    </w:p>
    <w:p w14:paraId="6CB2F7AE" w14:textId="179AEF6D" w:rsidR="009A7251" w:rsidRDefault="009A7251" w:rsidP="00DB1301">
      <w:pPr>
        <w:spacing w:after="0" w:line="360" w:lineRule="auto"/>
        <w:ind w:firstLine="2268"/>
        <w:jc w:val="both"/>
        <w:rPr>
          <w:rFonts w:ascii="Arial" w:hAnsi="Arial" w:cs="Arial"/>
          <w:sz w:val="28"/>
          <w:szCs w:val="28"/>
        </w:rPr>
      </w:pPr>
      <w:r>
        <w:rPr>
          <w:rFonts w:ascii="Arial" w:hAnsi="Arial" w:cs="Arial"/>
          <w:color w:val="808080"/>
          <w:sz w:val="28"/>
          <w:szCs w:val="28"/>
        </w:rPr>
        <w:t>Ressalvada</w:t>
      </w:r>
      <w:r>
        <w:rPr>
          <w:rFonts w:ascii="Arial" w:hAnsi="Arial" w:cs="Arial"/>
          <w:sz w:val="28"/>
          <w:szCs w:val="28"/>
        </w:rPr>
        <w:t xml:space="preserve"> eventual litigância de má-fé do apelante, não se pode </w:t>
      </w:r>
      <w:r>
        <w:rPr>
          <w:rFonts w:ascii="Arial" w:hAnsi="Arial" w:cs="Arial"/>
          <w:color w:val="808080"/>
          <w:sz w:val="28"/>
          <w:szCs w:val="28"/>
        </w:rPr>
        <w:t>descartar</w:t>
      </w:r>
      <w:r>
        <w:rPr>
          <w:rFonts w:ascii="Arial" w:hAnsi="Arial" w:cs="Arial"/>
          <w:sz w:val="28"/>
          <w:szCs w:val="28"/>
        </w:rPr>
        <w:t xml:space="preserve"> simples erro material do técnico ao enviar as fotos para </w:t>
      </w:r>
      <w:r>
        <w:rPr>
          <w:rFonts w:ascii="Arial" w:hAnsi="Arial" w:cs="Arial"/>
          <w:color w:val="808080"/>
          <w:sz w:val="28"/>
          <w:szCs w:val="28"/>
        </w:rPr>
        <w:t>o</w:t>
      </w:r>
      <w:r>
        <w:rPr>
          <w:rFonts w:ascii="Arial" w:hAnsi="Arial" w:cs="Arial"/>
          <w:sz w:val="28"/>
          <w:szCs w:val="28"/>
        </w:rPr>
        <w:t xml:space="preserve"> relatório.</w:t>
      </w:r>
    </w:p>
    <w:p w14:paraId="605FFE4A" w14:textId="77777777" w:rsidR="002B0706" w:rsidRDefault="002B0706" w:rsidP="00DB1301">
      <w:pPr>
        <w:spacing w:after="0" w:line="360" w:lineRule="auto"/>
        <w:ind w:firstLine="2268"/>
        <w:jc w:val="both"/>
        <w:rPr>
          <w:rFonts w:ascii="Arial" w:hAnsi="Arial" w:cs="Arial"/>
          <w:sz w:val="28"/>
          <w:szCs w:val="28"/>
        </w:rPr>
      </w:pPr>
    </w:p>
    <w:p w14:paraId="588F2990" w14:textId="6F171AC7" w:rsidR="009F00C0" w:rsidRPr="00B31E73" w:rsidRDefault="002B0706" w:rsidP="009F00C0">
      <w:pPr>
        <w:spacing w:after="0" w:line="360" w:lineRule="auto"/>
        <w:ind w:firstLine="2268"/>
        <w:jc w:val="both"/>
        <w:rPr>
          <w:rFonts w:ascii="Arial" w:hAnsi="Arial" w:cs="Arial"/>
          <w:sz w:val="28"/>
          <w:szCs w:val="28"/>
        </w:rPr>
      </w:pPr>
      <w:r>
        <w:rPr>
          <w:rFonts w:ascii="Arial" w:hAnsi="Arial" w:cs="Arial"/>
          <w:color w:val="808080"/>
          <w:sz w:val="28"/>
          <w:szCs w:val="28"/>
        </w:rPr>
        <w:lastRenderedPageBreak/>
        <w:t>Segundo</w:t>
      </w:r>
      <w:r>
        <w:rPr>
          <w:rFonts w:ascii="Arial" w:hAnsi="Arial" w:cs="Arial"/>
          <w:sz w:val="28"/>
          <w:szCs w:val="28"/>
        </w:rPr>
        <w:t xml:space="preserve"> </w:t>
      </w:r>
      <w:r>
        <w:rPr>
          <w:rFonts w:ascii="Arial" w:hAnsi="Arial" w:cs="Arial"/>
          <w:color w:val="808080"/>
          <w:sz w:val="28"/>
          <w:szCs w:val="28"/>
        </w:rPr>
        <w:t>o</w:t>
      </w:r>
      <w:r>
        <w:rPr>
          <w:rFonts w:ascii="Arial" w:hAnsi="Arial" w:cs="Arial"/>
          <w:sz w:val="28"/>
          <w:szCs w:val="28"/>
        </w:rPr>
        <w:t xml:space="preserve"> consumidor, o </w:t>
      </w:r>
      <w:r>
        <w:rPr>
          <w:rFonts w:ascii="Arial" w:hAnsi="Arial" w:cs="Arial"/>
          <w:color w:val="808080"/>
          <w:sz w:val="28"/>
          <w:szCs w:val="28"/>
        </w:rPr>
        <w:t>técnico</w:t>
      </w:r>
      <w:r>
        <w:rPr>
          <w:rFonts w:ascii="Arial" w:hAnsi="Arial" w:cs="Arial"/>
          <w:sz w:val="28"/>
          <w:szCs w:val="28"/>
        </w:rPr>
        <w:t xml:space="preserve"> enviado </w:t>
      </w:r>
      <w:r>
        <w:rPr>
          <w:rFonts w:ascii="Arial" w:hAnsi="Arial" w:cs="Arial"/>
          <w:color w:val="808080"/>
          <w:sz w:val="28"/>
          <w:szCs w:val="28"/>
        </w:rPr>
        <w:t>à</w:t>
      </w:r>
      <w:r>
        <w:rPr>
          <w:rFonts w:ascii="Arial" w:hAnsi="Arial" w:cs="Arial"/>
          <w:sz w:val="28"/>
          <w:szCs w:val="28"/>
        </w:rPr>
        <w:t xml:space="preserve"> sua residência </w:t>
      </w:r>
      <w:r>
        <w:rPr>
          <w:rFonts w:ascii="Arial" w:hAnsi="Arial" w:cs="Arial"/>
          <w:color w:val="808080"/>
          <w:sz w:val="28"/>
          <w:szCs w:val="28"/>
        </w:rPr>
        <w:t>apenas</w:t>
      </w:r>
      <w:r>
        <w:rPr>
          <w:rFonts w:ascii="Arial" w:hAnsi="Arial" w:cs="Arial"/>
          <w:sz w:val="28"/>
          <w:szCs w:val="28"/>
        </w:rPr>
        <w:t xml:space="preserve"> </w:t>
      </w:r>
      <w:r>
        <w:rPr>
          <w:rFonts w:ascii="Arial" w:hAnsi="Arial" w:cs="Arial"/>
          <w:color w:val="808080"/>
          <w:sz w:val="28"/>
          <w:szCs w:val="28"/>
        </w:rPr>
        <w:t>fotografou</w:t>
      </w:r>
      <w:r>
        <w:rPr>
          <w:rFonts w:ascii="Arial" w:hAnsi="Arial" w:cs="Arial"/>
          <w:sz w:val="28"/>
          <w:szCs w:val="28"/>
        </w:rPr>
        <w:t xml:space="preserve"> o aparelho, que não foi removido</w:t>
      </w:r>
      <w:r>
        <w:rPr>
          <w:rFonts w:ascii="Arial" w:hAnsi="Arial" w:cs="Arial"/>
          <w:color w:val="808080"/>
          <w:sz w:val="28"/>
          <w:szCs w:val="28"/>
        </w:rPr>
        <w:t>,</w:t>
      </w:r>
      <w:r>
        <w:rPr>
          <w:rFonts w:ascii="Arial" w:hAnsi="Arial" w:cs="Arial"/>
          <w:sz w:val="28"/>
          <w:szCs w:val="28"/>
        </w:rPr>
        <w:t xml:space="preserve"> </w:t>
      </w:r>
      <w:r>
        <w:rPr>
          <w:rFonts w:ascii="Arial" w:hAnsi="Arial" w:cs="Arial"/>
          <w:color w:val="808080"/>
          <w:sz w:val="28"/>
          <w:szCs w:val="28"/>
        </w:rPr>
        <w:t>e</w:t>
      </w:r>
      <w:r>
        <w:rPr>
          <w:rFonts w:ascii="Arial" w:hAnsi="Arial" w:cs="Arial"/>
          <w:sz w:val="28"/>
          <w:szCs w:val="28"/>
        </w:rPr>
        <w:t xml:space="preserve"> o </w:t>
      </w:r>
      <w:r>
        <w:rPr>
          <w:rFonts w:ascii="Arial" w:hAnsi="Arial" w:cs="Arial"/>
          <w:color w:val="808080"/>
          <w:sz w:val="28"/>
          <w:szCs w:val="28"/>
        </w:rPr>
        <w:t>laudo</w:t>
      </w:r>
      <w:r>
        <w:rPr>
          <w:rFonts w:ascii="Arial" w:hAnsi="Arial" w:cs="Arial"/>
          <w:sz w:val="28"/>
          <w:szCs w:val="28"/>
        </w:rPr>
        <w:t xml:space="preserve"> </w:t>
      </w:r>
      <w:r>
        <w:rPr>
          <w:rFonts w:ascii="Arial" w:hAnsi="Arial" w:cs="Arial"/>
          <w:color w:val="808080"/>
          <w:sz w:val="28"/>
          <w:szCs w:val="28"/>
        </w:rPr>
        <w:t>registra</w:t>
      </w:r>
      <w:r>
        <w:rPr>
          <w:rFonts w:ascii="Arial" w:hAnsi="Arial" w:cs="Arial"/>
          <w:sz w:val="28"/>
          <w:szCs w:val="28"/>
        </w:rPr>
        <w:t xml:space="preserve"> </w:t>
      </w:r>
      <w:r>
        <w:rPr>
          <w:rFonts w:ascii="Arial" w:hAnsi="Arial" w:cs="Arial"/>
          <w:color w:val="808080"/>
          <w:sz w:val="28"/>
          <w:szCs w:val="28"/>
        </w:rPr>
        <w:t>análise</w:t>
      </w:r>
      <w:r>
        <w:rPr>
          <w:rFonts w:ascii="Arial" w:hAnsi="Arial" w:cs="Arial"/>
          <w:sz w:val="28"/>
          <w:szCs w:val="28"/>
        </w:rPr>
        <w:t xml:space="preserve"> </w:t>
      </w:r>
      <w:r>
        <w:rPr>
          <w:rFonts w:ascii="Arial" w:hAnsi="Arial" w:cs="Arial"/>
          <w:color w:val="808080"/>
          <w:sz w:val="28"/>
          <w:szCs w:val="28"/>
        </w:rPr>
        <w:t>remota</w:t>
      </w:r>
      <w:r>
        <w:rPr>
          <w:rFonts w:ascii="Arial" w:hAnsi="Arial" w:cs="Arial"/>
          <w:sz w:val="28"/>
          <w:szCs w:val="28"/>
        </w:rPr>
        <w:t xml:space="preserve"> (ID 89618439, p. 10</w:t>
      </w:r>
      <w:r>
        <w:rPr>
          <w:rFonts w:ascii="Arial" w:hAnsi="Arial" w:cs="Arial"/>
          <w:color w:val="808080"/>
          <w:sz w:val="28"/>
          <w:szCs w:val="28"/>
        </w:rPr>
        <w:t>, e 89619859</w:t>
      </w:r>
      <w:r>
        <w:rPr>
          <w:rFonts w:ascii="Arial" w:hAnsi="Arial" w:cs="Arial"/>
          <w:sz w:val="28"/>
          <w:szCs w:val="28"/>
        </w:rPr>
        <w:t>).</w:t>
      </w:r>
    </w:p>
    <w:p w14:paraId="1A0509C0" w14:textId="77777777" w:rsidR="00874B10" w:rsidRDefault="00874B10" w:rsidP="00DB1301">
      <w:pPr>
        <w:spacing w:after="0" w:line="360" w:lineRule="auto"/>
        <w:ind w:firstLine="2268"/>
        <w:jc w:val="both"/>
        <w:rPr>
          <w:rFonts w:ascii="Arial" w:hAnsi="Arial" w:cs="Arial"/>
          <w:sz w:val="28"/>
          <w:szCs w:val="28"/>
        </w:rPr>
      </w:pPr>
    </w:p>
    <w:p w14:paraId="0191F674" w14:textId="695FC779" w:rsidR="00B2292B" w:rsidRDefault="00B2292B" w:rsidP="003C531E">
      <w:pPr>
        <w:spacing w:after="0" w:line="360" w:lineRule="auto"/>
        <w:ind w:firstLine="2268"/>
        <w:jc w:val="both"/>
        <w:rPr>
          <w:rFonts w:ascii="Arial" w:hAnsi="Arial" w:cs="Arial"/>
          <w:sz w:val="28"/>
          <w:szCs w:val="28"/>
        </w:rPr>
      </w:pPr>
      <w:r>
        <w:rPr>
          <w:rFonts w:ascii="Arial" w:hAnsi="Arial" w:cs="Arial"/>
          <w:color w:val="808080"/>
          <w:sz w:val="28"/>
          <w:szCs w:val="28"/>
        </w:rPr>
        <w:t>Por</w:t>
      </w:r>
      <w:r>
        <w:rPr>
          <w:rFonts w:ascii="Arial" w:hAnsi="Arial" w:cs="Arial"/>
          <w:sz w:val="28"/>
          <w:szCs w:val="28"/>
        </w:rPr>
        <w:t xml:space="preserve"> </w:t>
      </w:r>
      <w:r>
        <w:rPr>
          <w:rFonts w:ascii="Arial" w:hAnsi="Arial" w:cs="Arial"/>
          <w:color w:val="808080"/>
          <w:sz w:val="28"/>
          <w:szCs w:val="28"/>
        </w:rPr>
        <w:t>outro lado</w:t>
      </w:r>
      <w:r>
        <w:rPr>
          <w:rFonts w:ascii="Arial" w:hAnsi="Arial" w:cs="Arial"/>
          <w:sz w:val="28"/>
          <w:szCs w:val="28"/>
        </w:rPr>
        <w:t xml:space="preserve">, conforme </w:t>
      </w:r>
      <w:r>
        <w:rPr>
          <w:rFonts w:ascii="Arial" w:hAnsi="Arial" w:cs="Arial"/>
          <w:color w:val="808080"/>
          <w:sz w:val="28"/>
          <w:szCs w:val="28"/>
        </w:rPr>
        <w:t>o</w:t>
      </w:r>
      <w:r>
        <w:rPr>
          <w:rFonts w:ascii="Arial" w:hAnsi="Arial" w:cs="Arial"/>
          <w:sz w:val="28"/>
          <w:szCs w:val="28"/>
        </w:rPr>
        <w:t xml:space="preserve"> bilhete</w:t>
      </w:r>
      <w:r>
        <w:rPr>
          <w:rFonts w:ascii="Arial" w:hAnsi="Arial" w:cs="Arial"/>
          <w:color w:val="808080"/>
          <w:sz w:val="28"/>
          <w:szCs w:val="28"/>
        </w:rPr>
        <w:t>, o seguro estende a garantia do fabricante, restrita a defeitos de fabricação, e acrescenta a cobertura de danos elétricos, com exclusões apenas remetidas a link externo, não juntado aos autos</w:t>
      </w:r>
      <w:r>
        <w:rPr>
          <w:rFonts w:ascii="Arial" w:hAnsi="Arial" w:cs="Arial"/>
          <w:sz w:val="28"/>
          <w:szCs w:val="28"/>
        </w:rPr>
        <w:t xml:space="preserve"> (ID 89618455).</w:t>
      </w:r>
    </w:p>
    <w:p w14:paraId="630E31EA" w14:textId="77777777" w:rsidR="00B024A4" w:rsidRDefault="00B024A4" w:rsidP="003C531E">
      <w:pPr>
        <w:spacing w:after="0" w:line="360" w:lineRule="auto"/>
        <w:ind w:firstLine="2268"/>
        <w:jc w:val="both"/>
        <w:rPr>
          <w:rFonts w:ascii="Arial" w:hAnsi="Arial" w:cs="Arial"/>
          <w:sz w:val="28"/>
          <w:szCs w:val="28"/>
        </w:rPr>
      </w:pPr>
    </w:p>
    <w:p w14:paraId="6541AB56" w14:textId="77777777" w:rsidR="000348DD" w:rsidRDefault="00366AE2">
      <w:pPr>
        <w:spacing w:after="0" w:line="360" w:lineRule="auto"/>
        <w:ind w:firstLine="2268"/>
        <w:jc w:val="both"/>
      </w:pPr>
      <w:r>
        <w:rPr>
          <w:rFonts w:ascii="Arial" w:hAnsi="Arial" w:cs="Arial"/>
          <w:color w:val="808080"/>
          <w:sz w:val="28"/>
          <w:szCs w:val="28"/>
        </w:rPr>
        <w:t>Contratada</w:t>
      </w:r>
      <w:r>
        <w:rPr>
          <w:rFonts w:ascii="Arial" w:hAnsi="Arial" w:cs="Arial"/>
          <w:sz w:val="28"/>
          <w:szCs w:val="28"/>
        </w:rPr>
        <w:t xml:space="preserve"> a cobertura específica de danos elétricos, </w:t>
      </w:r>
      <w:r>
        <w:rPr>
          <w:rFonts w:ascii="Arial" w:hAnsi="Arial" w:cs="Arial"/>
          <w:color w:val="808080"/>
          <w:sz w:val="28"/>
          <w:szCs w:val="28"/>
        </w:rPr>
        <w:t>deve</w:t>
      </w:r>
      <w:r>
        <w:rPr>
          <w:rFonts w:ascii="Arial" w:hAnsi="Arial" w:cs="Arial"/>
          <w:sz w:val="28"/>
          <w:szCs w:val="28"/>
        </w:rPr>
        <w:t xml:space="preserve"> ser dirimida a dúvida </w:t>
      </w:r>
      <w:r>
        <w:rPr>
          <w:rFonts w:ascii="Arial" w:hAnsi="Arial" w:cs="Arial"/>
          <w:color w:val="808080"/>
          <w:sz w:val="28"/>
          <w:szCs w:val="28"/>
        </w:rPr>
        <w:t>sobre</w:t>
      </w:r>
      <w:r>
        <w:rPr>
          <w:rFonts w:ascii="Arial" w:hAnsi="Arial" w:cs="Arial"/>
          <w:sz w:val="28"/>
          <w:szCs w:val="28"/>
        </w:rPr>
        <w:t xml:space="preserve"> </w:t>
      </w:r>
      <w:r>
        <w:rPr>
          <w:rFonts w:ascii="Arial" w:hAnsi="Arial" w:cs="Arial"/>
          <w:color w:val="808080"/>
          <w:sz w:val="28"/>
          <w:szCs w:val="28"/>
        </w:rPr>
        <w:t>a</w:t>
      </w:r>
      <w:r>
        <w:rPr>
          <w:rFonts w:ascii="Arial" w:hAnsi="Arial" w:cs="Arial"/>
          <w:sz w:val="28"/>
          <w:szCs w:val="28"/>
        </w:rPr>
        <w:t xml:space="preserve"> natureza d</w:t>
      </w:r>
      <w:r>
        <w:rPr>
          <w:rFonts w:ascii="Arial" w:hAnsi="Arial" w:cs="Arial"/>
          <w:sz w:val="28"/>
          <w:szCs w:val="28"/>
        </w:rPr>
        <w:t>o dano, se quebra da tela por ação externa</w:t>
      </w:r>
      <w:r>
        <w:rPr>
          <w:rFonts w:ascii="Arial" w:hAnsi="Arial" w:cs="Arial"/>
          <w:color w:val="808080"/>
          <w:sz w:val="28"/>
          <w:szCs w:val="28"/>
        </w:rPr>
        <w:t>,</w:t>
      </w:r>
      <w:r>
        <w:rPr>
          <w:rFonts w:ascii="Arial" w:hAnsi="Arial" w:cs="Arial"/>
          <w:sz w:val="28"/>
          <w:szCs w:val="28"/>
        </w:rPr>
        <w:t xml:space="preserve"> excluída das garantias legal e contratual</w:t>
      </w:r>
      <w:r>
        <w:rPr>
          <w:rFonts w:ascii="Arial" w:hAnsi="Arial" w:cs="Arial"/>
          <w:color w:val="808080"/>
          <w:sz w:val="28"/>
          <w:szCs w:val="28"/>
        </w:rPr>
        <w:t>,</w:t>
      </w:r>
      <w:r>
        <w:rPr>
          <w:rFonts w:ascii="Arial" w:hAnsi="Arial" w:cs="Arial"/>
          <w:sz w:val="28"/>
          <w:szCs w:val="28"/>
        </w:rPr>
        <w:t xml:space="preserve"> ou </w:t>
      </w:r>
      <w:r>
        <w:rPr>
          <w:rFonts w:ascii="Arial" w:hAnsi="Arial" w:cs="Arial"/>
          <w:color w:val="808080"/>
          <w:sz w:val="28"/>
          <w:szCs w:val="28"/>
        </w:rPr>
        <w:t>falha</w:t>
      </w:r>
      <w:r>
        <w:rPr>
          <w:rFonts w:ascii="Arial" w:hAnsi="Arial" w:cs="Arial"/>
          <w:sz w:val="28"/>
          <w:szCs w:val="28"/>
        </w:rPr>
        <w:t xml:space="preserve"> em componentes internos.</w:t>
      </w:r>
    </w:p>
    <w:p w14:paraId="2356DE55" w14:textId="77777777" w:rsidR="000348DD" w:rsidRDefault="000348DD">
      <w:pPr>
        <w:spacing w:after="0" w:line="360" w:lineRule="auto"/>
        <w:ind w:firstLine="2268"/>
        <w:jc w:val="both"/>
      </w:pPr>
    </w:p>
    <w:p w14:paraId="687A67CD" w14:textId="61F4008F" w:rsidR="00B024A4" w:rsidRDefault="51AD1D19" w:rsidP="003C531E">
      <w:pPr>
        <w:spacing w:after="0" w:line="360" w:lineRule="auto"/>
        <w:ind w:firstLine="2268"/>
        <w:jc w:val="both"/>
        <w:rPr>
          <w:rFonts w:ascii="Arial" w:hAnsi="Arial" w:cs="Arial"/>
          <w:sz w:val="28"/>
          <w:szCs w:val="28"/>
        </w:rPr>
      </w:pPr>
      <w:commentRangeStart w:id="12"/>
      <w:r>
        <w:rPr>
          <w:rFonts w:ascii="Arial" w:hAnsi="Arial" w:cs="Arial"/>
          <w:sz w:val="28"/>
          <w:szCs w:val="28"/>
        </w:rPr>
        <w:t xml:space="preserve">E o ônus da prova cabe à seguradora, seja </w:t>
      </w:r>
      <w:r>
        <w:rPr>
          <w:rFonts w:ascii="Arial" w:hAnsi="Arial" w:cs="Arial"/>
          <w:color w:val="808080"/>
          <w:sz w:val="28"/>
          <w:szCs w:val="28"/>
        </w:rPr>
        <w:t>por</w:t>
      </w:r>
      <w:r>
        <w:rPr>
          <w:rFonts w:ascii="Arial" w:hAnsi="Arial" w:cs="Arial"/>
          <w:sz w:val="28"/>
          <w:szCs w:val="28"/>
        </w:rPr>
        <w:t xml:space="preserve"> lhe </w:t>
      </w:r>
      <w:r>
        <w:rPr>
          <w:rFonts w:ascii="Arial" w:hAnsi="Arial" w:cs="Arial"/>
          <w:color w:val="808080"/>
          <w:sz w:val="28"/>
          <w:szCs w:val="28"/>
        </w:rPr>
        <w:t>incumbir</w:t>
      </w:r>
      <w:r>
        <w:rPr>
          <w:rFonts w:ascii="Arial" w:hAnsi="Arial" w:cs="Arial"/>
          <w:sz w:val="28"/>
          <w:szCs w:val="28"/>
        </w:rPr>
        <w:t xml:space="preserve"> provar a culpa exclusiva do consumidor</w:t>
      </w:r>
      <w:r>
        <w:rPr>
          <w:rFonts w:ascii="Arial" w:hAnsi="Arial" w:cs="Arial"/>
          <w:color w:val="808080"/>
          <w:sz w:val="28"/>
          <w:szCs w:val="28"/>
        </w:rPr>
        <w:t>, seja pela interpretação restritiva das cláusulas de exclusão de risco</w:t>
      </w:r>
      <w:r>
        <w:rPr>
          <w:rFonts w:ascii="Arial" w:hAnsi="Arial" w:cs="Arial"/>
          <w:sz w:val="28"/>
          <w:szCs w:val="28"/>
        </w:rPr>
        <w:t xml:space="preserve"> (CDC </w:t>
      </w:r>
      <w:r>
        <w:rPr>
          <w:rFonts w:ascii="Arial" w:hAnsi="Arial" w:cs="Arial"/>
          <w:color w:val="808080"/>
          <w:sz w:val="28"/>
          <w:szCs w:val="28"/>
        </w:rPr>
        <w:t>14</w:t>
      </w:r>
      <w:r>
        <w:rPr>
          <w:rFonts w:ascii="Arial" w:hAnsi="Arial" w:cs="Arial"/>
          <w:sz w:val="28"/>
          <w:szCs w:val="28"/>
        </w:rPr>
        <w:t xml:space="preserve"> § 3º </w:t>
      </w:r>
      <w:r>
        <w:rPr>
          <w:rFonts w:ascii="Arial" w:hAnsi="Arial" w:cs="Arial"/>
          <w:color w:val="808080"/>
          <w:sz w:val="28"/>
          <w:szCs w:val="28"/>
        </w:rPr>
        <w:t>II; Lei 15.040/2024 59</w:t>
      </w:r>
      <w:r>
        <w:rPr>
          <w:rFonts w:ascii="Arial" w:hAnsi="Arial" w:cs="Arial"/>
          <w:sz w:val="28"/>
          <w:szCs w:val="28"/>
        </w:rPr>
        <w:t>):</w:t>
      </w:r>
      <w:commentRangeEnd w:id="12"/>
      <w:r>
        <w:commentReference w:id="12"/>
      </w:r>
    </w:p>
    <w:p w14:paraId="371D1A7F" w14:textId="77777777" w:rsidR="000D5AF5" w:rsidRPr="0026743F" w:rsidRDefault="000D5AF5" w:rsidP="003C531E">
      <w:pPr>
        <w:spacing w:after="0" w:line="360" w:lineRule="auto"/>
        <w:ind w:firstLine="2268"/>
        <w:jc w:val="both"/>
        <w:rPr>
          <w:rFonts w:ascii="Arial" w:hAnsi="Arial" w:cs="Arial"/>
          <w:sz w:val="26"/>
          <w:szCs w:val="26"/>
        </w:rPr>
      </w:pPr>
    </w:p>
    <w:p w14:paraId="583E5ABE" w14:textId="5B10883D" w:rsidR="000D5AF5" w:rsidRPr="0026743F" w:rsidRDefault="000D5AF5" w:rsidP="00243312">
      <w:pPr>
        <w:spacing w:after="0" w:line="360" w:lineRule="auto"/>
        <w:ind w:left="2268"/>
        <w:jc w:val="both"/>
        <w:rPr>
          <w:rFonts w:ascii="Arial" w:hAnsi="Arial" w:cs="Arial"/>
          <w:sz w:val="26"/>
          <w:szCs w:val="26"/>
        </w:rPr>
      </w:pPr>
      <w:commentRangeStart w:id="13"/>
      <w:r w:rsidRPr="0026743F">
        <w:rPr>
          <w:rFonts w:ascii="Arial" w:hAnsi="Arial" w:cs="Arial"/>
          <w:i/>
          <w:sz w:val="26"/>
          <w:szCs w:val="26"/>
        </w:rPr>
        <w:t>“</w:t>
      </w:r>
      <w:r w:rsidR="00243312" w:rsidRPr="0026743F">
        <w:rPr>
          <w:rFonts w:ascii="Arial" w:hAnsi="Arial" w:cs="Arial"/>
          <w:i/>
          <w:iCs/>
          <w:sz w:val="26"/>
          <w:szCs w:val="26"/>
        </w:rPr>
        <w:t xml:space="preserve">Lei nº 15.040/24. Art. 59. As cláusulas referentes a exclusão de riscos e prejuízos ou que impliquem limitação ou perda de direitos e garantias são de interpretação restritiva quanto à sua incidência e abrangência, </w:t>
      </w:r>
      <w:r w:rsidR="00243312" w:rsidRPr="0026743F">
        <w:rPr>
          <w:rFonts w:ascii="Arial" w:hAnsi="Arial" w:cs="Arial"/>
          <w:b/>
          <w:bCs/>
          <w:i/>
          <w:iCs/>
          <w:sz w:val="26"/>
          <w:szCs w:val="26"/>
          <w:u w:val="single"/>
        </w:rPr>
        <w:t>cabendo à seguradora a prova do seu suporte fático</w:t>
      </w:r>
      <w:r w:rsidR="00243312" w:rsidRPr="0026743F">
        <w:rPr>
          <w:rFonts w:ascii="Arial" w:hAnsi="Arial" w:cs="Arial"/>
          <w:i/>
          <w:iCs/>
          <w:sz w:val="26"/>
          <w:szCs w:val="26"/>
        </w:rPr>
        <w:t>.</w:t>
      </w:r>
      <w:r w:rsidR="00243312" w:rsidRPr="0026743F">
        <w:rPr>
          <w:rFonts w:ascii="Arial" w:hAnsi="Arial" w:cs="Arial"/>
          <w:i/>
          <w:sz w:val="26"/>
          <w:szCs w:val="26"/>
        </w:rPr>
        <w:t>”</w:t>
      </w:r>
      <w:r w:rsidR="003C6B07" w:rsidRPr="0026743F">
        <w:rPr>
          <w:rFonts w:ascii="Arial" w:hAnsi="Arial" w:cs="Arial"/>
          <w:i/>
          <w:sz w:val="26"/>
          <w:szCs w:val="26"/>
        </w:rPr>
        <w:t xml:space="preserve"> (g.n.)</w:t>
      </w:r>
      <w:commentRangeEnd w:id="13"/>
      <w:r>
        <w:commentReference w:id="13"/>
      </w:r>
    </w:p>
    <w:p w14:paraId="4E32D355" w14:textId="77777777" w:rsidR="00C30BB9" w:rsidRDefault="00C30BB9" w:rsidP="00243312">
      <w:pPr>
        <w:spacing w:after="0" w:line="360" w:lineRule="auto"/>
        <w:ind w:left="2268"/>
        <w:jc w:val="both"/>
        <w:rPr>
          <w:rFonts w:ascii="Arial" w:hAnsi="Arial" w:cs="Arial"/>
          <w:sz w:val="28"/>
          <w:szCs w:val="28"/>
        </w:rPr>
      </w:pPr>
    </w:p>
    <w:p w14:paraId="7279DC50" w14:textId="54710F44" w:rsidR="00B2292B" w:rsidRDefault="00C36380" w:rsidP="003C531E">
      <w:pPr>
        <w:spacing w:after="0" w:line="360" w:lineRule="auto"/>
        <w:ind w:firstLine="2268"/>
        <w:jc w:val="both"/>
        <w:rPr>
          <w:rFonts w:ascii="Arial" w:hAnsi="Arial" w:cs="Arial"/>
          <w:sz w:val="28"/>
          <w:szCs w:val="28"/>
        </w:rPr>
      </w:pPr>
      <w:r>
        <w:rPr>
          <w:rFonts w:ascii="Arial" w:hAnsi="Arial" w:cs="Arial"/>
          <w:sz w:val="28"/>
          <w:szCs w:val="28"/>
          <w:highlight w:val="yellow"/>
        </w:rPr>
        <w:t xml:space="preserve">Portanto, </w:t>
      </w:r>
      <w:r w:rsidR="00284747" w:rsidRPr="00284747">
        <w:rPr>
          <w:rFonts w:ascii="Arial" w:hAnsi="Arial" w:cs="Arial"/>
          <w:color w:val="833C0B" w:themeColor="accent2" w:themeShade="80"/>
          <w:sz w:val="28"/>
          <w:szCs w:val="28"/>
          <w:highlight w:val="yellow"/>
        </w:rPr>
        <w:t xml:space="preserve">com a máxima vênia ao d. Juízo </w:t>
      </w:r>
      <w:r w:rsidR="00284747" w:rsidRPr="00284747">
        <w:rPr>
          <w:rFonts w:ascii="Arial" w:hAnsi="Arial" w:cs="Arial"/>
          <w:i/>
          <w:iCs/>
          <w:color w:val="833C0B" w:themeColor="accent2" w:themeShade="80"/>
          <w:sz w:val="28"/>
          <w:szCs w:val="28"/>
          <w:highlight w:val="yellow"/>
        </w:rPr>
        <w:t>a quo</w:t>
      </w:r>
      <w:r w:rsidR="00284747" w:rsidRPr="00284747">
        <w:rPr>
          <w:rFonts w:ascii="Arial" w:hAnsi="Arial" w:cs="Arial"/>
          <w:color w:val="833C0B" w:themeColor="accent2" w:themeShade="80"/>
          <w:sz w:val="28"/>
          <w:szCs w:val="28"/>
          <w:highlight w:val="yellow"/>
        </w:rPr>
        <w:t xml:space="preserve">, </w:t>
      </w:r>
      <w:r>
        <w:rPr>
          <w:rFonts w:ascii="Arial" w:hAnsi="Arial" w:cs="Arial"/>
          <w:sz w:val="28"/>
          <w:szCs w:val="28"/>
          <w:highlight w:val="yellow"/>
        </w:rPr>
        <w:t xml:space="preserve">não </w:t>
      </w:r>
      <w:r>
        <w:rPr>
          <w:rFonts w:ascii="Arial" w:hAnsi="Arial" w:cs="Arial"/>
          <w:color w:val="808080"/>
          <w:sz w:val="28"/>
          <w:szCs w:val="28"/>
          <w:highlight w:val="yellow"/>
        </w:rPr>
        <w:t>sendo</w:t>
      </w:r>
      <w:r>
        <w:rPr>
          <w:rFonts w:ascii="Arial" w:hAnsi="Arial" w:cs="Arial"/>
          <w:sz w:val="28"/>
          <w:szCs w:val="28"/>
          <w:highlight w:val="yellow"/>
        </w:rPr>
        <w:t xml:space="preserve"> </w:t>
      </w:r>
      <w:r>
        <w:rPr>
          <w:rFonts w:ascii="Arial" w:hAnsi="Arial" w:cs="Arial"/>
          <w:color w:val="808080"/>
          <w:sz w:val="28"/>
          <w:szCs w:val="28"/>
          <w:highlight w:val="yellow"/>
        </w:rPr>
        <w:t>possível</w:t>
      </w:r>
      <w:r>
        <w:rPr>
          <w:rFonts w:ascii="Arial" w:hAnsi="Arial" w:cs="Arial"/>
          <w:sz w:val="28"/>
          <w:szCs w:val="28"/>
          <w:highlight w:val="yellow"/>
        </w:rPr>
        <w:t xml:space="preserve"> afirmar com segurança que a televisão retratada é a mesma em ambos os registros, </w:t>
      </w:r>
      <w:r>
        <w:rPr>
          <w:rFonts w:ascii="Arial" w:hAnsi="Arial" w:cs="Arial"/>
          <w:color w:val="808080"/>
          <w:sz w:val="28"/>
          <w:szCs w:val="28"/>
          <w:highlight w:val="yellow"/>
        </w:rPr>
        <w:t>nem</w:t>
      </w:r>
      <w:r>
        <w:rPr>
          <w:rFonts w:ascii="Arial" w:hAnsi="Arial" w:cs="Arial"/>
          <w:sz w:val="28"/>
          <w:szCs w:val="28"/>
          <w:highlight w:val="yellow"/>
        </w:rPr>
        <w:t xml:space="preserve"> apontar qual delas é </w:t>
      </w:r>
      <w:r>
        <w:rPr>
          <w:rFonts w:ascii="Arial" w:hAnsi="Arial" w:cs="Arial"/>
          <w:color w:val="808080"/>
          <w:sz w:val="28"/>
          <w:szCs w:val="28"/>
          <w:highlight w:val="yellow"/>
        </w:rPr>
        <w:t>o</w:t>
      </w:r>
      <w:r>
        <w:rPr>
          <w:rFonts w:ascii="Arial" w:hAnsi="Arial" w:cs="Arial"/>
          <w:sz w:val="28"/>
          <w:szCs w:val="28"/>
          <w:highlight w:val="yellow"/>
        </w:rPr>
        <w:t xml:space="preserve"> objeto </w:t>
      </w:r>
      <w:r>
        <w:rPr>
          <w:rFonts w:ascii="Arial" w:hAnsi="Arial" w:cs="Arial"/>
          <w:sz w:val="28"/>
          <w:szCs w:val="28"/>
          <w:highlight w:val="yellow"/>
        </w:rPr>
        <w:lastRenderedPageBreak/>
        <w:t xml:space="preserve">do seguro, a sentença </w:t>
      </w:r>
      <w:r>
        <w:rPr>
          <w:rFonts w:ascii="Arial" w:hAnsi="Arial" w:cs="Arial"/>
          <w:color w:val="808080"/>
          <w:sz w:val="28"/>
          <w:szCs w:val="28"/>
          <w:highlight w:val="yellow"/>
        </w:rPr>
        <w:t>deve</w:t>
      </w:r>
      <w:r>
        <w:rPr>
          <w:rFonts w:ascii="Arial" w:hAnsi="Arial" w:cs="Arial"/>
          <w:sz w:val="28"/>
          <w:szCs w:val="28"/>
          <w:highlight w:val="yellow"/>
        </w:rPr>
        <w:t xml:space="preserve"> ser cassada para que prossiga a instrução, observadas as balizas do saneamento.</w:t>
      </w:r>
    </w:p>
    <w:p w14:paraId="06FCE28E" w14:textId="77777777" w:rsidR="000D20AB" w:rsidRDefault="000D20AB" w:rsidP="003C531E">
      <w:pPr>
        <w:spacing w:after="0" w:line="360" w:lineRule="auto"/>
        <w:ind w:firstLine="2268"/>
        <w:jc w:val="both"/>
        <w:rPr>
          <w:rFonts w:ascii="Arial" w:hAnsi="Arial" w:cs="Arial"/>
          <w:sz w:val="28"/>
          <w:szCs w:val="28"/>
        </w:rPr>
      </w:pPr>
    </w:p>
    <w:p w14:paraId="4EB4DC9F" w14:textId="530497B0" w:rsidR="000D20AB" w:rsidRDefault="000D20AB" w:rsidP="003C531E">
      <w:pPr>
        <w:spacing w:after="0" w:line="360" w:lineRule="auto"/>
        <w:ind w:firstLine="2268"/>
        <w:jc w:val="both"/>
        <w:rPr>
          <w:rFonts w:ascii="Arial" w:hAnsi="Arial" w:cs="Arial"/>
          <w:sz w:val="28"/>
          <w:szCs w:val="28"/>
        </w:rPr>
      </w:pPr>
      <w:r>
        <w:rPr>
          <w:rFonts w:ascii="Arial" w:hAnsi="Arial" w:cs="Arial"/>
          <w:sz w:val="28"/>
          <w:szCs w:val="28"/>
        </w:rPr>
        <w:t>Nesse sentido:</w:t>
      </w:r>
    </w:p>
    <w:p w14:paraId="05B6AAD0" w14:textId="77777777" w:rsidR="000D20AB" w:rsidRDefault="000D20AB" w:rsidP="003C531E">
      <w:pPr>
        <w:spacing w:after="0" w:line="360" w:lineRule="auto"/>
        <w:ind w:firstLine="2268"/>
        <w:jc w:val="both"/>
        <w:rPr>
          <w:rFonts w:ascii="Arial" w:hAnsi="Arial" w:cs="Arial"/>
          <w:sz w:val="28"/>
          <w:szCs w:val="28"/>
        </w:rPr>
      </w:pPr>
    </w:p>
    <w:p w14:paraId="65815286" w14:textId="77777777" w:rsidR="000348DD" w:rsidRDefault="00366AE2">
      <w:pPr>
        <w:spacing w:after="0" w:line="360" w:lineRule="auto"/>
        <w:ind w:left="2268"/>
        <w:jc w:val="both"/>
        <w:rPr>
          <w:rFonts w:ascii="Arial" w:hAnsi="Arial" w:cs="Arial"/>
          <w:sz w:val="28"/>
          <w:szCs w:val="28"/>
        </w:rPr>
      </w:pPr>
      <w:commentRangeStart w:id="14"/>
      <w:r>
        <w:rPr>
          <w:rFonts w:ascii="Arial" w:hAnsi="Arial"/>
          <w:i/>
          <w:color w:val="808080"/>
          <w:sz w:val="26"/>
        </w:rPr>
        <w:t>“(...) 3. A decis</w:t>
      </w:r>
      <w:r>
        <w:rPr>
          <w:rFonts w:ascii="Arial" w:hAnsi="Arial"/>
          <w:i/>
          <w:color w:val="808080"/>
          <w:sz w:val="26"/>
        </w:rPr>
        <w:t xml:space="preserve">ão saneadora reconhece a verossimilhança das alegações dos autores com base no acervo documental colhido e determina a inversão do ônus da prova, impondo à ré o encargo de afastar a plausibilidade dos fatos narrados. </w:t>
      </w:r>
      <w:r>
        <w:rPr>
          <w:rFonts w:ascii="Arial" w:hAnsi="Arial"/>
          <w:i/>
          <w:color w:val="808080"/>
          <w:sz w:val="26"/>
          <w:u w:val="single"/>
        </w:rPr>
        <w:t>Não obstante, julgou improcedente o ped</w:t>
      </w:r>
      <w:r>
        <w:rPr>
          <w:rFonts w:ascii="Arial" w:hAnsi="Arial"/>
          <w:i/>
          <w:color w:val="808080"/>
          <w:sz w:val="26"/>
          <w:u w:val="single"/>
        </w:rPr>
        <w:t>ido em relação a autora, com fundamento na ausência de prova documental ou técnica acerca da falha na prestação do serviço, em evidente contradição interna com a decisão saneadora.</w:t>
      </w:r>
      <w:r>
        <w:rPr>
          <w:rFonts w:ascii="Arial" w:hAnsi="Arial"/>
          <w:i/>
          <w:color w:val="808080"/>
          <w:sz w:val="26"/>
        </w:rPr>
        <w:t>” (0705812-67.2024.8.07.0002, Relator(a): AISTON HENRIQUE DE SOUSA, 4ª TURMA</w:t>
      </w:r>
      <w:r>
        <w:rPr>
          <w:rFonts w:ascii="Arial" w:hAnsi="Arial"/>
          <w:i/>
          <w:color w:val="808080"/>
          <w:sz w:val="26"/>
        </w:rPr>
        <w:t xml:space="preserve"> CÍVEL, data de julgamento: 12/02/2026.) – Grifei</w:t>
      </w:r>
      <w:commentRangeEnd w:id="14"/>
      <w:r>
        <w:commentReference w:id="14"/>
      </w:r>
    </w:p>
    <w:p w14:paraId="00B9EC50" w14:textId="77777777" w:rsidR="00AD038E" w:rsidRDefault="00AD038E" w:rsidP="003C531E">
      <w:pPr>
        <w:spacing w:after="0" w:line="360" w:lineRule="auto"/>
        <w:ind w:firstLine="2268"/>
        <w:jc w:val="both"/>
        <w:rPr>
          <w:rFonts w:ascii="Arial" w:hAnsi="Arial" w:cs="Arial"/>
          <w:sz w:val="28"/>
          <w:szCs w:val="28"/>
        </w:rPr>
      </w:pPr>
    </w:p>
    <w:p w14:paraId="0436956B" w14:textId="6F2C3400" w:rsidR="00AD038E" w:rsidRDefault="00AD038E" w:rsidP="003C531E">
      <w:pPr>
        <w:spacing w:after="0" w:line="360" w:lineRule="auto"/>
        <w:ind w:firstLine="2268"/>
        <w:jc w:val="both"/>
        <w:rPr>
          <w:rFonts w:ascii="Arial" w:hAnsi="Arial" w:cs="Arial"/>
          <w:sz w:val="28"/>
          <w:szCs w:val="28"/>
        </w:rPr>
      </w:pPr>
      <w:commentRangeStart w:id="15"/>
      <w:r>
        <w:rPr>
          <w:rFonts w:ascii="Arial" w:hAnsi="Arial" w:cs="Arial"/>
          <w:color w:val="808080"/>
          <w:sz w:val="28"/>
          <w:szCs w:val="28"/>
          <w:highlight w:val="yellow"/>
        </w:rPr>
        <w:t>No</w:t>
      </w:r>
      <w:r>
        <w:rPr>
          <w:rFonts w:ascii="Arial" w:hAnsi="Arial" w:cs="Arial"/>
          <w:sz w:val="28"/>
          <w:szCs w:val="28"/>
          <w:highlight w:val="yellow"/>
        </w:rPr>
        <w:t xml:space="preserve"> mais, </w:t>
      </w:r>
      <w:r>
        <w:rPr>
          <w:rFonts w:ascii="Arial" w:hAnsi="Arial" w:cs="Arial"/>
          <w:color w:val="808080"/>
          <w:sz w:val="28"/>
          <w:szCs w:val="28"/>
          <w:highlight w:val="yellow"/>
        </w:rPr>
        <w:t xml:space="preserve">a manifestação do apelante após o saneamento, em que dispensou esclarecimentos e ajustes, </w:t>
      </w:r>
      <w:r>
        <w:rPr>
          <w:rFonts w:ascii="Arial" w:hAnsi="Arial" w:cs="Arial"/>
          <w:sz w:val="28"/>
          <w:szCs w:val="28"/>
          <w:highlight w:val="yellow"/>
        </w:rPr>
        <w:t>não</w:t>
      </w:r>
      <w:r>
        <w:rPr>
          <w:rFonts w:ascii="Arial" w:hAnsi="Arial" w:cs="Arial"/>
          <w:color w:val="808080"/>
          <w:sz w:val="28"/>
          <w:szCs w:val="28"/>
          <w:highlight w:val="yellow"/>
        </w:rPr>
        <w:t xml:space="preserve"> induz preclusão, pois</w:t>
      </w:r>
      <w:r>
        <w:rPr>
          <w:rFonts w:ascii="Arial" w:hAnsi="Arial" w:cs="Arial"/>
          <w:sz w:val="28"/>
          <w:szCs w:val="28"/>
          <w:highlight w:val="yellow"/>
        </w:rPr>
        <w:t xml:space="preserve"> se </w:t>
      </w:r>
      <w:r>
        <w:rPr>
          <w:rFonts w:ascii="Arial" w:hAnsi="Arial" w:cs="Arial"/>
          <w:color w:val="808080"/>
          <w:sz w:val="28"/>
          <w:szCs w:val="28"/>
          <w:highlight w:val="yellow"/>
        </w:rPr>
        <w:t>baseou</w:t>
      </w:r>
      <w:r>
        <w:rPr>
          <w:rFonts w:ascii="Arial" w:hAnsi="Arial" w:cs="Arial"/>
          <w:sz w:val="28"/>
          <w:szCs w:val="28"/>
          <w:highlight w:val="yellow"/>
        </w:rPr>
        <w:t xml:space="preserve"> na expectativa razoável de que a </w:t>
      </w:r>
      <w:r>
        <w:rPr>
          <w:rFonts w:ascii="Arial" w:hAnsi="Arial" w:cs="Arial"/>
          <w:color w:val="808080"/>
          <w:sz w:val="28"/>
          <w:szCs w:val="28"/>
          <w:highlight w:val="yellow"/>
        </w:rPr>
        <w:t>falta</w:t>
      </w:r>
      <w:r>
        <w:rPr>
          <w:rFonts w:ascii="Arial" w:hAnsi="Arial" w:cs="Arial"/>
          <w:sz w:val="28"/>
          <w:szCs w:val="28"/>
          <w:highlight w:val="yellow"/>
        </w:rPr>
        <w:t xml:space="preserve"> de prova adicional </w:t>
      </w:r>
      <w:r>
        <w:rPr>
          <w:rFonts w:ascii="Arial" w:hAnsi="Arial" w:cs="Arial"/>
          <w:color w:val="808080"/>
          <w:sz w:val="28"/>
          <w:szCs w:val="28"/>
          <w:highlight w:val="yellow"/>
        </w:rPr>
        <w:t>repercutiria</w:t>
      </w:r>
      <w:r>
        <w:rPr>
          <w:rFonts w:ascii="Arial" w:hAnsi="Arial" w:cs="Arial"/>
          <w:sz w:val="28"/>
          <w:szCs w:val="28"/>
          <w:highlight w:val="yellow"/>
        </w:rPr>
        <w:t xml:space="preserve"> em desfavor da seguradora, </w:t>
      </w:r>
      <w:r>
        <w:rPr>
          <w:rFonts w:ascii="Arial" w:hAnsi="Arial" w:cs="Arial"/>
          <w:color w:val="808080"/>
          <w:sz w:val="28"/>
          <w:szCs w:val="28"/>
          <w:highlight w:val="yellow"/>
        </w:rPr>
        <w:t>diante</w:t>
      </w:r>
      <w:r>
        <w:rPr>
          <w:rFonts w:ascii="Arial" w:hAnsi="Arial" w:cs="Arial"/>
          <w:sz w:val="28"/>
          <w:szCs w:val="28"/>
          <w:highlight w:val="yellow"/>
        </w:rPr>
        <w:t xml:space="preserve"> </w:t>
      </w:r>
      <w:r>
        <w:rPr>
          <w:rFonts w:ascii="Arial" w:hAnsi="Arial" w:cs="Arial"/>
          <w:color w:val="808080"/>
          <w:sz w:val="28"/>
          <w:szCs w:val="28"/>
          <w:highlight w:val="yellow"/>
        </w:rPr>
        <w:t>da</w:t>
      </w:r>
      <w:r>
        <w:rPr>
          <w:rFonts w:ascii="Arial" w:hAnsi="Arial" w:cs="Arial"/>
          <w:sz w:val="28"/>
          <w:szCs w:val="28"/>
          <w:highlight w:val="yellow"/>
        </w:rPr>
        <w:t xml:space="preserve"> inversão expressamente operada</w:t>
      </w:r>
      <w:r>
        <w:rPr>
          <w:rFonts w:ascii="Arial" w:hAnsi="Arial" w:cs="Arial"/>
          <w:color w:val="808080"/>
          <w:sz w:val="28"/>
          <w:szCs w:val="28"/>
          <w:highlight w:val="yellow"/>
        </w:rPr>
        <w:t xml:space="preserve"> (ID 89619895)</w:t>
      </w:r>
      <w:r>
        <w:rPr>
          <w:rFonts w:ascii="Arial" w:hAnsi="Arial" w:cs="Arial"/>
          <w:sz w:val="28"/>
          <w:szCs w:val="28"/>
          <w:highlight w:val="yellow"/>
        </w:rPr>
        <w:t>.</w:t>
      </w:r>
      <w:commentRangeEnd w:id="15"/>
      <w:r>
        <w:commentReference w:id="15"/>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6119EA8" w14:textId="5B43DAC5" w:rsidR="008A4445" w:rsidRDefault="00D516B2" w:rsidP="00DB1301">
      <w:pPr>
        <w:spacing w:after="0" w:line="360" w:lineRule="auto"/>
        <w:ind w:firstLine="2268"/>
        <w:jc w:val="both"/>
        <w:rPr>
          <w:rFonts w:ascii="Arial" w:hAnsi="Arial" w:cs="Arial"/>
          <w:sz w:val="28"/>
          <w:szCs w:val="28"/>
        </w:rPr>
      </w:pPr>
      <w:commentRangeStart w:id="16"/>
      <w:r w:rsidRPr="66A65482">
        <w:rPr>
          <w:rFonts w:ascii="Arial" w:hAnsi="Arial" w:cs="Arial"/>
          <w:sz w:val="28"/>
          <w:szCs w:val="28"/>
        </w:rPr>
        <w:t>Ante o exposto,</w:t>
      </w:r>
      <w:r w:rsidR="002A023C" w:rsidRPr="002A023C">
        <w:t xml:space="preserve"> </w:t>
      </w:r>
      <w:r w:rsidR="00FE476F">
        <w:rPr>
          <w:rFonts w:ascii="Arial" w:hAnsi="Arial" w:cs="Arial"/>
          <w:b/>
          <w:bCs/>
          <w:sz w:val="28"/>
          <w:szCs w:val="28"/>
        </w:rPr>
        <w:t xml:space="preserve">dou </w:t>
      </w:r>
      <w:r w:rsidR="00D21983" w:rsidRPr="008E5F86">
        <w:rPr>
          <w:rFonts w:ascii="Arial" w:hAnsi="Arial" w:cs="Arial"/>
          <w:b/>
          <w:bCs/>
          <w:sz w:val="28"/>
          <w:szCs w:val="28"/>
        </w:rPr>
        <w:t>provimento</w:t>
      </w:r>
      <w:r w:rsidR="00D21983" w:rsidRPr="008E5F86">
        <w:rPr>
          <w:rFonts w:ascii="Arial" w:hAnsi="Arial" w:cs="Arial"/>
          <w:sz w:val="28"/>
          <w:szCs w:val="28"/>
        </w:rPr>
        <w:t xml:space="preserve"> </w:t>
      </w:r>
      <w:r w:rsidR="00D21983" w:rsidRPr="66A65482">
        <w:rPr>
          <w:rFonts w:ascii="Arial" w:hAnsi="Arial" w:cs="Arial"/>
          <w:sz w:val="28"/>
          <w:szCs w:val="28"/>
        </w:rPr>
        <w:t>ao apelo</w:t>
      </w:r>
      <w:r w:rsidR="00FE476F">
        <w:rPr>
          <w:rFonts w:ascii="Arial" w:hAnsi="Arial" w:cs="Arial"/>
          <w:sz w:val="28"/>
          <w:szCs w:val="28"/>
        </w:rPr>
        <w:t xml:space="preserve"> para</w:t>
      </w:r>
      <w:r w:rsidR="00284747">
        <w:rPr>
          <w:rFonts w:ascii="Arial" w:hAnsi="Arial" w:cs="Arial"/>
          <w:sz w:val="28"/>
          <w:szCs w:val="28"/>
        </w:rPr>
        <w:t xml:space="preserve">, </w:t>
      </w:r>
      <w:r w:rsidR="00284747" w:rsidRPr="00284747">
        <w:rPr>
          <w:rFonts w:ascii="Arial" w:hAnsi="Arial" w:cs="Arial"/>
          <w:color w:val="833C0B" w:themeColor="accent2" w:themeShade="80"/>
          <w:sz w:val="28"/>
          <w:szCs w:val="28"/>
        </w:rPr>
        <w:t>reiteradas as vênias,</w:t>
      </w:r>
      <w:r w:rsidR="00FE476F" w:rsidRPr="00284747">
        <w:rPr>
          <w:rFonts w:ascii="Arial" w:hAnsi="Arial" w:cs="Arial"/>
          <w:color w:val="833C0B" w:themeColor="accent2" w:themeShade="80"/>
          <w:sz w:val="28"/>
          <w:szCs w:val="28"/>
        </w:rPr>
        <w:t xml:space="preserve"> </w:t>
      </w:r>
      <w:r w:rsidR="00FE476F">
        <w:rPr>
          <w:rFonts w:ascii="Arial" w:hAnsi="Arial" w:cs="Arial"/>
          <w:sz w:val="28"/>
          <w:szCs w:val="28"/>
        </w:rPr>
        <w:t>cassar a sentença e determinar o retorno d</w:t>
      </w:r>
      <w:r w:rsidR="009F7AEC">
        <w:rPr>
          <w:rFonts w:ascii="Arial" w:hAnsi="Arial" w:cs="Arial"/>
          <w:sz w:val="28"/>
          <w:szCs w:val="28"/>
        </w:rPr>
        <w:t xml:space="preserve">o feito à fase </w:t>
      </w:r>
      <w:r w:rsidR="00412FE7">
        <w:rPr>
          <w:rFonts w:ascii="Arial" w:hAnsi="Arial" w:cs="Arial"/>
          <w:sz w:val="28"/>
          <w:szCs w:val="28"/>
        </w:rPr>
        <w:t>probatória</w:t>
      </w:r>
      <w:r w:rsidR="008E5F86">
        <w:rPr>
          <w:rFonts w:ascii="Arial" w:hAnsi="Arial" w:cs="Arial"/>
          <w:sz w:val="28"/>
          <w:szCs w:val="28"/>
        </w:rPr>
        <w:t>.</w:t>
      </w:r>
      <w:commentRangeEnd w:id="16"/>
      <w:r>
        <w:commentReference w:id="16"/>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lastRenderedPageBreak/>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718310BB" w14:textId="77777777" w:rsidR="00930AFD" w:rsidRPr="00930AFD" w:rsidRDefault="00930AFD" w:rsidP="00930AFD">
      <w:pPr>
        <w:ind w:right="-96"/>
        <w:jc w:val="both"/>
        <w:rPr>
          <w:b/>
          <w:color w:val="008000"/>
        </w:rPr>
      </w:pPr>
      <w:r w:rsidRPr="00930AFD">
        <w:rPr>
          <w:b/>
          <w:color w:val="008000"/>
        </w:rPr>
        <w:lastRenderedPageBreak/>
        <w:t>Cuida-se de ação submetida ao procedimento comum proposta por CARLOS JOSE FERREIRA DANTAS em desfavor de ASSURANT SEGURADORA S.A e outros, na qual requereu indenização por danos materiais e danos morais em razão de negativa de cobertura de seguro de garantia estendida. O autor afirmou que, em 18 de março de 2023, adquiriu no estabelecimento da ré Carrefour Comércio e Indústria Ltda. um televisor LG Smart TV 55”, modelo 55UQ8050PSA, pelo valor de R$ 2.699,00 e, na mesma ocasião, contratou seguro de garantia estendida, mediante pagamento de prêmio único no valor de R$ 877,91, com vigência indicada até 17 de março de 2027, conforme bilhete de seguro de ID 263079028. Segundo a inicial, em 18 de agosto de 2025, após alegado pico na rede elétrica, o televisor deixou de funcionar. O autor comunicou o sinistro à seguradora, sob protocolo n. 5957508 e sinistro n. 45210553, seguido de vistoria superficial realizada pela assistência técnica indicada pelo seguro e que, em seguida, recebeu negativa de cobertura, sob o fundamento de que o defeito não estaria coberto pelo seguro (ID 263079032).</w:t>
      </w:r>
    </w:p>
    <w:p w14:paraId="6166FC1D" w14:textId="77777777" w:rsidR="00930AFD" w:rsidRPr="00930AFD" w:rsidRDefault="00930AFD" w:rsidP="00930AFD">
      <w:pPr>
        <w:ind w:right="-96"/>
        <w:jc w:val="both"/>
        <w:rPr>
          <w:b/>
          <w:color w:val="008000"/>
        </w:rPr>
      </w:pPr>
      <w:r w:rsidRPr="00930AFD">
        <w:rPr>
          <w:b/>
          <w:color w:val="008000"/>
        </w:rPr>
        <w:t xml:space="preserve">Nesse cenário, o relatório de perda de garantia juntado no ID 263079035 registrou que o aparelho apresentava “tela com aspecto de quebrada logo após pico elétrico” e concluiu pela perda da garantia, por “defeito causado por ação/agente externo — tela trincada/quebrada” e, em seguida, o autor impugnou essa conclusão e sustentou que o televisor não estava quebrado, que não houve análise técnica adequada e que a negativa de cobertura foi indevida. Ao final, pediu a inversão do ônus da prova, a condenação da seguradora ao pagamento do valor do aparelho, em R$ 2.699,00, e a condenação solidária das rés ao pagamento de indenização por danos morais no valor de R$ 3.000,00. </w:t>
      </w:r>
    </w:p>
    <w:p w14:paraId="074EB0C7" w14:textId="77777777" w:rsidR="00930AFD" w:rsidRPr="00930AFD" w:rsidRDefault="00930AFD" w:rsidP="00930AFD">
      <w:pPr>
        <w:ind w:right="-96"/>
        <w:jc w:val="both"/>
        <w:rPr>
          <w:b/>
          <w:color w:val="008000"/>
        </w:rPr>
      </w:pPr>
      <w:r w:rsidRPr="00930AFD">
        <w:rPr>
          <w:b/>
          <w:color w:val="008000"/>
        </w:rPr>
        <w:t xml:space="preserve">Gratuidade de justiça concedida ao autor pelo Acórdão de ID 282043254. </w:t>
      </w:r>
    </w:p>
    <w:p w14:paraId="6FBF24F7" w14:textId="77777777" w:rsidR="00930AFD" w:rsidRPr="00930AFD" w:rsidRDefault="00930AFD" w:rsidP="00930AFD">
      <w:pPr>
        <w:ind w:right="-96"/>
        <w:jc w:val="both"/>
        <w:rPr>
          <w:b/>
          <w:color w:val="008000"/>
        </w:rPr>
      </w:pPr>
      <w:r w:rsidRPr="00930AFD">
        <w:rPr>
          <w:b/>
          <w:color w:val="008000"/>
        </w:rPr>
        <w:t>Citada, a ré Carrefour apresentou contestação no ID 267030276 e alegou, em síntese, ilegitimidade passiva, ausência de responsabilidade pelo vício do produto ou pela regulação do sinistro, responsabilidade exclusiva da seguradora, inexistência de ato ilícito e ausência de dano moral indenizável. Defendeu, ainda, a impossibilidade de inversão do ônus da prova, pugnando, ao final, pela improcedência dos pedidos.</w:t>
      </w:r>
    </w:p>
    <w:p w14:paraId="1F5DFE9C" w14:textId="77777777" w:rsidR="00930AFD" w:rsidRPr="00930AFD" w:rsidRDefault="00930AFD" w:rsidP="00930AFD">
      <w:pPr>
        <w:ind w:right="-96"/>
        <w:jc w:val="both"/>
        <w:rPr>
          <w:b/>
          <w:color w:val="008000"/>
        </w:rPr>
      </w:pPr>
      <w:r w:rsidRPr="00930AFD">
        <w:rPr>
          <w:b/>
          <w:color w:val="008000"/>
        </w:rPr>
        <w:t>A ré Assurant Seguradora, por sua vez, apresentou contestação no ID 270816176 ao argumento, em resumo, de ausência de interesse de agir, de regularidade da negativa de cobertura, de existência de excludente contratual decorrente de dano por agente externo e de inexistência de dano moral. Por tudo isso, requereu a improcedência dos pedidos.</w:t>
      </w:r>
    </w:p>
    <w:p w14:paraId="59A35389" w14:textId="77777777" w:rsidR="00930AFD" w:rsidRPr="00930AFD" w:rsidRDefault="00930AFD" w:rsidP="00930AFD">
      <w:pPr>
        <w:ind w:right="-96"/>
        <w:jc w:val="both"/>
        <w:rPr>
          <w:b/>
          <w:color w:val="008000"/>
        </w:rPr>
      </w:pPr>
      <w:r w:rsidRPr="00930AFD">
        <w:rPr>
          <w:b/>
          <w:color w:val="008000"/>
        </w:rPr>
        <w:t>Réplica no ID 271915612.</w:t>
      </w:r>
    </w:p>
    <w:p w14:paraId="4F5B4141" w14:textId="77777777" w:rsidR="00930AFD" w:rsidRPr="00930AFD" w:rsidRDefault="00930AFD" w:rsidP="00930AFD">
      <w:pPr>
        <w:ind w:right="-96"/>
        <w:jc w:val="both"/>
        <w:rPr>
          <w:b/>
          <w:color w:val="008000"/>
        </w:rPr>
      </w:pPr>
      <w:r w:rsidRPr="00930AFD">
        <w:rPr>
          <w:b/>
          <w:color w:val="008000"/>
        </w:rPr>
        <w:t>Na decisão saneadora de ID 275689769, foram rejeitadas as preliminares, reconheceu-se a relação de consumo, inverteu-se o ônus da prova e delimitou-se a controvérsia à verificação dos termos do contrato de seguro, da natureza do dano alegado no produto e de eventual dano daí decorrente.</w:t>
      </w:r>
    </w:p>
    <w:p w14:paraId="7A3A8DFB" w14:textId="77777777" w:rsidR="00930AFD" w:rsidRPr="00930AFD" w:rsidRDefault="00930AFD" w:rsidP="00930AFD">
      <w:pPr>
        <w:ind w:right="-96"/>
        <w:jc w:val="both"/>
        <w:rPr>
          <w:b/>
          <w:color w:val="008000"/>
        </w:rPr>
      </w:pPr>
      <w:r w:rsidRPr="00930AFD">
        <w:rPr>
          <w:b/>
          <w:color w:val="008000"/>
        </w:rPr>
        <w:t>Após manifestações das partes, os autos vieram conclusos para julgamento.</w:t>
      </w:r>
    </w:p>
    <w:p w14:paraId="63E17117" w14:textId="77777777" w:rsidR="00930AFD" w:rsidRPr="00930AFD" w:rsidRDefault="00930AFD" w:rsidP="00930AFD">
      <w:pPr>
        <w:ind w:right="-96"/>
        <w:jc w:val="both"/>
        <w:rPr>
          <w:b/>
          <w:color w:val="008000"/>
        </w:rPr>
      </w:pPr>
      <w:r w:rsidRPr="00930AFD">
        <w:rPr>
          <w:b/>
          <w:color w:val="008000"/>
        </w:rPr>
        <w:t>É o relatório. Decido.</w:t>
      </w:r>
    </w:p>
    <w:p w14:paraId="0A4B9B96" w14:textId="77777777" w:rsidR="00930AFD" w:rsidRPr="00930AFD" w:rsidRDefault="00930AFD" w:rsidP="00930AFD">
      <w:pPr>
        <w:ind w:right="-96"/>
        <w:jc w:val="both"/>
        <w:rPr>
          <w:b/>
          <w:color w:val="008000"/>
        </w:rPr>
      </w:pPr>
      <w:r w:rsidRPr="00930AFD">
        <w:rPr>
          <w:b/>
          <w:color w:val="008000"/>
        </w:rPr>
        <w:t xml:space="preserve">Mérito, verifico que os documentos essenciais são o bilhete de seguro, a comunicação do sinistro, a negativa de cobertura e o relatório de perda de garantia. O bilhete de seguro juntado com a inicial indica a contratação da garantia estendida para o televisor e prevê limite máximo de indenização correspondente ao valor da nota fiscal, R$ 2.699,00 (ID 263078292). A controvérsia, portanto, não está na existência do seguro, mas na cobertura do evento </w:t>
      </w:r>
      <w:r w:rsidRPr="00930AFD">
        <w:rPr>
          <w:b/>
          <w:color w:val="008000"/>
        </w:rPr>
        <w:lastRenderedPageBreak/>
        <w:t>comunicado, tendo em vista que o autor alegou que o aparelho deixou de funcionar após pico de energia elétrica. Todavia, a alegação de pico elétrico consta apenas da narrativa apresentada pelo consumidor e da informação repassada à assistência técnica. Não há, nos autos, documento técnico independente que confirme que a causa do dano tenha sido variação de energia elétrica ou defeito interno coberto pelo seguro.</w:t>
      </w:r>
    </w:p>
    <w:p w14:paraId="39D7FA43" w14:textId="77777777" w:rsidR="00930AFD" w:rsidRPr="00930AFD" w:rsidRDefault="00930AFD" w:rsidP="00930AFD">
      <w:pPr>
        <w:ind w:right="-96"/>
        <w:jc w:val="both"/>
        <w:rPr>
          <w:b/>
          <w:color w:val="008000"/>
        </w:rPr>
      </w:pPr>
      <w:r w:rsidRPr="00930AFD">
        <w:rPr>
          <w:b/>
          <w:color w:val="008000"/>
        </w:rPr>
        <w:t>Por outro lado, o relatório de perda de garantia de ID 263079035 registrou a ordem de serviço RNN250820090102, identificou o modelo e o número de série do aparelho, vinculou o documento ao sinistro 45210553 e concluiu que houve perda da garantia por “defeito causado por ação/agente externo — tela trincada/quebrada”. O mesmo documento contém fotografias do aparelho e informa que a análise partiu da assistência técnica autorizada LG, Nacional TV Vídeo, observando-se que esse documento não foi afastado por prova técnica em sentido contrário. O autor impugnou a conclusão e sustentou que a tela não estava quebrada, mas não produziu laudo particular, orçamento técnico, relatório de assistência diversa ou outro elemento objetivo capaz de demonstrar que o dano era interno, elétrico ou coberto pelo seguro, tampouco requereu perícia, ao contrário, informou que os documentos existentes eram suficientes para o julgamento (ID 272798521).</w:t>
      </w:r>
    </w:p>
    <w:p w14:paraId="38A49F73" w14:textId="77777777" w:rsidR="00930AFD" w:rsidRPr="00930AFD" w:rsidRDefault="00930AFD" w:rsidP="00930AFD">
      <w:pPr>
        <w:ind w:right="-96"/>
        <w:jc w:val="both"/>
        <w:rPr>
          <w:b/>
          <w:color w:val="008000"/>
        </w:rPr>
      </w:pPr>
      <w:r w:rsidRPr="00930AFD">
        <w:rPr>
          <w:b/>
          <w:color w:val="008000"/>
        </w:rPr>
        <w:t>Nesse cenário, ainda considerada a inversão do ônus da prova, as rés apresentaram elemento técnico idôneo para justificar a negativa administrativa, inclusive porque o relatório de ID 263079035 é contemporâneo ao sinistro, identifica o bem, vincula-se à ordem de serviço e aponta causa de exclusão de garantia. A mera discordância do consumidor, desacompanhada de prova técnica mínima em sentido contrário, não é suficiente para afastar a conclusão documental existente nos autos. Além disso, a garantia estendida não equivale a cobertura universal para qualquer dano ao produto, pois, ainda que o seguro tenha sido contratado para ampliar a proteção do consumidor após a garantia do fabricante, sua execução depende da ocorrência de evento coberto, e não de hipótese excluída por dano decorrente de ação ou agente externo. Como o único documento técnico específico sobre o estado do aparelho aponta tela trincada/quebrada por agente externo, não há base probatória suficiente para reconhecer a obrigação da seguradora de pagar a indenização securitária pretendida.</w:t>
      </w:r>
    </w:p>
    <w:p w14:paraId="0E7266FB" w14:textId="77777777" w:rsidR="00930AFD" w:rsidRPr="00930AFD" w:rsidRDefault="00930AFD" w:rsidP="00930AFD">
      <w:pPr>
        <w:ind w:right="-96"/>
        <w:jc w:val="both"/>
        <w:rPr>
          <w:b/>
          <w:color w:val="008000"/>
        </w:rPr>
      </w:pPr>
      <w:r w:rsidRPr="00930AFD">
        <w:rPr>
          <w:b/>
          <w:color w:val="008000"/>
        </w:rPr>
        <w:t>De todo modo, também não há responsabilidade material da ré Carrefour Comércio e Indústria Ltda. no caso concreto, porquanto a ré integrou a cadeia de consumo e, por isso, sua legitimidade passiva foi corretamente reconhecida no saneamento. Contudo, a legitimidade para figurar no processo não se confunde com responsabilidade civil, pois não se comprovou defeito originário do produto, falha na venda, vício oculto atribuído ao comerciante ou conduta própria que tenha causado o dano alegado. A pretensão material decorre da negativa de cobertura securitária, e essa negativa, à luz da prova documental disponível, foi amparada em relatório técnico que apontou causa não coberta.</w:t>
      </w:r>
    </w:p>
    <w:p w14:paraId="5C955DBF" w14:textId="77777777" w:rsidR="00930AFD" w:rsidRPr="00930AFD" w:rsidRDefault="00930AFD" w:rsidP="00930AFD">
      <w:pPr>
        <w:ind w:right="-96"/>
        <w:jc w:val="both"/>
        <w:rPr>
          <w:b/>
          <w:color w:val="008000"/>
        </w:rPr>
      </w:pPr>
      <w:r w:rsidRPr="00930AFD">
        <w:rPr>
          <w:b/>
          <w:color w:val="008000"/>
        </w:rPr>
        <w:t>Assim, não demonstrada a falha na prestação do serviço securitário, também não subsiste o pedido de indenização material. Da mesma forma, o pedido de dano moral segue a mesma conclusão. A negativa de cobertura, quando fundada em interpretação contratual razoável e em relatório técnico contemporâneo, não configura, por si só, violação a direito da personalidade. O processo revela controvérsia contratual legítima sobre a natureza do dano no produto e a abrangência da cobertura securitária, e não foram demonstrados fatos adicionais capazes de evidenciar exposição vexatória, ofensa à honra, conduta abusiva autônoma, desvio produtivo qualificado ou repercussão concreta que ultrapassasse o inadimplemento contratual discutido.</w:t>
      </w:r>
    </w:p>
    <w:p w14:paraId="7A9B61C8" w14:textId="77777777" w:rsidR="00930AFD" w:rsidRPr="00930AFD" w:rsidRDefault="00930AFD" w:rsidP="00930AFD">
      <w:pPr>
        <w:ind w:right="-96"/>
        <w:jc w:val="both"/>
        <w:rPr>
          <w:b/>
          <w:color w:val="008000"/>
        </w:rPr>
      </w:pPr>
      <w:r w:rsidRPr="00930AFD">
        <w:rPr>
          <w:b/>
          <w:color w:val="008000"/>
        </w:rPr>
        <w:lastRenderedPageBreak/>
        <w:t xml:space="preserve">Por fim, tenho que o televisor é bem de utilidade doméstica, mas a privação do uso do produto, nas circunstâncias demonstradas, não autoriza indenização extrapatrimonial automática. </w:t>
      </w:r>
    </w:p>
    <w:p w14:paraId="353B9EFA" w14:textId="77777777" w:rsidR="00930AFD" w:rsidRPr="00930AFD" w:rsidRDefault="00930AFD" w:rsidP="00930AFD">
      <w:pPr>
        <w:ind w:right="-96"/>
        <w:jc w:val="both"/>
        <w:rPr>
          <w:b/>
          <w:color w:val="008000"/>
        </w:rPr>
      </w:pPr>
      <w:r w:rsidRPr="00930AFD">
        <w:rPr>
          <w:b/>
          <w:color w:val="008000"/>
        </w:rPr>
        <w:t>Diante do exposto, com fundamento no art. 487, I, do CPC, JULGO IMPROCEDENTES os pedidos formulados na inicial, e condeno o autor ao pagamento das custas processuais e dos honorários advocatícios, que fixo em 10% sobre o valor da causa, nos termos do art. 85, § 2º, do CPC, observando-se a suspensão da exigibilidade das verbas de sucumbência porque o autor é beneficiário da gratuidade de justiça, nos termos do art. 98, § 3º, do CPC.</w:t>
      </w:r>
    </w:p>
    <w:p w14:paraId="23527F22" w14:textId="44CFEC22" w:rsidR="00930AFD" w:rsidRPr="00930AFD" w:rsidRDefault="00930AFD" w:rsidP="00930AFD">
      <w:pPr>
        <w:ind w:right="-96"/>
        <w:jc w:val="both"/>
        <w:rPr>
          <w:b/>
          <w:color w:val="008000"/>
        </w:rPr>
      </w:pPr>
      <w:r w:rsidRPr="00930AFD">
        <w:rPr>
          <w:b/>
          <w:color w:val="008000"/>
        </w:rPr>
        <w:t xml:space="preserve">Transitada em julgado e nada mais sendo devido ou requerido, dê-se baixa e arquivem-se.              </w:t>
      </w:r>
    </w:p>
    <w:p w14:paraId="7B05D8E6" w14:textId="77777777" w:rsidR="00930AFD" w:rsidRPr="00930AFD" w:rsidRDefault="00930AFD" w:rsidP="00930AFD">
      <w:pPr>
        <w:ind w:right="-96"/>
        <w:jc w:val="both"/>
        <w:rPr>
          <w:b/>
          <w:color w:val="008000"/>
        </w:rPr>
      </w:pPr>
      <w:r w:rsidRPr="00930AFD">
        <w:rPr>
          <w:b/>
          <w:color w:val="008000"/>
        </w:rPr>
        <w:t>Sentença registrada e publicada eletronicamente. Intimem-se.</w:t>
      </w:r>
    </w:p>
    <w:p w14:paraId="5515EFC3" w14:textId="77777777" w:rsidR="008A321A" w:rsidRDefault="008A321A" w:rsidP="00693B0D">
      <w:pPr>
        <w:ind w:right="-96"/>
        <w:jc w:val="both"/>
        <w:rPr>
          <w:b/>
          <w:color w:val="008000"/>
        </w:rPr>
      </w:pPr>
    </w:p>
    <w:p w14:paraId="6DDF7E83" w14:textId="77777777" w:rsidR="00693B0D" w:rsidRDefault="00693B0D" w:rsidP="00693B0D">
      <w:pPr>
        <w:ind w:right="-96"/>
        <w:jc w:val="both"/>
        <w:rPr>
          <w:b/>
          <w:color w:val="008000"/>
        </w:rPr>
      </w:pPr>
    </w:p>
    <w:p w14:paraId="787D42ED" w14:textId="13D1670E" w:rsidR="007E1C8C" w:rsidRDefault="00930AFD" w:rsidP="004873E8">
      <w:pPr>
        <w:ind w:right="-96"/>
        <w:jc w:val="both"/>
        <w:rPr>
          <w:b/>
          <w:color w:val="C45911"/>
        </w:rPr>
      </w:pPr>
      <w:r>
        <w:rPr>
          <w:b/>
          <w:color w:val="C45911"/>
        </w:rPr>
        <w:t xml:space="preserve">NÃO HÁ </w:t>
      </w:r>
      <w:r w:rsidR="007871A5">
        <w:rPr>
          <w:b/>
          <w:color w:val="C45911"/>
        </w:rPr>
        <w:t>PARECER</w:t>
      </w:r>
      <w:r w:rsidR="004873E8">
        <w:rPr>
          <w:b/>
          <w:color w:val="C45911"/>
        </w:rPr>
        <w:t xml:space="preserve"> DO MP</w:t>
      </w:r>
      <w:r>
        <w:rPr>
          <w:b/>
          <w:color w:val="C45911"/>
        </w:rPr>
        <w:t>.</w:t>
      </w:r>
    </w:p>
    <w:sectPr w:rsidR="007E1C8C">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Gabriel Passos Sesana - GDACA" w:date="2026-07-15T17:23:00Z" w:initials="GP">
    <w:p w14:paraId="6FA94565" w14:textId="77777777" w:rsidR="00786AC2" w:rsidRDefault="00C54C8C" w:rsidP="00786AC2">
      <w:pPr>
        <w:pStyle w:val="Textodecomentrio"/>
      </w:pPr>
      <w:r>
        <w:rPr>
          <w:rStyle w:val="Refdecomentrio"/>
        </w:rPr>
        <w:annotationRef/>
      </w:r>
      <w:r w:rsidR="00786AC2">
        <w:t>Conclusão: 17/9</w:t>
      </w:r>
    </w:p>
    <w:p w14:paraId="4BD8352B" w14:textId="77777777" w:rsidR="00786AC2" w:rsidRDefault="00786AC2" w:rsidP="00786AC2">
      <w:pPr>
        <w:pStyle w:val="Textodecomentrio"/>
      </w:pPr>
      <w:r>
        <w:t>Entrega:</w:t>
      </w:r>
    </w:p>
    <w:p w14:paraId="4C116AAE" w14:textId="77777777" w:rsidR="00786AC2" w:rsidRDefault="00786AC2" w:rsidP="00786AC2">
      <w:pPr>
        <w:pStyle w:val="Textodecomentrio"/>
      </w:pPr>
      <w:r>
        <w:t>Certeza:</w:t>
      </w:r>
    </w:p>
  </w:comment>
  <w:comment w:id="2" w:author="Marcia Vilela Alves - GDACA" w:date="2026-09-29T16:13:00Z" w:initials="MV">
    <w:p w14:paraId="0D5E50E0" w14:textId="77777777" w:rsidR="0029455C" w:rsidRDefault="0029455C" w:rsidP="0029455C">
      <w:pPr>
        <w:pStyle w:val="Textodecomentrio"/>
      </w:pPr>
      <w:r>
        <w:rPr>
          <w:rStyle w:val="Refdecomentrio"/>
        </w:rPr>
        <w:annotationRef/>
      </w:r>
      <w:r>
        <w:t>Corrigido.</w:t>
      </w:r>
    </w:p>
  </w:comment>
  <w:comment w:id="3" w:author="Marcos Dwayne Saraiva Costa - GDSXSR [2]" w:date="2026-10-31T17:41:00Z" w:initials="MDSCG">
    <w:p w14:paraId="0A6F2036" w14:textId="77777777" w:rsidR="00284747" w:rsidRDefault="00284747">
      <w:pPr>
        <w:pStyle w:val="Textodecomentrio"/>
        <w:rPr>
          <w:lang w:val="pt-BR"/>
        </w:rPr>
      </w:pPr>
      <w:r>
        <w:rPr>
          <w:rStyle w:val="Refdecomentrio"/>
        </w:rPr>
        <w:annotationRef/>
      </w:r>
      <w:r>
        <w:rPr>
          <w:lang w:val="pt-BR"/>
        </w:rPr>
        <w:t>Minuta do Gab do Des Camanho</w:t>
      </w:r>
    </w:p>
    <w:p w14:paraId="23F0C5C6" w14:textId="77777777" w:rsidR="00284747" w:rsidRDefault="00284747">
      <w:pPr>
        <w:pStyle w:val="Textodecomentrio"/>
        <w:rPr>
          <w:lang w:val="pt-BR"/>
        </w:rPr>
      </w:pPr>
    </w:p>
    <w:p w14:paraId="714401DB" w14:textId="52E23CB5" w:rsidR="00284747" w:rsidRPr="00284747" w:rsidRDefault="00284747">
      <w:pPr>
        <w:pStyle w:val="Textodecomentrio"/>
        <w:rPr>
          <w:lang w:val="pt-BR"/>
        </w:rPr>
      </w:pPr>
      <w:r>
        <w:rPr>
          <w:lang w:val="pt-BR"/>
        </w:rPr>
        <w:t>Revisado</w:t>
      </w:r>
    </w:p>
  </w:comment>
  <w:comment w:id="4" w:author="Assessor GDSXSR" w:date="2026-10-31T19:48:00Z" w:initials="AG">
    <w:p w14:paraId="6D35879B" w14:textId="77777777" w:rsidR="000348DD" w:rsidRDefault="00366AE2">
      <w:r>
        <w:annotationRef/>
      </w:r>
      <w:r>
        <w:t>ASSESSOR GDSXSR — Aplicadas as instruções de Marcos para minutas ACA: ementa enxugada em cerca de 25% (586 para ~440 palavras) e fundamentação do voto em cerca de 40% (1.391 para ~830 palavras), sem suprimir lei</w:t>
      </w:r>
      <w:r>
        <w:t>, documentos nem a sentença; podadas as redundâncias, fundidos períodos, capítulo aberto com as alegações enumeradas (C-30, C-3W), IDs na forma compacta (C-20, C-25) e fatos conferidos com os autos (C-24). Resultado (provimento, cassação da sentença) manti</w:t>
      </w:r>
      <w:r>
        <w:t>do (C-03).</w:t>
      </w:r>
    </w:p>
  </w:comment>
  <w:comment w:id="5" w:author="Assessor GDSXSR" w:date="2026-10-31T19:48:00Z" w:initials="AG">
    <w:p w14:paraId="39A024C5" w14:textId="77777777" w:rsidR="000348DD" w:rsidRDefault="00366AE2">
      <w:r>
        <w:annotationRef/>
      </w:r>
      <w:r>
        <w:t>ASSESSOR GDSXSR — Título enxugado; mantidos o assunto, a divergência fotográfica, a cassação e o resultado (C-3P a). Item 1 com o valor da causa (R$ 5.699,00, autuação) e sem 'pessoa natural', pois o papel de consumidor já qualifica a parte (C-</w:t>
      </w:r>
      <w:r>
        <w:t>34 v60, v43); itens 2 e 3 reduzidos ao essencial; rodapés ajustados ao voto (C-33): CDC 14 § 3º II no lugar de CDC 12 § 3º III e precedente da 4ª Turma (C-67).</w:t>
      </w:r>
    </w:p>
  </w:comment>
  <w:comment w:id="6" w:author="Assessor GDSXSR" w:date="2026-10-31T19:48:00Z" w:initials="AG">
    <w:p w14:paraId="577A39B9" w14:textId="77777777" w:rsidR="000348DD" w:rsidRDefault="00366AE2">
      <w:r>
        <w:annotationRef/>
      </w:r>
      <w:r>
        <w:t>ASSESSOR GDSXSR — RELATÓRIO colocado no topo da página, como exige o padrão (C-32).</w:t>
      </w:r>
    </w:p>
  </w:comment>
  <w:comment w:id="7" w:author="Assessor GDSXSR" w:date="2026-10-31T19:48:00Z" w:initials="AG">
    <w:p w14:paraId="4FAF5CED" w14:textId="77777777" w:rsidR="000348DD" w:rsidRDefault="00366AE2">
      <w:r>
        <w:annotationRef/>
      </w:r>
      <w:r>
        <w:t>ASSESSOR GDSXSR — Apelo reescrito em um só parágrafo, com as alegações enumeradas de 1) a 8), i</w:t>
      </w:r>
      <w:r>
        <w:t>ncluída a nulidade que estava em período à parte; conteúdo mantido (C-30). Fórmula 'A MM. Juíza sentenciante, Dra. …' conforme C-3N.</w:t>
      </w:r>
    </w:p>
  </w:comment>
  <w:comment w:id="8" w:author="Assessor GDSXSR" w:date="2026-10-31T19:48:00Z" w:initials="AG">
    <w:p w14:paraId="158CD541" w14:textId="77777777" w:rsidR="000348DD" w:rsidRDefault="00366AE2">
      <w:r>
        <w:annotationRef/>
      </w:r>
      <w:r>
        <w:t>ASSESSOR GDSXSR — Corrigida a redação dos itens 1, 2 e 6 das contrarrazões da Carrefour (ID 89619917), sem alterar o conte</w:t>
      </w:r>
      <w:r>
        <w:t>údo (C-03).</w:t>
      </w:r>
    </w:p>
  </w:comment>
  <w:comment w:id="9" w:author="Assessor GDSXSR" w:date="2026-10-31T19:48:00Z" w:initials="AG">
    <w:p w14:paraId="56DDDA54" w14:textId="77777777" w:rsidR="000348DD" w:rsidRDefault="00366AE2">
      <w:r>
        <w:annotationRef/>
      </w:r>
      <w:r>
        <w:t>ASSESSOR GDSXSR — Título agora verbal, diz a decisão sobre o pedido (cassação para prosseguir a instrução), e não o assunto; o capítulo abre com as alegações do apelante e o ID do apelo (C-3W, C-30). Fundamentação enxugada em cerca de 40%: fun</w:t>
      </w:r>
      <w:r>
        <w:t>didos os períodos que repetiam a mesma premissa, podada a recapitulação e reduzido o precedente (C-02, C-16).</w:t>
      </w:r>
    </w:p>
  </w:comment>
  <w:comment w:id="10" w:author="Gabriel Passos Sesana - GDACA" w:date="2026-09-23T20:16:00Z" w:initials="GP">
    <w:p w14:paraId="78FFC7C6" w14:textId="77777777" w:rsidR="00155E64" w:rsidRDefault="00155E64" w:rsidP="00155E64">
      <w:pPr>
        <w:pStyle w:val="Textodecomentrio"/>
      </w:pPr>
      <w:r>
        <w:rPr>
          <w:rStyle w:val="Refdecomentrio"/>
        </w:rPr>
        <w:annotationRef/>
      </w:r>
      <w:r>
        <w:t>Aproveitei a forma e alguns trechos da APC 0735250-83.2020.8.07.0001, acórdão 1602181.</w:t>
      </w:r>
    </w:p>
  </w:comment>
  <w:comment w:id="11" w:author="Assessor GDSXSR" w:date="2026-10-31T19:48:00Z" w:initials="AG">
    <w:p w14:paraId="180DBFCE" w14:textId="77777777" w:rsidR="000348DD" w:rsidRDefault="00366AE2">
      <w:r>
        <w:annotationRef/>
      </w:r>
      <w:r>
        <w:t>ASSESSOR GDSXSR — Corrigi a premissa (C-24, C-21): o bilhete (ID 89618455) registra 6718388 como 'Código' do produto e, repetido, como 'Nº de Sér</w:t>
      </w:r>
      <w:r>
        <w:t>ie (RMS)'; o laudo (ID 89619859) traz a série 301AZPU6P600. A frase da minuta de que a nota fiscal omite a série e de que o código seria o cadastrado pelo revendedor para a nota não pôde ser conferida: o OCR da nota fiscal (ID 89618455, p. 1) é ilegível; s</w:t>
      </w:r>
      <w:r>
        <w:t>aiu do corpo. PENDÊNCIA (C-52): a inicial (ID 89618439, p. 1, 'Dos fatos') e o apelo (ID 89619913) afirmam que o televisor do autor tem a série 301AZPU6P600, a mesma do laudo; isso enfraquece a hipótese de aparelhos distintos e deve ser conferido pelo Des.</w:t>
      </w:r>
      <w:r>
        <w:t xml:space="preserve"> Sérgio Rocha; o resultado não foi alterado (C-03, C-53).</w:t>
      </w:r>
    </w:p>
  </w:comment>
  <w:comment w:id="12" w:author="Assessor GDSXSR" w:date="2026-10-31T19:48:00Z" w:initials="AG">
    <w:p w14:paraId="6283FBE7" w14:textId="77777777" w:rsidR="000348DD" w:rsidRDefault="00366AE2">
      <w:r>
        <w:annotationRef/>
      </w:r>
      <w:r>
        <w:t>ASSESSOR GDSXSR — CDC 14 § 3º II no lugar de CDC 12 § 3º III: o art. 12 trata do fato do produto e o seguro é serviço (art. 14). Texto literal (C-63), Planalto, conferido no iajus: CDC, art. 14, §</w:t>
      </w:r>
      <w:r>
        <w:t xml:space="preserve"> 3º: “O fornecedor de serviços só não será responsabilizado quando provar: I - que, tendo prestado o serviço, o defeito inexiste; II - a culpa exclusiva do consumidor ou de terceiro.”</w:t>
      </w:r>
    </w:p>
  </w:comment>
  <w:comment w:id="13" w:author="Assessor GDSXSR" w:date="2026-10-31T19:48:00Z" w:initials="AG">
    <w:p w14:paraId="7C63C45A" w14:textId="77777777" w:rsidR="000348DD" w:rsidRDefault="00366AE2">
      <w:r>
        <w:annotationRef/>
      </w:r>
      <w:r>
        <w:t>ASSESSOR GDSXSR — Lei 15.040/2024, art. 59: texto conferido no iajus (P</w:t>
      </w:r>
      <w:r>
        <w:t>lanalto). A lei foi publicada em 10/12/2024 e entrou em vigor um ano depois (art. 134, 11/12/2025), após o contrato (18/3/2023) e o sinistro (18/8/2025). Mantida a transcrição como reforço da interpretação restritiva (C-64); o ônus da seguradora já decorre</w:t>
      </w:r>
      <w:r>
        <w:t xml:space="preserve"> do CDC 14 § 3º II e da inversão deferida no saneamento.</w:t>
      </w:r>
    </w:p>
  </w:comment>
  <w:comment w:id="14" w:author="Assessor GDSXSR" w:date="2026-10-31T19:48:00Z" w:initials="AG">
    <w:p w14:paraId="1A709F11" w14:textId="77777777" w:rsidR="000348DD" w:rsidRDefault="00366AE2">
      <w:r>
        <w:annotationRef/>
      </w:r>
      <w:r>
        <w:t>ASSESSOR GDSXSR — Substituí o acórdão da 6ª Turma da minuta (Acórdão 1730187, 0704174-49.2022.8.07.0008, j. 12/7/2023, conferido no iajus: ementa idêntica) pelo da 4ª Turma, mais recente e com a mes</w:t>
      </w:r>
      <w:r>
        <w:t xml:space="preserve">ma situação (saneadora que inverte o ônus e sentença que cobra prova técnica), conforme C-67 e C-65. Ementa conferida no iajus; item 3 transcrito literalmente. PENDÊNCIA (C-52): o iajus não devolveu o número do acórdão nem o DJe; completar no JurisDF (APC </w:t>
      </w:r>
      <w:r>
        <w:t>0705812-67.2024.8.07.0002, Des. Aiston Henrique de Sousa, 4ª TC, j. 12/2/2026).</w:t>
      </w:r>
    </w:p>
  </w:comment>
  <w:comment w:id="15" w:author="Assessor GDSXSR" w:date="2026-10-31T19:48:00Z" w:initials="AG">
    <w:p w14:paraId="6D931814" w14:textId="77777777" w:rsidR="000348DD" w:rsidRDefault="00366AE2">
      <w:r>
        <w:annotationRef/>
      </w:r>
      <w:r>
        <w:t>ASSESSOR GDSXSR — Acrescentei o ID da petição de 13/5/2026 em que o autor declara não ter interesse em esclarecimentos ou ajustes (ID 89619895, conferido nos autos) e 'No mais</w:t>
      </w:r>
      <w:r>
        <w:t>,' (C-23). Texto literal (C-63), CPC, art. 370: “Caberá ao juiz, de ofício ou a requerimento da parte, determinar as provas necessárias ao julgamento do mérito.” CPC, art. 464, caput: “A prova pericial consiste em exame, vistoria ou avaliação.” (planalto.g</w:t>
      </w:r>
      <w:r>
        <w:t>ov.br, conferido no iajus).</w:t>
      </w:r>
    </w:p>
  </w:comment>
  <w:comment w:id="16" w:author="Assessor GDSXSR" w:date="2026-10-31T19:48:00Z" w:initials="AG">
    <w:p w14:paraId="3F0FAD5A" w14:textId="77777777" w:rsidR="000348DD" w:rsidRDefault="00366AE2">
      <w:r>
        <w:annotationRef/>
      </w:r>
      <w:r>
        <w:t>ASSESSOR GDSXSR — Dispositivo mantido, sem honorários recursais por ser caso de cassação da sentença (C-03).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8DA02E" w15:done="0"/>
  <w15:commentEx w15:paraId="4C116AAE" w15:paraIdParent="448DA02E" w15:done="0"/>
  <w15:commentEx w15:paraId="0D5E50E0" w15:paraIdParent="448DA02E" w15:done="0"/>
  <w15:commentEx w15:paraId="714401DB" w15:paraIdParent="448DA02E" w15:done="0"/>
  <w15:commentEx w15:paraId="6D35879B" w15:done="0"/>
  <w15:commentEx w15:paraId="39A024C5" w15:done="0"/>
  <w15:commentEx w15:paraId="577A39B9" w15:done="0"/>
  <w15:commentEx w15:paraId="4FAF5CED" w15:done="0"/>
  <w15:commentEx w15:paraId="158CD541" w15:done="0"/>
  <w15:commentEx w15:paraId="56DDDA54" w15:done="0"/>
  <w15:commentEx w15:paraId="78FFC7C6" w15:done="0"/>
  <w15:commentEx w15:paraId="180DBFCE" w15:done="0"/>
  <w15:commentEx w15:paraId="6283FBE7" w15:done="0"/>
  <w15:commentEx w15:paraId="7C63C45A" w15:done="0"/>
  <w15:commentEx w15:paraId="1A709F11" w15:done="0"/>
  <w15:commentEx w15:paraId="6D931814" w15:done="0"/>
  <w15:commentEx w15:paraId="3F0FAD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2CC4A47" w16cex:dateUtc="2025-09-01T16:19:00Z"/>
  <w16cex:commentExtensible w16cex:durableId="219103AB" w16cex:dateUtc="2026-07-15T20:23:00Z"/>
  <w16cex:commentExtensible w16cex:durableId="75CC670D" w16cex:dateUtc="2026-09-29T19:13:00Z"/>
  <w16cex:commentExtensible w16cex:durableId="2E90A6C4" w16cex:dateUtc="2026-10-31T20:41:00Z"/>
  <w16cex:commentExtensible w16cex:durableId="09E2452A" w16cex:dateUtc="2026-09-23T2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8DA02E" w16cid:durableId="22CC4A47"/>
  <w16cid:commentId w16cid:paraId="4C116AAE" w16cid:durableId="219103AB"/>
  <w16cid:commentId w16cid:paraId="0D5E50E0" w16cid:durableId="75CC670D"/>
  <w16cid:commentId w16cid:paraId="714401DB" w16cid:durableId="2E90A6C4"/>
  <w16cid:commentId w16cid:paraId="6D35879B" w16cid:durableId="2E90A5F2"/>
  <w16cid:commentId w16cid:paraId="39A024C5" w16cid:durableId="2E90A5F3"/>
  <w16cid:commentId w16cid:paraId="577A39B9" w16cid:durableId="2E90A5F4"/>
  <w16cid:commentId w16cid:paraId="4FAF5CED" w16cid:durableId="2E90A5F5"/>
  <w16cid:commentId w16cid:paraId="158CD541" w16cid:durableId="2E90A5F6"/>
  <w16cid:commentId w16cid:paraId="56DDDA54" w16cid:durableId="2E90A5F7"/>
  <w16cid:commentId w16cid:paraId="78FFC7C6" w16cid:durableId="09E2452A"/>
  <w16cid:commentId w16cid:paraId="180DBFCE" w16cid:durableId="2E90A5F9"/>
  <w16cid:commentId w16cid:paraId="6283FBE7" w16cid:durableId="2E90A5FA"/>
  <w16cid:commentId w16cid:paraId="7C63C45A" w16cid:durableId="2E90A5FB"/>
  <w16cid:commentId w16cid:paraId="1A709F11" w16cid:durableId="2E90A5FC"/>
  <w16cid:commentId w16cid:paraId="6D931814" w16cid:durableId="2E90A5FD"/>
  <w16cid:commentId w16cid:paraId="3F0FAD5A" w16cid:durableId="2E90A5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DAE5E" w14:textId="77777777" w:rsidR="00366AE2" w:rsidRDefault="00366AE2" w:rsidP="003A42DE">
      <w:pPr>
        <w:spacing w:after="0" w:line="240" w:lineRule="auto"/>
      </w:pPr>
      <w:r>
        <w:separator/>
      </w:r>
    </w:p>
  </w:endnote>
  <w:endnote w:type="continuationSeparator" w:id="0">
    <w:p w14:paraId="60B54FB3" w14:textId="77777777" w:rsidR="00366AE2" w:rsidRDefault="00366AE2"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A1FE2" w14:textId="77777777" w:rsidR="00366AE2" w:rsidRDefault="00366AE2" w:rsidP="003A42DE">
      <w:pPr>
        <w:spacing w:after="0" w:line="240" w:lineRule="auto"/>
      </w:pPr>
      <w:r>
        <w:separator/>
      </w:r>
    </w:p>
  </w:footnote>
  <w:footnote w:type="continuationSeparator" w:id="0">
    <w:p w14:paraId="6ED5E780" w14:textId="77777777" w:rsidR="00366AE2" w:rsidRDefault="00366AE2"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A07F2"/>
    <w:multiLevelType w:val="multilevel"/>
    <w:tmpl w:val="DFDA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CC80A10"/>
    <w:multiLevelType w:val="hybridMultilevel"/>
    <w:tmpl w:val="94E21A8E"/>
    <w:lvl w:ilvl="0" w:tplc="3962DA20">
      <w:start w:val="1"/>
      <w:numFmt w:val="decimal"/>
      <w:lvlText w:val="%1."/>
      <w:lvlJc w:val="left"/>
      <w:pPr>
        <w:ind w:left="1440" w:hanging="360"/>
      </w:pPr>
    </w:lvl>
    <w:lvl w:ilvl="1" w:tplc="936898F2">
      <w:start w:val="1"/>
      <w:numFmt w:val="decimal"/>
      <w:lvlText w:val="%2."/>
      <w:lvlJc w:val="left"/>
      <w:pPr>
        <w:ind w:left="1440" w:hanging="360"/>
      </w:pPr>
    </w:lvl>
    <w:lvl w:ilvl="2" w:tplc="0C600296">
      <w:start w:val="1"/>
      <w:numFmt w:val="decimal"/>
      <w:lvlText w:val="%3."/>
      <w:lvlJc w:val="left"/>
      <w:pPr>
        <w:ind w:left="1440" w:hanging="360"/>
      </w:pPr>
    </w:lvl>
    <w:lvl w:ilvl="3" w:tplc="6FF44494">
      <w:start w:val="1"/>
      <w:numFmt w:val="decimal"/>
      <w:lvlText w:val="%4."/>
      <w:lvlJc w:val="left"/>
      <w:pPr>
        <w:ind w:left="1440" w:hanging="360"/>
      </w:pPr>
    </w:lvl>
    <w:lvl w:ilvl="4" w:tplc="63ECC94E">
      <w:start w:val="1"/>
      <w:numFmt w:val="decimal"/>
      <w:lvlText w:val="%5."/>
      <w:lvlJc w:val="left"/>
      <w:pPr>
        <w:ind w:left="1440" w:hanging="360"/>
      </w:pPr>
    </w:lvl>
    <w:lvl w:ilvl="5" w:tplc="697C573C">
      <w:start w:val="1"/>
      <w:numFmt w:val="decimal"/>
      <w:lvlText w:val="%6."/>
      <w:lvlJc w:val="left"/>
      <w:pPr>
        <w:ind w:left="1440" w:hanging="360"/>
      </w:pPr>
    </w:lvl>
    <w:lvl w:ilvl="6" w:tplc="0EFC5F46">
      <w:start w:val="1"/>
      <w:numFmt w:val="decimal"/>
      <w:lvlText w:val="%7."/>
      <w:lvlJc w:val="left"/>
      <w:pPr>
        <w:ind w:left="1440" w:hanging="360"/>
      </w:pPr>
    </w:lvl>
    <w:lvl w:ilvl="7" w:tplc="81DE8D5C">
      <w:start w:val="1"/>
      <w:numFmt w:val="decimal"/>
      <w:lvlText w:val="%8."/>
      <w:lvlJc w:val="left"/>
      <w:pPr>
        <w:ind w:left="1440" w:hanging="360"/>
      </w:pPr>
    </w:lvl>
    <w:lvl w:ilvl="8" w:tplc="7C56800E">
      <w:start w:val="1"/>
      <w:numFmt w:val="decimal"/>
      <w:lvlText w:val="%9."/>
      <w:lvlJc w:val="left"/>
      <w:pPr>
        <w:ind w:left="1440" w:hanging="360"/>
      </w:pPr>
    </w:lvl>
  </w:abstractNum>
  <w:abstractNum w:abstractNumId="6" w15:restartNumberingAfterBreak="0">
    <w:nsid w:val="5A1A6FAB"/>
    <w:multiLevelType w:val="multilevel"/>
    <w:tmpl w:val="A338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1"/>
  </w:num>
  <w:num w:numId="3">
    <w:abstractNumId w:val="7"/>
  </w:num>
  <w:num w:numId="4">
    <w:abstractNumId w:val="3"/>
  </w:num>
  <w:num w:numId="5">
    <w:abstractNumId w:val="4"/>
  </w:num>
  <w:num w:numId="6">
    <w:abstractNumId w:val="0"/>
  </w:num>
  <w:num w:numId="7">
    <w:abstractNumId w:val="6"/>
  </w:num>
  <w:num w:numId="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os Dwayne Saraiva Costa - GDSXSR">
    <w15:presenceInfo w15:providerId="AD" w15:userId="S::t321760@tjdft.jus.br::71ef89ef-9eb5-4780-8a4d-3f3a792db9c6"/>
  </w15:person>
  <w15:person w15:author="Gabriel Passos Sesana - GDACA">
    <w15:presenceInfo w15:providerId="AD" w15:userId="S::t318556@tjdft.jus.br::98268d75-773c-423e-bbc3-55d5340811be"/>
  </w15:person>
  <w15:person w15:author="Marcia Vilela Alves - GDACA">
    <w15:presenceInfo w15:providerId="AD" w15:userId="S::t308703@tjdft.jus.br::7a63abfe-b68b-4abc-8a9c-163dd7d9a183"/>
  </w15:person>
  <w15:person w15:author="Marcos Dwayne Saraiva Costa - GDSXSR [2]">
    <w15:presenceInfo w15:providerId="None" w15:userId="Marcos Dwayne Saraiva Costa - GDSXS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738F"/>
    <w:rsid w:val="00032E54"/>
    <w:rsid w:val="00033421"/>
    <w:rsid w:val="00033AFD"/>
    <w:rsid w:val="000348DD"/>
    <w:rsid w:val="00037F34"/>
    <w:rsid w:val="00041EF8"/>
    <w:rsid w:val="0004206E"/>
    <w:rsid w:val="000427FF"/>
    <w:rsid w:val="00043A0B"/>
    <w:rsid w:val="000440B8"/>
    <w:rsid w:val="0005271C"/>
    <w:rsid w:val="00052AE3"/>
    <w:rsid w:val="00055F4E"/>
    <w:rsid w:val="000577B6"/>
    <w:rsid w:val="00057E78"/>
    <w:rsid w:val="0006080C"/>
    <w:rsid w:val="00060D5E"/>
    <w:rsid w:val="00060F64"/>
    <w:rsid w:val="000619E0"/>
    <w:rsid w:val="00063145"/>
    <w:rsid w:val="00064301"/>
    <w:rsid w:val="000761D9"/>
    <w:rsid w:val="00076D7D"/>
    <w:rsid w:val="0009174A"/>
    <w:rsid w:val="00091ABC"/>
    <w:rsid w:val="000949E5"/>
    <w:rsid w:val="00096E18"/>
    <w:rsid w:val="00097239"/>
    <w:rsid w:val="00097BBF"/>
    <w:rsid w:val="000A4FF8"/>
    <w:rsid w:val="000A7009"/>
    <w:rsid w:val="000B0FC6"/>
    <w:rsid w:val="000B2DCF"/>
    <w:rsid w:val="000B7AF7"/>
    <w:rsid w:val="000D0D30"/>
    <w:rsid w:val="000D20AB"/>
    <w:rsid w:val="000D2E62"/>
    <w:rsid w:val="000D59B2"/>
    <w:rsid w:val="000D5AF5"/>
    <w:rsid w:val="000E15C4"/>
    <w:rsid w:val="000F0325"/>
    <w:rsid w:val="000F1358"/>
    <w:rsid w:val="000F1817"/>
    <w:rsid w:val="000F1CB2"/>
    <w:rsid w:val="000F6570"/>
    <w:rsid w:val="001009CC"/>
    <w:rsid w:val="0011062B"/>
    <w:rsid w:val="001118A2"/>
    <w:rsid w:val="0011527A"/>
    <w:rsid w:val="00115458"/>
    <w:rsid w:val="00115569"/>
    <w:rsid w:val="00116FEE"/>
    <w:rsid w:val="00117166"/>
    <w:rsid w:val="00122133"/>
    <w:rsid w:val="0012238F"/>
    <w:rsid w:val="001234B7"/>
    <w:rsid w:val="00125329"/>
    <w:rsid w:val="001254C0"/>
    <w:rsid w:val="00126492"/>
    <w:rsid w:val="00130BB0"/>
    <w:rsid w:val="00131A63"/>
    <w:rsid w:val="00137A7E"/>
    <w:rsid w:val="00137BF8"/>
    <w:rsid w:val="00151611"/>
    <w:rsid w:val="0015424D"/>
    <w:rsid w:val="0015519F"/>
    <w:rsid w:val="00155E64"/>
    <w:rsid w:val="00157CB4"/>
    <w:rsid w:val="00161CD2"/>
    <w:rsid w:val="00166B65"/>
    <w:rsid w:val="001676A4"/>
    <w:rsid w:val="00167F3A"/>
    <w:rsid w:val="001801E9"/>
    <w:rsid w:val="00181CD2"/>
    <w:rsid w:val="00183700"/>
    <w:rsid w:val="00183B77"/>
    <w:rsid w:val="001A09B8"/>
    <w:rsid w:val="001B0FE3"/>
    <w:rsid w:val="001C466B"/>
    <w:rsid w:val="001D2162"/>
    <w:rsid w:val="001E0D41"/>
    <w:rsid w:val="001E0FEA"/>
    <w:rsid w:val="001E4974"/>
    <w:rsid w:val="001E7903"/>
    <w:rsid w:val="001F04DA"/>
    <w:rsid w:val="001F5EAF"/>
    <w:rsid w:val="00203B1D"/>
    <w:rsid w:val="0020478E"/>
    <w:rsid w:val="00206304"/>
    <w:rsid w:val="002126F1"/>
    <w:rsid w:val="00214D24"/>
    <w:rsid w:val="0021526A"/>
    <w:rsid w:val="0022272F"/>
    <w:rsid w:val="002245BB"/>
    <w:rsid w:val="00225F15"/>
    <w:rsid w:val="00230A7D"/>
    <w:rsid w:val="002328FD"/>
    <w:rsid w:val="00232EEB"/>
    <w:rsid w:val="00241710"/>
    <w:rsid w:val="00243312"/>
    <w:rsid w:val="002437F6"/>
    <w:rsid w:val="0024665A"/>
    <w:rsid w:val="00253AA1"/>
    <w:rsid w:val="00254E51"/>
    <w:rsid w:val="00264107"/>
    <w:rsid w:val="0026743F"/>
    <w:rsid w:val="0027313A"/>
    <w:rsid w:val="00274644"/>
    <w:rsid w:val="00277029"/>
    <w:rsid w:val="0028319F"/>
    <w:rsid w:val="00284747"/>
    <w:rsid w:val="00291367"/>
    <w:rsid w:val="002926F9"/>
    <w:rsid w:val="00292E82"/>
    <w:rsid w:val="0029455C"/>
    <w:rsid w:val="00296DAE"/>
    <w:rsid w:val="002A023C"/>
    <w:rsid w:val="002A2038"/>
    <w:rsid w:val="002A3D11"/>
    <w:rsid w:val="002A5205"/>
    <w:rsid w:val="002B0706"/>
    <w:rsid w:val="002B1184"/>
    <w:rsid w:val="002B210E"/>
    <w:rsid w:val="002B35FE"/>
    <w:rsid w:val="002B55D5"/>
    <w:rsid w:val="002C0DB7"/>
    <w:rsid w:val="002C218F"/>
    <w:rsid w:val="002C2464"/>
    <w:rsid w:val="002C2AB0"/>
    <w:rsid w:val="002C42D2"/>
    <w:rsid w:val="002C68A0"/>
    <w:rsid w:val="002C7A18"/>
    <w:rsid w:val="002D127E"/>
    <w:rsid w:val="002D2044"/>
    <w:rsid w:val="002D2D56"/>
    <w:rsid w:val="002D3FF3"/>
    <w:rsid w:val="002D5E8C"/>
    <w:rsid w:val="002D7F75"/>
    <w:rsid w:val="002F13AB"/>
    <w:rsid w:val="002F327C"/>
    <w:rsid w:val="002F35E6"/>
    <w:rsid w:val="002F4C59"/>
    <w:rsid w:val="002F7666"/>
    <w:rsid w:val="00302029"/>
    <w:rsid w:val="00302C28"/>
    <w:rsid w:val="00303FAE"/>
    <w:rsid w:val="0031063D"/>
    <w:rsid w:val="0031209C"/>
    <w:rsid w:val="00312291"/>
    <w:rsid w:val="0031574C"/>
    <w:rsid w:val="00316B1F"/>
    <w:rsid w:val="00321068"/>
    <w:rsid w:val="00321747"/>
    <w:rsid w:val="00323779"/>
    <w:rsid w:val="00323D27"/>
    <w:rsid w:val="003343F9"/>
    <w:rsid w:val="0033495F"/>
    <w:rsid w:val="0033735F"/>
    <w:rsid w:val="0034247B"/>
    <w:rsid w:val="00343C5C"/>
    <w:rsid w:val="0034511C"/>
    <w:rsid w:val="00347818"/>
    <w:rsid w:val="00351653"/>
    <w:rsid w:val="00351B80"/>
    <w:rsid w:val="003524E5"/>
    <w:rsid w:val="00352D66"/>
    <w:rsid w:val="00354AA2"/>
    <w:rsid w:val="00355C73"/>
    <w:rsid w:val="00355E0D"/>
    <w:rsid w:val="003624B4"/>
    <w:rsid w:val="00366AE2"/>
    <w:rsid w:val="00370C48"/>
    <w:rsid w:val="0037179E"/>
    <w:rsid w:val="003717FC"/>
    <w:rsid w:val="003749AB"/>
    <w:rsid w:val="0037617E"/>
    <w:rsid w:val="003A0FF2"/>
    <w:rsid w:val="003A42DE"/>
    <w:rsid w:val="003A4E55"/>
    <w:rsid w:val="003B00D3"/>
    <w:rsid w:val="003B3398"/>
    <w:rsid w:val="003B47F1"/>
    <w:rsid w:val="003C00A7"/>
    <w:rsid w:val="003C531E"/>
    <w:rsid w:val="003C6B07"/>
    <w:rsid w:val="003C6B16"/>
    <w:rsid w:val="003D11BE"/>
    <w:rsid w:val="003D3FEE"/>
    <w:rsid w:val="003E436D"/>
    <w:rsid w:val="003E59FE"/>
    <w:rsid w:val="003F1870"/>
    <w:rsid w:val="00405EAE"/>
    <w:rsid w:val="004065DD"/>
    <w:rsid w:val="00412FE7"/>
    <w:rsid w:val="00413928"/>
    <w:rsid w:val="00423538"/>
    <w:rsid w:val="004341B4"/>
    <w:rsid w:val="00441258"/>
    <w:rsid w:val="00445ED9"/>
    <w:rsid w:val="00447AC0"/>
    <w:rsid w:val="00451A6D"/>
    <w:rsid w:val="00465A25"/>
    <w:rsid w:val="0047216B"/>
    <w:rsid w:val="004762F1"/>
    <w:rsid w:val="00480A33"/>
    <w:rsid w:val="00485185"/>
    <w:rsid w:val="004873E8"/>
    <w:rsid w:val="00495349"/>
    <w:rsid w:val="00495EB5"/>
    <w:rsid w:val="00496EB5"/>
    <w:rsid w:val="004B2A9C"/>
    <w:rsid w:val="004C0465"/>
    <w:rsid w:val="004C591E"/>
    <w:rsid w:val="004C7418"/>
    <w:rsid w:val="004D082C"/>
    <w:rsid w:val="004E578E"/>
    <w:rsid w:val="004E7369"/>
    <w:rsid w:val="004F00F9"/>
    <w:rsid w:val="004F3097"/>
    <w:rsid w:val="004F33AD"/>
    <w:rsid w:val="004F4FD4"/>
    <w:rsid w:val="00504971"/>
    <w:rsid w:val="00506A7D"/>
    <w:rsid w:val="00506D76"/>
    <w:rsid w:val="005111CC"/>
    <w:rsid w:val="00511630"/>
    <w:rsid w:val="00511FFC"/>
    <w:rsid w:val="00517F10"/>
    <w:rsid w:val="0052156A"/>
    <w:rsid w:val="00523D82"/>
    <w:rsid w:val="00525A8B"/>
    <w:rsid w:val="00525FCB"/>
    <w:rsid w:val="005301CF"/>
    <w:rsid w:val="00530C7C"/>
    <w:rsid w:val="00531A65"/>
    <w:rsid w:val="00532E4A"/>
    <w:rsid w:val="00534CD9"/>
    <w:rsid w:val="005405B3"/>
    <w:rsid w:val="0054119A"/>
    <w:rsid w:val="0055172B"/>
    <w:rsid w:val="005571B1"/>
    <w:rsid w:val="00557342"/>
    <w:rsid w:val="00560427"/>
    <w:rsid w:val="00564DA7"/>
    <w:rsid w:val="00565748"/>
    <w:rsid w:val="005705D4"/>
    <w:rsid w:val="00573C5D"/>
    <w:rsid w:val="00575C42"/>
    <w:rsid w:val="00576A45"/>
    <w:rsid w:val="0057726B"/>
    <w:rsid w:val="0058556F"/>
    <w:rsid w:val="00586D91"/>
    <w:rsid w:val="00586EB6"/>
    <w:rsid w:val="005925FC"/>
    <w:rsid w:val="00594663"/>
    <w:rsid w:val="0059689A"/>
    <w:rsid w:val="00597864"/>
    <w:rsid w:val="005A00A8"/>
    <w:rsid w:val="005A1443"/>
    <w:rsid w:val="005A1AD9"/>
    <w:rsid w:val="005A37C9"/>
    <w:rsid w:val="005B3D8D"/>
    <w:rsid w:val="005B7851"/>
    <w:rsid w:val="005B7C2E"/>
    <w:rsid w:val="005C31C4"/>
    <w:rsid w:val="005C37D0"/>
    <w:rsid w:val="005C69F8"/>
    <w:rsid w:val="005D305E"/>
    <w:rsid w:val="005E3057"/>
    <w:rsid w:val="005E3F4E"/>
    <w:rsid w:val="005E5A03"/>
    <w:rsid w:val="005F3C77"/>
    <w:rsid w:val="005F58C7"/>
    <w:rsid w:val="005F6811"/>
    <w:rsid w:val="00601B09"/>
    <w:rsid w:val="0060333D"/>
    <w:rsid w:val="00611216"/>
    <w:rsid w:val="00611520"/>
    <w:rsid w:val="0061262D"/>
    <w:rsid w:val="0061281D"/>
    <w:rsid w:val="00615051"/>
    <w:rsid w:val="00615F11"/>
    <w:rsid w:val="006205E2"/>
    <w:rsid w:val="006226C6"/>
    <w:rsid w:val="00624045"/>
    <w:rsid w:val="006255CC"/>
    <w:rsid w:val="00631CC7"/>
    <w:rsid w:val="00632EAA"/>
    <w:rsid w:val="00633703"/>
    <w:rsid w:val="0063376A"/>
    <w:rsid w:val="00634358"/>
    <w:rsid w:val="006343B5"/>
    <w:rsid w:val="00634A73"/>
    <w:rsid w:val="006351F4"/>
    <w:rsid w:val="00635215"/>
    <w:rsid w:val="00635527"/>
    <w:rsid w:val="00637DEB"/>
    <w:rsid w:val="00641BB6"/>
    <w:rsid w:val="0065266B"/>
    <w:rsid w:val="00652F61"/>
    <w:rsid w:val="00661CF3"/>
    <w:rsid w:val="006634B1"/>
    <w:rsid w:val="006658A2"/>
    <w:rsid w:val="00670B5D"/>
    <w:rsid w:val="006736A6"/>
    <w:rsid w:val="00674B26"/>
    <w:rsid w:val="00675CFD"/>
    <w:rsid w:val="0068259E"/>
    <w:rsid w:val="00686C60"/>
    <w:rsid w:val="006921E1"/>
    <w:rsid w:val="00693B0D"/>
    <w:rsid w:val="006968EA"/>
    <w:rsid w:val="006A0700"/>
    <w:rsid w:val="006A20E6"/>
    <w:rsid w:val="006A2AAA"/>
    <w:rsid w:val="006A2EB5"/>
    <w:rsid w:val="006B2A89"/>
    <w:rsid w:val="006B344E"/>
    <w:rsid w:val="006B35B2"/>
    <w:rsid w:val="006B555B"/>
    <w:rsid w:val="006B6799"/>
    <w:rsid w:val="006C6E29"/>
    <w:rsid w:val="006C6F6C"/>
    <w:rsid w:val="006D07B9"/>
    <w:rsid w:val="006D0993"/>
    <w:rsid w:val="006D378E"/>
    <w:rsid w:val="006D3824"/>
    <w:rsid w:val="006D595E"/>
    <w:rsid w:val="006D71F1"/>
    <w:rsid w:val="006E2D1D"/>
    <w:rsid w:val="006E6449"/>
    <w:rsid w:val="006F4523"/>
    <w:rsid w:val="006F6A2E"/>
    <w:rsid w:val="006F725D"/>
    <w:rsid w:val="006F7717"/>
    <w:rsid w:val="0070621B"/>
    <w:rsid w:val="00711FE9"/>
    <w:rsid w:val="0071280C"/>
    <w:rsid w:val="00716EF2"/>
    <w:rsid w:val="00726567"/>
    <w:rsid w:val="00730800"/>
    <w:rsid w:val="00732EE4"/>
    <w:rsid w:val="00736063"/>
    <w:rsid w:val="00742161"/>
    <w:rsid w:val="00742EA2"/>
    <w:rsid w:val="00743DE7"/>
    <w:rsid w:val="00744AFA"/>
    <w:rsid w:val="00744BDF"/>
    <w:rsid w:val="00747176"/>
    <w:rsid w:val="0075018F"/>
    <w:rsid w:val="0076369E"/>
    <w:rsid w:val="00765709"/>
    <w:rsid w:val="00766C79"/>
    <w:rsid w:val="00770E7F"/>
    <w:rsid w:val="00771BB0"/>
    <w:rsid w:val="00775074"/>
    <w:rsid w:val="0077693D"/>
    <w:rsid w:val="0077719E"/>
    <w:rsid w:val="00777828"/>
    <w:rsid w:val="00782446"/>
    <w:rsid w:val="007844F9"/>
    <w:rsid w:val="00785806"/>
    <w:rsid w:val="00786AC2"/>
    <w:rsid w:val="007871A5"/>
    <w:rsid w:val="00791D48"/>
    <w:rsid w:val="007A3F4D"/>
    <w:rsid w:val="007A5C88"/>
    <w:rsid w:val="007B265E"/>
    <w:rsid w:val="007C0FEF"/>
    <w:rsid w:val="007C196D"/>
    <w:rsid w:val="007C250E"/>
    <w:rsid w:val="007C264C"/>
    <w:rsid w:val="007C4990"/>
    <w:rsid w:val="007D00F1"/>
    <w:rsid w:val="007D27C7"/>
    <w:rsid w:val="007D3BA7"/>
    <w:rsid w:val="007D4432"/>
    <w:rsid w:val="007E1C8C"/>
    <w:rsid w:val="007E3BF9"/>
    <w:rsid w:val="007E701F"/>
    <w:rsid w:val="007F0F43"/>
    <w:rsid w:val="007F4412"/>
    <w:rsid w:val="007F4468"/>
    <w:rsid w:val="007F62B6"/>
    <w:rsid w:val="007F7839"/>
    <w:rsid w:val="00800051"/>
    <w:rsid w:val="00804386"/>
    <w:rsid w:val="008134CE"/>
    <w:rsid w:val="008151BB"/>
    <w:rsid w:val="008235A6"/>
    <w:rsid w:val="00825BFF"/>
    <w:rsid w:val="008407E1"/>
    <w:rsid w:val="0085425F"/>
    <w:rsid w:val="00863202"/>
    <w:rsid w:val="0086390F"/>
    <w:rsid w:val="00864389"/>
    <w:rsid w:val="008713D5"/>
    <w:rsid w:val="00874B10"/>
    <w:rsid w:val="00874CC9"/>
    <w:rsid w:val="008759F4"/>
    <w:rsid w:val="008763B7"/>
    <w:rsid w:val="00877CCC"/>
    <w:rsid w:val="00877F2B"/>
    <w:rsid w:val="008809C2"/>
    <w:rsid w:val="00882188"/>
    <w:rsid w:val="00883A1B"/>
    <w:rsid w:val="00886ABA"/>
    <w:rsid w:val="00892825"/>
    <w:rsid w:val="008966E3"/>
    <w:rsid w:val="008A01E9"/>
    <w:rsid w:val="008A321A"/>
    <w:rsid w:val="008A3A9A"/>
    <w:rsid w:val="008A4445"/>
    <w:rsid w:val="008A49BC"/>
    <w:rsid w:val="008A56A3"/>
    <w:rsid w:val="008B45C4"/>
    <w:rsid w:val="008B62DA"/>
    <w:rsid w:val="008B7040"/>
    <w:rsid w:val="008C29EA"/>
    <w:rsid w:val="008C306F"/>
    <w:rsid w:val="008C34E5"/>
    <w:rsid w:val="008C4183"/>
    <w:rsid w:val="008C641E"/>
    <w:rsid w:val="008D0C9F"/>
    <w:rsid w:val="008D4483"/>
    <w:rsid w:val="008D721A"/>
    <w:rsid w:val="008D7960"/>
    <w:rsid w:val="008E3A8C"/>
    <w:rsid w:val="008E5F86"/>
    <w:rsid w:val="008F1E98"/>
    <w:rsid w:val="008F43F4"/>
    <w:rsid w:val="008F4440"/>
    <w:rsid w:val="00900491"/>
    <w:rsid w:val="00901219"/>
    <w:rsid w:val="00904541"/>
    <w:rsid w:val="009056F9"/>
    <w:rsid w:val="009113EA"/>
    <w:rsid w:val="00911601"/>
    <w:rsid w:val="00911F3D"/>
    <w:rsid w:val="009156BF"/>
    <w:rsid w:val="0092188E"/>
    <w:rsid w:val="0092538F"/>
    <w:rsid w:val="009300C5"/>
    <w:rsid w:val="00930AFD"/>
    <w:rsid w:val="00931BEC"/>
    <w:rsid w:val="00933600"/>
    <w:rsid w:val="0093466A"/>
    <w:rsid w:val="00935EDF"/>
    <w:rsid w:val="00937017"/>
    <w:rsid w:val="009431B2"/>
    <w:rsid w:val="00945DCA"/>
    <w:rsid w:val="00946FF7"/>
    <w:rsid w:val="009506E0"/>
    <w:rsid w:val="00951CAD"/>
    <w:rsid w:val="00954A54"/>
    <w:rsid w:val="00962A91"/>
    <w:rsid w:val="009641CB"/>
    <w:rsid w:val="00966A46"/>
    <w:rsid w:val="009717F3"/>
    <w:rsid w:val="00972EF3"/>
    <w:rsid w:val="00973189"/>
    <w:rsid w:val="00975A9C"/>
    <w:rsid w:val="0097780C"/>
    <w:rsid w:val="009778A4"/>
    <w:rsid w:val="00981285"/>
    <w:rsid w:val="00981F08"/>
    <w:rsid w:val="009828EC"/>
    <w:rsid w:val="00984F76"/>
    <w:rsid w:val="00987B61"/>
    <w:rsid w:val="009908C1"/>
    <w:rsid w:val="0099680F"/>
    <w:rsid w:val="009A136D"/>
    <w:rsid w:val="009A37F4"/>
    <w:rsid w:val="009A7251"/>
    <w:rsid w:val="009B7564"/>
    <w:rsid w:val="009C1026"/>
    <w:rsid w:val="009C116C"/>
    <w:rsid w:val="009C16BF"/>
    <w:rsid w:val="009C1D38"/>
    <w:rsid w:val="009C3A3E"/>
    <w:rsid w:val="009C4045"/>
    <w:rsid w:val="009C6B23"/>
    <w:rsid w:val="009C7443"/>
    <w:rsid w:val="009D0BA0"/>
    <w:rsid w:val="009D1137"/>
    <w:rsid w:val="009E1D8D"/>
    <w:rsid w:val="009E3373"/>
    <w:rsid w:val="009E3BE9"/>
    <w:rsid w:val="009F00C0"/>
    <w:rsid w:val="009F054D"/>
    <w:rsid w:val="009F2BB1"/>
    <w:rsid w:val="009F2F64"/>
    <w:rsid w:val="009F36E1"/>
    <w:rsid w:val="009F684C"/>
    <w:rsid w:val="009F759D"/>
    <w:rsid w:val="009F7AEC"/>
    <w:rsid w:val="00A025C2"/>
    <w:rsid w:val="00A03057"/>
    <w:rsid w:val="00A05467"/>
    <w:rsid w:val="00A145C2"/>
    <w:rsid w:val="00A15528"/>
    <w:rsid w:val="00A2661C"/>
    <w:rsid w:val="00A31C13"/>
    <w:rsid w:val="00A330C4"/>
    <w:rsid w:val="00A343DE"/>
    <w:rsid w:val="00A3595E"/>
    <w:rsid w:val="00A4416F"/>
    <w:rsid w:val="00A448BF"/>
    <w:rsid w:val="00A44A87"/>
    <w:rsid w:val="00A4720D"/>
    <w:rsid w:val="00A5055D"/>
    <w:rsid w:val="00A60C6D"/>
    <w:rsid w:val="00A627C7"/>
    <w:rsid w:val="00A6481B"/>
    <w:rsid w:val="00A67696"/>
    <w:rsid w:val="00A72414"/>
    <w:rsid w:val="00A77289"/>
    <w:rsid w:val="00A773CE"/>
    <w:rsid w:val="00A80091"/>
    <w:rsid w:val="00A80852"/>
    <w:rsid w:val="00A80FDB"/>
    <w:rsid w:val="00A83864"/>
    <w:rsid w:val="00A87227"/>
    <w:rsid w:val="00A87BEE"/>
    <w:rsid w:val="00A9296F"/>
    <w:rsid w:val="00A93C9C"/>
    <w:rsid w:val="00A958AF"/>
    <w:rsid w:val="00A96CB3"/>
    <w:rsid w:val="00A97525"/>
    <w:rsid w:val="00A975F5"/>
    <w:rsid w:val="00AA1C23"/>
    <w:rsid w:val="00AA5CDB"/>
    <w:rsid w:val="00AA6D92"/>
    <w:rsid w:val="00AA7E81"/>
    <w:rsid w:val="00AB1B10"/>
    <w:rsid w:val="00AB1DE4"/>
    <w:rsid w:val="00AB7E65"/>
    <w:rsid w:val="00AC12FA"/>
    <w:rsid w:val="00AC20E1"/>
    <w:rsid w:val="00AC3D3E"/>
    <w:rsid w:val="00AC4DC4"/>
    <w:rsid w:val="00AD038E"/>
    <w:rsid w:val="00AD204F"/>
    <w:rsid w:val="00AD3945"/>
    <w:rsid w:val="00AE3005"/>
    <w:rsid w:val="00AE47D7"/>
    <w:rsid w:val="00AE56A6"/>
    <w:rsid w:val="00AF2476"/>
    <w:rsid w:val="00AF539B"/>
    <w:rsid w:val="00B024A4"/>
    <w:rsid w:val="00B030BB"/>
    <w:rsid w:val="00B04942"/>
    <w:rsid w:val="00B06C21"/>
    <w:rsid w:val="00B11787"/>
    <w:rsid w:val="00B12065"/>
    <w:rsid w:val="00B13257"/>
    <w:rsid w:val="00B17310"/>
    <w:rsid w:val="00B2292B"/>
    <w:rsid w:val="00B238CB"/>
    <w:rsid w:val="00B30DAE"/>
    <w:rsid w:val="00B31E73"/>
    <w:rsid w:val="00B329E6"/>
    <w:rsid w:val="00B33AB5"/>
    <w:rsid w:val="00B41866"/>
    <w:rsid w:val="00B55BA5"/>
    <w:rsid w:val="00B5663B"/>
    <w:rsid w:val="00B5678F"/>
    <w:rsid w:val="00B606B1"/>
    <w:rsid w:val="00B60851"/>
    <w:rsid w:val="00B635D0"/>
    <w:rsid w:val="00B6575C"/>
    <w:rsid w:val="00B70927"/>
    <w:rsid w:val="00B73FAD"/>
    <w:rsid w:val="00B74FB6"/>
    <w:rsid w:val="00B75D6D"/>
    <w:rsid w:val="00B938DD"/>
    <w:rsid w:val="00B95CB8"/>
    <w:rsid w:val="00B9779D"/>
    <w:rsid w:val="00BA029A"/>
    <w:rsid w:val="00BA3360"/>
    <w:rsid w:val="00BA34F8"/>
    <w:rsid w:val="00BA3FC5"/>
    <w:rsid w:val="00BA541C"/>
    <w:rsid w:val="00BA65D0"/>
    <w:rsid w:val="00BA700C"/>
    <w:rsid w:val="00BB2608"/>
    <w:rsid w:val="00BB6749"/>
    <w:rsid w:val="00BB7B55"/>
    <w:rsid w:val="00BC3459"/>
    <w:rsid w:val="00BC5010"/>
    <w:rsid w:val="00BC647C"/>
    <w:rsid w:val="00BD0117"/>
    <w:rsid w:val="00BD3F57"/>
    <w:rsid w:val="00BD56C3"/>
    <w:rsid w:val="00BD6CE5"/>
    <w:rsid w:val="00BD757A"/>
    <w:rsid w:val="00BE376C"/>
    <w:rsid w:val="00BE5A12"/>
    <w:rsid w:val="00BE5F9C"/>
    <w:rsid w:val="00BE6736"/>
    <w:rsid w:val="00BE75D7"/>
    <w:rsid w:val="00BF1494"/>
    <w:rsid w:val="00BF173F"/>
    <w:rsid w:val="00BF4903"/>
    <w:rsid w:val="00BF7139"/>
    <w:rsid w:val="00C00DEA"/>
    <w:rsid w:val="00C01659"/>
    <w:rsid w:val="00C10020"/>
    <w:rsid w:val="00C11601"/>
    <w:rsid w:val="00C12218"/>
    <w:rsid w:val="00C138A9"/>
    <w:rsid w:val="00C164A4"/>
    <w:rsid w:val="00C21B40"/>
    <w:rsid w:val="00C22469"/>
    <w:rsid w:val="00C249B8"/>
    <w:rsid w:val="00C30270"/>
    <w:rsid w:val="00C30BB9"/>
    <w:rsid w:val="00C33B77"/>
    <w:rsid w:val="00C341CF"/>
    <w:rsid w:val="00C35BE5"/>
    <w:rsid w:val="00C36380"/>
    <w:rsid w:val="00C37113"/>
    <w:rsid w:val="00C374FA"/>
    <w:rsid w:val="00C40A19"/>
    <w:rsid w:val="00C41BF5"/>
    <w:rsid w:val="00C4378B"/>
    <w:rsid w:val="00C4687B"/>
    <w:rsid w:val="00C511E6"/>
    <w:rsid w:val="00C54C8C"/>
    <w:rsid w:val="00C57E17"/>
    <w:rsid w:val="00C6664A"/>
    <w:rsid w:val="00C67598"/>
    <w:rsid w:val="00C711EA"/>
    <w:rsid w:val="00C7169B"/>
    <w:rsid w:val="00C76D71"/>
    <w:rsid w:val="00C82644"/>
    <w:rsid w:val="00C94119"/>
    <w:rsid w:val="00C949BB"/>
    <w:rsid w:val="00C94B59"/>
    <w:rsid w:val="00C9633C"/>
    <w:rsid w:val="00C971BE"/>
    <w:rsid w:val="00C979A4"/>
    <w:rsid w:val="00CA324E"/>
    <w:rsid w:val="00CA4D84"/>
    <w:rsid w:val="00CB0848"/>
    <w:rsid w:val="00CB4E4C"/>
    <w:rsid w:val="00CB6D91"/>
    <w:rsid w:val="00CB7FF8"/>
    <w:rsid w:val="00CC166A"/>
    <w:rsid w:val="00CC2EF3"/>
    <w:rsid w:val="00CC520A"/>
    <w:rsid w:val="00CC7150"/>
    <w:rsid w:val="00CC71FB"/>
    <w:rsid w:val="00CC7378"/>
    <w:rsid w:val="00CD2C92"/>
    <w:rsid w:val="00CD3D6D"/>
    <w:rsid w:val="00CE17BC"/>
    <w:rsid w:val="00CF0581"/>
    <w:rsid w:val="00CF247F"/>
    <w:rsid w:val="00CF7147"/>
    <w:rsid w:val="00CF736C"/>
    <w:rsid w:val="00D01E8A"/>
    <w:rsid w:val="00D032BC"/>
    <w:rsid w:val="00D04BD8"/>
    <w:rsid w:val="00D04EE3"/>
    <w:rsid w:val="00D07310"/>
    <w:rsid w:val="00D101EF"/>
    <w:rsid w:val="00D1067B"/>
    <w:rsid w:val="00D1116C"/>
    <w:rsid w:val="00D11DD0"/>
    <w:rsid w:val="00D12D71"/>
    <w:rsid w:val="00D135AB"/>
    <w:rsid w:val="00D14CE7"/>
    <w:rsid w:val="00D14D52"/>
    <w:rsid w:val="00D16EE6"/>
    <w:rsid w:val="00D175FB"/>
    <w:rsid w:val="00D17E79"/>
    <w:rsid w:val="00D21983"/>
    <w:rsid w:val="00D3394F"/>
    <w:rsid w:val="00D34492"/>
    <w:rsid w:val="00D4104B"/>
    <w:rsid w:val="00D415F8"/>
    <w:rsid w:val="00D42B4A"/>
    <w:rsid w:val="00D516B2"/>
    <w:rsid w:val="00D51D0D"/>
    <w:rsid w:val="00D527D8"/>
    <w:rsid w:val="00D52E56"/>
    <w:rsid w:val="00D57E55"/>
    <w:rsid w:val="00D64231"/>
    <w:rsid w:val="00D65DB2"/>
    <w:rsid w:val="00D709D0"/>
    <w:rsid w:val="00D7279C"/>
    <w:rsid w:val="00D773DA"/>
    <w:rsid w:val="00D77C11"/>
    <w:rsid w:val="00D80481"/>
    <w:rsid w:val="00D80EBC"/>
    <w:rsid w:val="00D82493"/>
    <w:rsid w:val="00D8318A"/>
    <w:rsid w:val="00D8334B"/>
    <w:rsid w:val="00D84490"/>
    <w:rsid w:val="00D85E07"/>
    <w:rsid w:val="00D86DC0"/>
    <w:rsid w:val="00D873F6"/>
    <w:rsid w:val="00D90A3B"/>
    <w:rsid w:val="00D92F6D"/>
    <w:rsid w:val="00D96484"/>
    <w:rsid w:val="00DA5484"/>
    <w:rsid w:val="00DA6AEA"/>
    <w:rsid w:val="00DA765B"/>
    <w:rsid w:val="00DB1301"/>
    <w:rsid w:val="00DB284F"/>
    <w:rsid w:val="00DB342D"/>
    <w:rsid w:val="00DC39EE"/>
    <w:rsid w:val="00DC71DB"/>
    <w:rsid w:val="00DD1387"/>
    <w:rsid w:val="00DD39C7"/>
    <w:rsid w:val="00DE5D1E"/>
    <w:rsid w:val="00DF0543"/>
    <w:rsid w:val="00DF0654"/>
    <w:rsid w:val="00DF2216"/>
    <w:rsid w:val="00DF2670"/>
    <w:rsid w:val="00DF2730"/>
    <w:rsid w:val="00DF5AD8"/>
    <w:rsid w:val="00E02EC0"/>
    <w:rsid w:val="00E07B96"/>
    <w:rsid w:val="00E211F5"/>
    <w:rsid w:val="00E26735"/>
    <w:rsid w:val="00E30825"/>
    <w:rsid w:val="00E40579"/>
    <w:rsid w:val="00E437CF"/>
    <w:rsid w:val="00E44FF9"/>
    <w:rsid w:val="00E53472"/>
    <w:rsid w:val="00E53CAF"/>
    <w:rsid w:val="00E57AF3"/>
    <w:rsid w:val="00E611E9"/>
    <w:rsid w:val="00E63CC0"/>
    <w:rsid w:val="00E647A0"/>
    <w:rsid w:val="00E64DB7"/>
    <w:rsid w:val="00E730F3"/>
    <w:rsid w:val="00E742F2"/>
    <w:rsid w:val="00E74EC1"/>
    <w:rsid w:val="00E806F5"/>
    <w:rsid w:val="00E86190"/>
    <w:rsid w:val="00E87018"/>
    <w:rsid w:val="00E87B28"/>
    <w:rsid w:val="00E87F94"/>
    <w:rsid w:val="00E91CD1"/>
    <w:rsid w:val="00E93F33"/>
    <w:rsid w:val="00E963CE"/>
    <w:rsid w:val="00E96D12"/>
    <w:rsid w:val="00E97CB9"/>
    <w:rsid w:val="00EA2F74"/>
    <w:rsid w:val="00EB1943"/>
    <w:rsid w:val="00EB3378"/>
    <w:rsid w:val="00EB3F6A"/>
    <w:rsid w:val="00EB54B5"/>
    <w:rsid w:val="00EC2E1E"/>
    <w:rsid w:val="00EC5732"/>
    <w:rsid w:val="00ED0A9E"/>
    <w:rsid w:val="00ED44BA"/>
    <w:rsid w:val="00ED5E8E"/>
    <w:rsid w:val="00EE027D"/>
    <w:rsid w:val="00EE760E"/>
    <w:rsid w:val="00EF2715"/>
    <w:rsid w:val="00EF361D"/>
    <w:rsid w:val="00EF3BD7"/>
    <w:rsid w:val="00EF6CCA"/>
    <w:rsid w:val="00F02F93"/>
    <w:rsid w:val="00F041BA"/>
    <w:rsid w:val="00F07B06"/>
    <w:rsid w:val="00F07FA1"/>
    <w:rsid w:val="00F10D23"/>
    <w:rsid w:val="00F1149F"/>
    <w:rsid w:val="00F12768"/>
    <w:rsid w:val="00F143F5"/>
    <w:rsid w:val="00F14EA6"/>
    <w:rsid w:val="00F1627D"/>
    <w:rsid w:val="00F20A80"/>
    <w:rsid w:val="00F21A4B"/>
    <w:rsid w:val="00F3251E"/>
    <w:rsid w:val="00F32608"/>
    <w:rsid w:val="00F340D4"/>
    <w:rsid w:val="00F3776A"/>
    <w:rsid w:val="00F4061C"/>
    <w:rsid w:val="00F4139B"/>
    <w:rsid w:val="00F43DDE"/>
    <w:rsid w:val="00F51BA9"/>
    <w:rsid w:val="00F51F47"/>
    <w:rsid w:val="00F547F1"/>
    <w:rsid w:val="00F568E0"/>
    <w:rsid w:val="00F626C0"/>
    <w:rsid w:val="00F639CF"/>
    <w:rsid w:val="00F63CDB"/>
    <w:rsid w:val="00F66640"/>
    <w:rsid w:val="00F767FE"/>
    <w:rsid w:val="00F76937"/>
    <w:rsid w:val="00F77295"/>
    <w:rsid w:val="00F81C1F"/>
    <w:rsid w:val="00F84974"/>
    <w:rsid w:val="00F87022"/>
    <w:rsid w:val="00F90DC1"/>
    <w:rsid w:val="00F9351B"/>
    <w:rsid w:val="00FA1D9A"/>
    <w:rsid w:val="00FA22AF"/>
    <w:rsid w:val="00FA2993"/>
    <w:rsid w:val="00FA2FF5"/>
    <w:rsid w:val="00FA67C0"/>
    <w:rsid w:val="00FB0184"/>
    <w:rsid w:val="00FB4D3E"/>
    <w:rsid w:val="00FB4E6E"/>
    <w:rsid w:val="00FC0273"/>
    <w:rsid w:val="00FC0C0F"/>
    <w:rsid w:val="00FC2DF0"/>
    <w:rsid w:val="00FC4725"/>
    <w:rsid w:val="00FC4813"/>
    <w:rsid w:val="00FC4ED8"/>
    <w:rsid w:val="00FC613E"/>
    <w:rsid w:val="00FC6B80"/>
    <w:rsid w:val="00FC6CA1"/>
    <w:rsid w:val="00FD317E"/>
    <w:rsid w:val="00FD5831"/>
    <w:rsid w:val="00FD6FD5"/>
    <w:rsid w:val="00FE3C78"/>
    <w:rsid w:val="00FE476F"/>
    <w:rsid w:val="00FF1E97"/>
    <w:rsid w:val="00FF5783"/>
    <w:rsid w:val="00FF6C39"/>
    <w:rsid w:val="0100D07F"/>
    <w:rsid w:val="012B7E23"/>
    <w:rsid w:val="01427B94"/>
    <w:rsid w:val="022C0C70"/>
    <w:rsid w:val="026E497E"/>
    <w:rsid w:val="0406F2B1"/>
    <w:rsid w:val="04EB9BAA"/>
    <w:rsid w:val="053C8DC2"/>
    <w:rsid w:val="05C072E5"/>
    <w:rsid w:val="061EE5CE"/>
    <w:rsid w:val="066636ED"/>
    <w:rsid w:val="0741BAA1"/>
    <w:rsid w:val="07BAB62F"/>
    <w:rsid w:val="08624999"/>
    <w:rsid w:val="08BDBA2B"/>
    <w:rsid w:val="0A795B63"/>
    <w:rsid w:val="0AE7C217"/>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9BA7449"/>
    <w:rsid w:val="1A3663CD"/>
    <w:rsid w:val="1B897297"/>
    <w:rsid w:val="1D73FD00"/>
    <w:rsid w:val="1D8A9227"/>
    <w:rsid w:val="1DCB177C"/>
    <w:rsid w:val="1DE275A0"/>
    <w:rsid w:val="1E3E6500"/>
    <w:rsid w:val="1EF88F46"/>
    <w:rsid w:val="1FAFCC66"/>
    <w:rsid w:val="20EF5200"/>
    <w:rsid w:val="21D3B298"/>
    <w:rsid w:val="21E019B6"/>
    <w:rsid w:val="22173CF7"/>
    <w:rsid w:val="22242253"/>
    <w:rsid w:val="2259356D"/>
    <w:rsid w:val="232923D0"/>
    <w:rsid w:val="23459D0C"/>
    <w:rsid w:val="248F4127"/>
    <w:rsid w:val="249E222A"/>
    <w:rsid w:val="26A9A53C"/>
    <w:rsid w:val="26F6D672"/>
    <w:rsid w:val="27623DE6"/>
    <w:rsid w:val="282F3618"/>
    <w:rsid w:val="29FC1AE8"/>
    <w:rsid w:val="2AE1B6B7"/>
    <w:rsid w:val="2AE79E71"/>
    <w:rsid w:val="2AF5D78B"/>
    <w:rsid w:val="2BDF0338"/>
    <w:rsid w:val="2C2F6F28"/>
    <w:rsid w:val="2CF533C7"/>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08714"/>
    <w:rsid w:val="49AAD572"/>
    <w:rsid w:val="4AF457DF"/>
    <w:rsid w:val="4B409B22"/>
    <w:rsid w:val="4D3433F4"/>
    <w:rsid w:val="4D45AE2A"/>
    <w:rsid w:val="4EB5970F"/>
    <w:rsid w:val="4F3CC75C"/>
    <w:rsid w:val="515F5732"/>
    <w:rsid w:val="51AD1D19"/>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127CCD"/>
    <w:rsid w:val="675A84C2"/>
    <w:rsid w:val="67CD610C"/>
    <w:rsid w:val="6A1CED46"/>
    <w:rsid w:val="6AF4B7AD"/>
    <w:rsid w:val="6B6CA528"/>
    <w:rsid w:val="6BB8BDA7"/>
    <w:rsid w:val="6BC51F58"/>
    <w:rsid w:val="6CAA19FA"/>
    <w:rsid w:val="6D09AFC2"/>
    <w:rsid w:val="6D407278"/>
    <w:rsid w:val="6D53E1DA"/>
    <w:rsid w:val="6E776DB3"/>
    <w:rsid w:val="6EE9C512"/>
    <w:rsid w:val="6FB44F01"/>
    <w:rsid w:val="70125987"/>
    <w:rsid w:val="712DA350"/>
    <w:rsid w:val="7170D29C"/>
    <w:rsid w:val="722458E0"/>
    <w:rsid w:val="7306BEE6"/>
    <w:rsid w:val="73C6F265"/>
    <w:rsid w:val="74B9330C"/>
    <w:rsid w:val="7557E461"/>
    <w:rsid w:val="756F79F5"/>
    <w:rsid w:val="772D2BEE"/>
    <w:rsid w:val="7A7156FE"/>
    <w:rsid w:val="7BFEB2F4"/>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FF9"/>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3717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3717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37179E"/>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37179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E2ABE"/>
    <w:rsid w:val="0012395D"/>
    <w:rsid w:val="00137BF8"/>
    <w:rsid w:val="001E2AC0"/>
    <w:rsid w:val="0024665A"/>
    <w:rsid w:val="00277029"/>
    <w:rsid w:val="002F13AB"/>
    <w:rsid w:val="003B38E0"/>
    <w:rsid w:val="004214D0"/>
    <w:rsid w:val="00465A25"/>
    <w:rsid w:val="004C209E"/>
    <w:rsid w:val="004C591E"/>
    <w:rsid w:val="005055C9"/>
    <w:rsid w:val="00523D82"/>
    <w:rsid w:val="005301CF"/>
    <w:rsid w:val="00617896"/>
    <w:rsid w:val="00633DBA"/>
    <w:rsid w:val="00730800"/>
    <w:rsid w:val="0077693D"/>
    <w:rsid w:val="007D5396"/>
    <w:rsid w:val="007E66CB"/>
    <w:rsid w:val="007F6529"/>
    <w:rsid w:val="00824C76"/>
    <w:rsid w:val="008C4978"/>
    <w:rsid w:val="00962A91"/>
    <w:rsid w:val="009A37F4"/>
    <w:rsid w:val="009F054D"/>
    <w:rsid w:val="00A64C82"/>
    <w:rsid w:val="00C11601"/>
    <w:rsid w:val="00C30190"/>
    <w:rsid w:val="00DF3A61"/>
    <w:rsid w:val="00DF51C9"/>
    <w:rsid w:val="00E87B28"/>
    <w:rsid w:val="00EC2E1E"/>
    <w:rsid w:val="00F4139B"/>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59DFEE-A392-42B8-993F-EF19092DF1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18</Pages>
  <Words>4342</Words>
  <Characters>23453</Characters>
  <Application>Microsoft Office Word</Application>
  <DocSecurity>0</DocSecurity>
  <Lines>195</Lines>
  <Paragraphs>55</Paragraphs>
  <ScaleCrop>false</ScaleCrop>
  <Company/>
  <LinksUpToDate>false</LinksUpToDate>
  <CharactersWithSpaces>27740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t318556</dc:creator>
  <cp:keywords/>
  <dc:description/>
  <cp:lastModifiedBy>Marcos Dwayne Saraiva Costa - GDSXSR</cp:lastModifiedBy>
  <cp:revision>258</cp:revision>
  <dcterms:created xsi:type="dcterms:W3CDTF">2026-08-07T17:17:00Z</dcterms:created>
  <dcterms:modified xsi:type="dcterms:W3CDTF">2026-10-31T20:41:00Z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