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864"/>
        <w:gridCol w:w="447"/>
        <w:gridCol w:w="4371"/>
        <w:gridCol w:w="219"/>
      </w:tblGrid>
      <w:tr w:rsidR="00264107" w14:paraId="4680266B" w14:textId="77777777" w:rsidTr="650595E1">
        <w:trPr>
          <w:gridAfter w:val="1"/>
          <w:wAfter w:w="219" w:type="dxa"/>
        </w:trPr>
        <w:tc>
          <w:tcPr>
            <w:tcW w:w="2822" w:type="dxa"/>
            <w:hideMark/>
          </w:tcPr>
          <w:p w14:paraId="6DE29C9C" w14:textId="77777777" w:rsidR="00264107" w:rsidRDefault="002641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gridSpan w:val="3"/>
            <w:hideMark/>
          </w:tcPr>
          <w:p w14:paraId="299F0D40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55CC1E66" w14:textId="77777777" w:rsidR="00264107" w:rsidRDefault="00264107" w:rsidP="2DA0D32B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 w:rsidRPr="2DA0D32B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12B71A35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5750CFE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  <w:tr w:rsidR="004236F7" w:rsidRPr="009F36E1" w14:paraId="506E1C45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1B672758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5F5D25D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1380D4BD" w14:textId="77777777" w:rsidR="004236F7" w:rsidRPr="009F36E1" w:rsidRDefault="00000000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7ACC47C5ADE849A18DA0C7907A361910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Content>
                <w:r w:rsidR="004236F7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4236F7" w:rsidRPr="009F36E1" w14:paraId="722A4191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B3F531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376372E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sdt>
            <w:sdtPr>
              <w:rPr>
                <w:rFonts w:cs="Arial"/>
                <w:iCs w:val="0"/>
                <w:sz w:val="28"/>
                <w:szCs w:val="28"/>
              </w:rPr>
              <w:id w:val="1558446301"/>
              <w:placeholder>
                <w:docPart w:val="F878D1793E2346938EC18DAD866E9010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Content>
              <w:p w14:paraId="7D3B975A" w14:textId="77777777" w:rsidR="004236F7" w:rsidRPr="009F36E1" w:rsidRDefault="004236F7">
                <w:pPr>
                  <w:ind w:left="0" w:firstLine="0"/>
                  <w:jc w:val="both"/>
                  <w:rPr>
                    <w:rFonts w:cs="Arial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Cs w:val="0"/>
                    <w:sz w:val="28"/>
                    <w:szCs w:val="28"/>
                  </w:rPr>
                  <w:t>Agravo de Instrumento</w:t>
                </w:r>
              </w:p>
            </w:sdtContent>
          </w:sdt>
        </w:tc>
      </w:tr>
      <w:tr w:rsidR="004236F7" w:rsidRPr="009F36E1" w14:paraId="185BA19B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A224AD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709DFAFC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77B2906D" w14:textId="1A4DA40A" w:rsidR="004236F7" w:rsidRPr="009F36E1" w:rsidRDefault="00582A1C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582A1C">
              <w:rPr>
                <w:rFonts w:ascii="Arial" w:hAnsi="Arial" w:cs="Arial"/>
                <w:sz w:val="28"/>
                <w:szCs w:val="28"/>
              </w:rPr>
              <w:t>0743208-16.2026.8.07.0000</w:t>
            </w:r>
            <w:commentRangeStart w:id="0"/>
            <w:commentRangeStart w:id="1"/>
            <w:r w:rsidRPr="00582A1C">
              <w:rPr>
                <w:rFonts w:ascii="Arial" w:hAnsi="Arial" w:cs="Arial"/>
                <w:sz w:val="28"/>
                <w:szCs w:val="28"/>
              </w:rPr>
              <w:t/>
            </w:r>
            <w:commentRangeEnd w:id="0"/>
            <w:r w:rsidR="009B5A73">
              <w:rPr>
                <w:rStyle w:val="Refdecomentrio"/>
                <w:rFonts w:ascii="Verdana" w:eastAsia="Times New Roman" w:hAnsi="Verdana" w:cs="Times New Roman"/>
                <w:lang w:val="x-none" w:eastAsia="x-none"/>
              </w:rPr>
              <w:commentReference w:id="0"/>
            </w:r>
            <w:commentRangeEnd w:id="1"/>
            <w:r w:rsidR="00B74F57">
              <w:rPr>
                <w:rStyle w:val="Refdecomentrio"/>
                <w:rFonts w:ascii="Verdana" w:eastAsia="Times New Roman" w:hAnsi="Verdana" w:cs="Times New Roman"/>
                <w:lang w:val="x-none" w:eastAsia="x-none"/>
              </w:rPr>
              <w:commentReference w:id="1"/>
            </w:r>
          </w:p>
        </w:tc>
      </w:tr>
      <w:tr w:rsidR="004236F7" w:rsidRPr="009F36E1" w14:paraId="4B19599A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0E538277" w14:textId="77777777" w:rsidR="004236F7" w:rsidRPr="00F63CDB" w:rsidRDefault="00000000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AA1EE3EF79994F978EAA8FE4FF7A26BD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Content>
                <w:r w:rsidR="004236F7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Agravante</w:t>
                </w:r>
              </w:sdtContent>
            </w:sdt>
            <w:r w:rsidR="004236F7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34C0C9D3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30B7F23" w14:textId="4EE0B88F" w:rsidR="004236F7" w:rsidRPr="009F36E1" w:rsidRDefault="00582A1C" w:rsidP="650595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582A1C">
              <w:rPr>
                <w:rFonts w:ascii="Arial" w:hAnsi="Arial" w:cs="Arial"/>
                <w:sz w:val="28"/>
                <w:szCs w:val="28"/>
              </w:rPr>
              <w:t>TAMARA ALBERNAS DINIZ, LA ROSE VESTIDOS E ACESSÓRIOS LTDA</w:t>
            </w:r>
          </w:p>
        </w:tc>
      </w:tr>
      <w:tr w:rsidR="004236F7" w:rsidRPr="009F36E1" w14:paraId="01956A99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68F3466" w14:textId="77777777" w:rsidR="004236F7" w:rsidRPr="009F36E1" w:rsidRDefault="00000000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BC7F39C12B0F442FBBF9AD5B583FBDE0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Content>
                <w:r w:rsidR="004236F7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Agravado</w:t>
                </w:r>
              </w:sdtContent>
            </w:sdt>
            <w:r w:rsidR="004236F7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4236F7">
              <w:rPr>
                <w:rFonts w:ascii="Arial" w:hAnsi="Arial" w:cs="Arial"/>
                <w:sz w:val="28"/>
                <w:szCs w:val="28"/>
              </w:rPr>
              <w:t>(</w:t>
            </w:r>
            <w:r w:rsidR="004236F7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5EDA038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14C226F0" w14:textId="77777777" w:rsidR="00582A1C" w:rsidRPr="00582A1C" w:rsidRDefault="00582A1C" w:rsidP="00582A1C">
            <w:pPr>
              <w:ind w:right="-74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582A1C">
              <w:rPr>
                <w:rFonts w:ascii="Arial" w:hAnsi="Arial" w:cs="Arial"/>
                <w:sz w:val="28"/>
                <w:szCs w:val="28"/>
              </w:rPr>
              <w:t>LUCIMAR WANZELLER DA SILVA</w:t>
            </w:r>
          </w:p>
          <w:p w14:paraId="6CC5F6AE" w14:textId="775C7583" w:rsidR="004236F7" w:rsidRPr="009F36E1" w:rsidRDefault="00582A1C" w:rsidP="00582A1C">
            <w:pPr>
              <w:ind w:right="-74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582A1C">
              <w:rPr>
                <w:rFonts w:ascii="Arial" w:hAnsi="Arial" w:cs="Arial"/>
                <w:sz w:val="28"/>
                <w:szCs w:val="28"/>
              </w:rPr>
              <w:t/>
            </w:r>
          </w:p>
        </w:tc>
      </w:tr>
      <w:tr w:rsidR="004236F7" w:rsidRPr="009F36E1" w14:paraId="04C2C9E0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C272CF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65F4370D" w14:textId="77777777" w:rsidR="004236F7" w:rsidRPr="009F36E1" w:rsidRDefault="004236F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4F0CBAE" w14:textId="77777777" w:rsidR="004236F7" w:rsidRPr="009F36E1" w:rsidRDefault="004236F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jc w:val="left"/>
      </w:pPr>
      <w:commentRangeStart w:id="13"/>
      <w:r>
        <w:rPr>
          <w:rFonts w:ascii="Arial" w:hAnsi="Arial" w:cs="Arial"/>
          <w:b/>
          <w:i w:val="0"/>
          <w:sz w:val="28"/>
        </w:rPr>
        <w:t>EMENTA</w:t>
      </w:r>
      <w:commentRangeEnd w:id="13"/>
      <w:r>
        <w:rPr>
          <w:rStyle w:val="CommentReference"/>
        </w:rPr>
        <w:commentReference w:id="13"/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>AGRAVO DE INSTRUMENTO. DIREITO PROCESSUAL CIVIL. CUMPRIMENTO DE SENTENÇA. PENHORA SOBRE O FATURAMENTO DE SOCIEDADE EMPRESÁRIA. IMPUGNAÇÃO REJEITADA. PERCENTUAL AINDA NÃO FIXADO. AUSÊNCIA DE ORDEM ATUAL DE CONSTRIÇÃO. TEMA 769/STJ. RECURSO NÃO PROVIDO.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sz w:val="28"/>
        </w:rPr>
        <w:t>I. Caso em exame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>1. Cumprimento de sentença proposto por pessoa natural contra La Rose Vestidos e Acessórios Ltda. e pessoa natural, visando à satisfação de crédito (R$ 1.869.163,67).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>2. A decisão agravada rejeitou a impugnação das executadas à penhora sobre o faturamento da sociedade empresária e determinou a manifestação das partes sobre a proposta de honorários e o plano de constrição do administrador.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>3. As executadas agravam requerendo o afastamento da penhora sobre o faturamento ou, subsidiariamente, que nenhuma constrição ocorra antes da fixação de percentual compatível com a atividade empresarial.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sz w:val="28"/>
        </w:rPr>
        <w:t>II. Questão em discussão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>4. Há duas questões em discussão: (i) saber se a penhora sobre o faturamento da sociedade empresária deve ser afastada em razão dos balanços que indicam prejuízo e da penhora do quinhão hereditário no inventário; e (ii) saber se a constrição deve ser obstada antes da fixação de percentual compatível com a continuidade da atividade empresarial.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sz w:val="28"/>
        </w:rPr>
        <w:t>III. Razões de decidir</w:t>
      </w:r>
    </w:p>
    <w:p>
      <w:pPr>
        <w:spacing w:line="360" w:lineRule="auto" w:after="0" w:before="0"/>
        <w:jc w:val="both"/>
      </w:pPr>
      <w:commentRangeStart w:id="14"/>
      <w:r>
        <w:rPr>
          <w:rFonts w:ascii="Arial" w:hAnsi="Arial" w:cs="Arial"/>
          <w:b w:val="0"/>
          <w:i w:val="0"/>
          <w:sz w:val="28"/>
        </w:rPr>
        <w:t>5. A penhora de percentual do faturamento da empresa executada exige a insuficiência dos demais bens e a fixação de percentual que não inviabilize a atividade empresarial, com base nos elementos probatórios concretos trazidos pelo devedor (CPC 866 § 1º; Tema 769/STJ).</w:t>
      </w:r>
      <w:commentRangeEnd w:id="14"/>
      <w:r>
        <w:rPr>
          <w:rStyle w:val="CommentReference"/>
        </w:rPr>
        <w:commentReference w:id="14"/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>6. A decisão agravada reconheceu a insuficiência dos bens localizados (R$ 27.387,53, diante do débito de R$ 1.869.163,67) e a incerteza da penhora sobre o quinhão hereditário no inventário, já onerado por penhora anterior (R$ 388.980,53).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>7. O prejuízo apurado em um exercício, o passivo circulante elevado e o patrimônio líquido negativo não impedem, por si sós, a penhora de faturamento, que exige o exame do faturamento atual, do fluxo de caixa, dos custos operacionais e do percentual proposto.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>8. A decisão agravada não homologou o plano do administrador, não fixou percentual nem determinou a retenção, o bloqueio ou a retirada de valores do caixa da empresa, e ressalvou que a penhora não será efetivada se comprometer a atividade empresarial.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>9. Inexistente ordem atual de constrição, não há perigo de dano atual ou iminente, e a eventual lesividade da medida depende de nova decisão do Juízo de origem, após o contraditório.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sz w:val="28"/>
        </w:rPr>
        <w:t>IV. Dispositivo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>10. Negou-se provimento ao agravo de instrumento das executadas.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  <w:u w:val="none"/>
        </w:rPr>
        <w:t>______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/>
          <w:sz w:val="26"/>
        </w:rPr>
        <w:t>Dispositivos relevantes citados:</w:t>
      </w:r>
      <w:r>
        <w:rPr>
          <w:rFonts w:ascii="Arial" w:hAnsi="Arial" w:cs="Arial"/>
          <w:b w:val="0"/>
          <w:i w:val="0"/>
          <w:sz w:val="26"/>
        </w:rPr>
        <w:t xml:space="preserve"> CPC, art. 866, § 1º.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/>
          <w:sz w:val="26"/>
        </w:rPr>
        <w:t>Jurisprudência relevante citada:</w:t>
      </w:r>
      <w:r>
        <w:rPr>
          <w:rFonts w:ascii="Arial" w:hAnsi="Arial" w:cs="Arial"/>
          <w:b w:val="0"/>
          <w:i w:val="0"/>
          <w:sz w:val="26"/>
        </w:rPr>
        <w:t xml:space="preserve"> STJ, REsps nº 1.835.864/SP, 1.666.542/SP e 1.835.865/SP, Rel. Min. Herman Benjamin, Primeira Seção, j. 18/04/2024, Tema 769.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jc w:val="both"/>
      </w:pPr>
      <w:commentRangeStart w:id="15"/>
      <w:r>
        <w:rPr>
          <w:rFonts w:ascii="Arial" w:hAnsi="Arial" w:cs="Arial"/>
          <w:b/>
          <w:i w:val="0"/>
          <w:color w:val="EE0000"/>
          <w:sz w:val="28"/>
          <w:highlight w:val="yellow"/>
        </w:rPr>
        <w:t>RESUMO DO AGRAVO EM SENTIDO CONTRÁRIO AO VOTO</w:t>
      </w:r>
      <w:commentRangeEnd w:id="15"/>
      <w:r>
        <w:rPr>
          <w:rStyle w:val="CommentReference"/>
        </w:rPr>
        <w:commentReference w:id="15"/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I. RAZÕES RECURSAIS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1. Ausência dos requisitos do art. 866 do CPC</w:t>
      </w:r>
    </w:p>
    <w:p>
      <w:pPr>
        <w:spacing w:line="360" w:lineRule="auto" w:after="0" w:before="0"/>
        <w:ind w:hanging="357" w:left="720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>As agravantes sustentam que a decisão não examinou os documentos contábeis de 2025, que mostram prejuízo de R$ 72.236,65, passivo circulante de R$ 1.040.641,80 e patrimônio líquido negativo de R$ 1.078.161,16, e que a penhora de faturamento exige a análise prévia da viabilidade da medida e a fixação de percentual (CPC 866 e Tema 769/STJ).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2. Prévia garantia da execução</w:t>
      </w:r>
    </w:p>
    <w:p>
      <w:pPr>
        <w:spacing w:line="360" w:lineRule="auto" w:after="0" w:before="0"/>
        <w:ind w:hanging="357" w:left="720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>Afirmam que a execução já está garantida pela penhora do quinhão hereditário de Tâmara Albernas Diniz no inventário nº 0033022-89.2014.8.07.0001, avaliado em R$ 3.702.847,75 no esboço de partilha, o que atrai o princípio da menor onerosidade (CPC 805).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3. Preservação da atividade empresarial e dos empregos</w:t>
      </w:r>
    </w:p>
    <w:p>
      <w:pPr>
        <w:spacing w:line="360" w:lineRule="auto" w:after="0" w:before="0"/>
        <w:ind w:hanging="357" w:left="720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>Alegam que a retirada de recursos do faturamento atingiria o pagamento de fornecedores, tributos e de nove empregadas, cuja folha é de cerca de R$ 24.120,31, e que a empresa não tem margem financeira livre.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4. Risco de dano</w:t>
      </w:r>
    </w:p>
    <w:p>
      <w:pPr>
        <w:spacing w:line="360" w:lineRule="auto" w:after="0" w:before="0"/>
        <w:ind w:hanging="357" w:left="720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>Sustentam que o plano do administrador adota conceito amplo de faturamento e prevê bloqueio de contas e recebíveis, arrecadação direta no caixa e administração provisória, o que causaria dano grave e de difícil reparação antes do julgamento do agravo.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>II. PEDIDO</w:t>
      </w:r>
    </w:p>
    <w:p>
      <w:pPr>
        <w:spacing w:line="360" w:lineRule="auto" w:after="0" w:before="0"/>
        <w:ind w:hanging="357" w:left="720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>Requerem a antecipação da tutela recursal e, no mérito, a reforma da decisão para acolher a impugnação e revogar a penhora sobre o faturamento. Subsidiariamente, pedem que nenhuma constrição seja implementada antes da análise da capacidade econômico-financeira da empresa e da fixação de percentual objetivo e, ainda, que a constrição se limite a percentual mínimo, com suspensão nos períodos sem resultado operacional positivo.</w:t>
      </w:r>
    </w:p>
    <w:p>
      <w:pPr>
        <w:pageBreakBefore/>
        <w:spacing w:line="360" w:lineRule="auto" w:after="0" w:before="0"/>
        <w:jc w:val="center"/>
      </w:pPr>
      <w:r>
        <w:rPr>
          <w:rFonts w:ascii="Arial" w:hAnsi="Arial" w:cs="Arial"/>
          <w:b/>
          <w:i w:val="0"/>
          <w:sz w:val="28"/>
        </w:rPr>
        <w:t>RELATÓRIO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ind w:firstLine="2268"/>
        <w:jc w:val="both"/>
      </w:pPr>
      <w:commentRangeStart w:id="16"/>
      <w:r>
        <w:rPr>
          <w:rFonts w:ascii="Arial" w:hAnsi="Arial" w:cs="Arial"/>
          <w:b w:val="0"/>
          <w:i w:val="0"/>
          <w:sz w:val="28"/>
        </w:rPr>
        <w:t>Adoto o relatório da liminar (ID 89728784):</w:t>
      </w:r>
      <w:commentRangeEnd w:id="16"/>
      <w:r>
        <w:rPr>
          <w:rStyle w:val="CommentReference"/>
        </w:rPr>
        <w:commentReference w:id="16"/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>“Cuida-se, na origem, de cumprimento de sentença promovido por Lucimar Wanzeller da Silva contra La Rose Vestidos e Acessórios Ltda. e Tâmara Albernas Diniz, destinado à satisfação do crédito no valor aproximado de R$ 1.869.163,67.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>O Juízo rejeitou a impugnação apresentada pelas executadas e manteve a penhora sobre o faturamento da sociedade empresária, ao fundamento de que as diligências realizadas para a localização de outros bens foram apenas parcialmente frutíferas e de que a constrição incidente sobre o quinhão hereditário de Tâmara Albernas Diniz representaria mera expectativa de direito. A análise da viabilidade econômica da medida e a definição da forma de arrecadação foram remetidas à atuação do administrador nomeado (ID 287474921, origem).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>As executadas, na condição de agravantes, alegam, em síntese, que: 1) a penhora sobre o faturamento foi mantida sem o exame concreto dos balanços, balancetes, demonstrações contábeis e livros empresariais apresentados, os quais indicariam prejuízo operacional, patrimônio líquido negativo e inexistência de margem financeira disponível; 2) a execução já estaria garantida pela penhora do quinhão hereditário pertencente à coexecutada Tâmara Albernas Diniz, avaliado, segundo o esboço de partilha, em R$ 3.702.847,75; 3) a retirada de recursos do faturamento comprometeria o pagamento de salários, fornecedores, tributos, reposição de estoque e demais despesas necessárias à continuidade da atividade empresarial e à manutenção dos postos de trabalho.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>Requerem a antecipação da tutela recursal para suspender os efeitos da decisão agravada quanto à penhora sobre o faturamento, impedir a homologação ou a implementação do plano de constrição e obstar a arrecadação de valores até o julgamento do recurso. No mérito, pedem a reforma da decisão para que seja acolhida a impugnação e revogada a penhora, ou, subsidiariamente, que a medida somente seja implementada após exame da capacidade econômico-financeira da empresa e fixação de percentual compatível com a continuidade de suas atividades.”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Indeferi o pedido de efeito suspensivo (ID 89728784).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Contrarrazões ao agravo de instrumento (ID 90025093), em que a agravada alega que: </w:t>
      </w:r>
      <w:r>
        <w:rPr>
          <w:rFonts w:ascii="Arial" w:hAnsi="Arial" w:cs="Arial"/>
          <w:b/>
          <w:i w:val="0"/>
          <w:sz w:val="28"/>
        </w:rPr>
        <w:t>1)</w:t>
      </w:r>
      <w:r>
        <w:rPr>
          <w:rFonts w:ascii="Arial" w:hAnsi="Arial" w:cs="Arial"/>
          <w:b w:val="0"/>
          <w:i w:val="0"/>
          <w:sz w:val="28"/>
        </w:rPr>
        <w:t xml:space="preserve"> o quinhão hereditário penhorado no inventário não garante a execução, pois já está onerado por penhora anterior (R$ 388.980,53) e depende de processo que tramita há anos; </w:t>
      </w:r>
      <w:r>
        <w:rPr>
          <w:rFonts w:ascii="Arial" w:hAnsi="Arial" w:cs="Arial"/>
          <w:b/>
          <w:i w:val="0"/>
          <w:sz w:val="28"/>
        </w:rPr>
        <w:t>2)</w:t>
      </w:r>
      <w:r>
        <w:rPr>
          <w:rFonts w:ascii="Arial" w:hAnsi="Arial" w:cs="Arial"/>
          <w:b w:val="0"/>
          <w:i w:val="0"/>
          <w:sz w:val="28"/>
        </w:rPr>
        <w:t xml:space="preserve"> a penhora sobre o faturamento é admitida pelo Tema 769 do STJ, e a decisão agravada não fixou percentual nem determinou a retirada de valores, o que somente ocorrerá após análise concreta com o administrador judicial; </w:t>
      </w:r>
      <w:r>
        <w:rPr>
          <w:rFonts w:ascii="Arial" w:hAnsi="Arial" w:cs="Arial"/>
          <w:b/>
          <w:i w:val="0"/>
          <w:sz w:val="28"/>
        </w:rPr>
        <w:t>3)</w:t>
      </w:r>
      <w:r>
        <w:rPr>
          <w:rFonts w:ascii="Arial" w:hAnsi="Arial" w:cs="Arial"/>
          <w:b w:val="0"/>
          <w:i w:val="0"/>
          <w:sz w:val="28"/>
        </w:rPr>
        <w:t xml:space="preserve"> não há perigo de dano atual ou iminente, como reconhecido na liminar, pois inexiste ato de constrição sobre o faturamento; </w:t>
      </w:r>
      <w:r>
        <w:rPr>
          <w:rFonts w:ascii="Arial" w:hAnsi="Arial" w:cs="Arial"/>
          <w:b/>
          <w:i w:val="0"/>
          <w:sz w:val="28"/>
        </w:rPr>
        <w:t>4)</w:t>
      </w:r>
      <w:r>
        <w:rPr>
          <w:rFonts w:ascii="Arial" w:hAnsi="Arial" w:cs="Arial"/>
          <w:b w:val="0"/>
          <w:i w:val="0"/>
          <w:sz w:val="28"/>
        </w:rPr>
        <w:t xml:space="preserve"> a preservação dos postos de trabalho deve ser ponderada pelo administrador na definição do percentual, e a folha de pagamento (R$ 24.120,31) é inferior ao faturamento médio mensal (superior a R$ 76.000,00).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É o relatório.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pageBreakBefore/>
        <w:spacing w:line="360" w:lineRule="auto" w:after="0" w:before="0"/>
        <w:jc w:val="center"/>
      </w:pPr>
      <w:r>
        <w:rPr>
          <w:rFonts w:ascii="Arial" w:hAnsi="Arial" w:cs="Arial"/>
          <w:b/>
          <w:i w:val="0"/>
          <w:sz w:val="28"/>
        </w:rPr>
        <w:t>VOTO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sz w:val="28"/>
        </w:rPr>
        <w:t>O Senhor Desembargador SÉRGIO ROCHA – Relator.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jc w:val="center"/>
      </w:pPr>
      <w:r>
        <w:rPr>
          <w:rFonts w:ascii="Arial" w:hAnsi="Arial" w:cs="Arial"/>
          <w:b/>
          <w:i w:val="0"/>
          <w:sz w:val="28"/>
        </w:rPr>
        <w:t>AGRAVO DE INSTRUMENTO DAS EXECUTADAS, LA ROSE VESTIDOS E ACESSÓRIOS LTDA. E TÂMARA ALBERNAS DINIZ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Presentes os pressupostos de admissibilidade, conheço do agravo de instrumento.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jc w:val="center"/>
      </w:pPr>
      <w:r>
        <w:rPr>
          <w:rFonts w:ascii="Arial" w:hAnsi="Arial" w:cs="Arial"/>
          <w:b w:val="0"/>
          <w:i w:val="0"/>
          <w:sz w:val="28"/>
          <w:highlight w:val="yellow"/>
        </w:rPr>
        <w:t>DA POSSIBILIDADE DA PENHORA SOBRE O FATURAMENTO E DA AUSÊNCIA DE ORDEM ATUAL DE CONSTRIÇÃO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As executadas/agravantes alegam que: </w:t>
      </w:r>
      <w:r>
        <w:rPr>
          <w:rFonts w:ascii="Arial" w:hAnsi="Arial" w:cs="Arial"/>
          <w:b/>
          <w:i w:val="0"/>
          <w:sz w:val="28"/>
        </w:rPr>
        <w:t>1)</w:t>
      </w:r>
      <w:r>
        <w:rPr>
          <w:rFonts w:ascii="Arial" w:hAnsi="Arial" w:cs="Arial"/>
          <w:b w:val="0"/>
          <w:i w:val="0"/>
          <w:sz w:val="28"/>
        </w:rPr>
        <w:t xml:space="preserve"> a penhora sobre o faturamento foi mantida sem o exame dos balanços e demais documentos contábeis de 2025, que indicam prejuízo, passivo circulante elevado e patrimônio líquido negativo; </w:t>
      </w:r>
      <w:r>
        <w:rPr>
          <w:rFonts w:ascii="Arial" w:hAnsi="Arial" w:cs="Arial"/>
          <w:b/>
          <w:i w:val="0"/>
          <w:sz w:val="28"/>
        </w:rPr>
        <w:t>2)</w:t>
      </w:r>
      <w:r>
        <w:rPr>
          <w:rFonts w:ascii="Arial" w:hAnsi="Arial" w:cs="Arial"/>
          <w:b w:val="0"/>
          <w:i w:val="0"/>
          <w:sz w:val="28"/>
        </w:rPr>
        <w:t xml:space="preserve"> a execução já está garantida pela penhora do quinhão hereditário de Tâmara Albernas Diniz, avaliado em R$ 3.702.847,75 no esboço de partilha; </w:t>
      </w:r>
      <w:r>
        <w:rPr>
          <w:rFonts w:ascii="Arial" w:hAnsi="Arial" w:cs="Arial"/>
          <w:b/>
          <w:i w:val="0"/>
          <w:sz w:val="28"/>
        </w:rPr>
        <w:t>3)</w:t>
      </w:r>
      <w:r>
        <w:rPr>
          <w:rFonts w:ascii="Arial" w:hAnsi="Arial" w:cs="Arial"/>
          <w:b w:val="0"/>
          <w:i w:val="0"/>
          <w:sz w:val="28"/>
        </w:rPr>
        <w:t xml:space="preserve"> a retirada de recursos do faturamento comprometeria o pagamento de salários, fornecedores e tributos e a manutenção dos postos de trabalho; </w:t>
      </w:r>
      <w:r>
        <w:rPr>
          <w:rFonts w:ascii="Arial" w:hAnsi="Arial" w:cs="Arial"/>
          <w:b/>
          <w:i w:val="0"/>
          <w:sz w:val="28"/>
        </w:rPr>
        <w:t>4)</w:t>
      </w:r>
      <w:r>
        <w:rPr>
          <w:rFonts w:ascii="Arial" w:hAnsi="Arial" w:cs="Arial"/>
          <w:b w:val="0"/>
          <w:i w:val="0"/>
          <w:sz w:val="28"/>
        </w:rPr>
        <w:t xml:space="preserve"> o plano do administrador adota conceito amplo de faturamento e prevê bloqueio de contas e recebíveis, arrecadação direta no caixa e administração provisória (ID 89603134).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Requerem a reforma da r. decisão para acolher a impugnação e revogar a penhora sobre o faturamento ou, subsidiariamente, para que nenhuma constrição seja implementada antes da análise da capacidade econômico-financeira da empresa e da fixação de percentual compatível com a continuidade de suas atividades.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  <w:highlight w:val="yellow"/>
        </w:rPr>
        <w:t>Sem razão.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ind w:firstLine="2268"/>
        <w:jc w:val="both"/>
      </w:pPr>
      <w:commentRangeStart w:id="17"/>
      <w:r>
        <w:rPr>
          <w:rFonts w:ascii="Arial" w:hAnsi="Arial" w:cs="Arial"/>
          <w:b w:val="0"/>
          <w:i w:val="0"/>
          <w:sz w:val="28"/>
        </w:rPr>
        <w:t>Mantenho as razões expostas na decisão liminar que indeferiu o pedido de efeito suspensivo (ID 89728784):</w:t>
      </w:r>
      <w:commentRangeEnd w:id="17"/>
      <w:r>
        <w:rPr>
          <w:rStyle w:val="CommentReference"/>
        </w:rPr>
        <w:commentReference w:id="17"/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>“Não vislumbro a probabilidade do direito alegado, ao menos nesta sede de cognição sumária.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>Constou da r. decisão agravada, in verbis:</w:t>
      </w:r>
    </w:p>
    <w:p>
      <w:pPr>
        <w:spacing w:line="360" w:lineRule="auto" w:after="0" w:before="0"/>
        <w:ind w:firstLine="0" w:left="3402"/>
        <w:jc w:val="both"/>
      </w:pPr>
      <w:r>
        <w:rPr>
          <w:rFonts w:ascii="Arial" w:hAnsi="Arial" w:cs="Arial"/>
          <w:b w:val="0"/>
          <w:i/>
          <w:sz w:val="26"/>
        </w:rPr>
        <w:t>‘(...) A existência de penhora no rosto dos autos do inventário nº 0033022-89.2014.8.07.0001 não obsta o prosseguimento dos autos expropriatórias, tendo em vista que o recebimento do valor pela credora se cuida de mera expectativa de direito.</w:t>
      </w:r>
    </w:p>
    <w:p>
      <w:pPr>
        <w:spacing w:line="360" w:lineRule="auto" w:after="0" w:before="0"/>
        <w:ind w:firstLine="0" w:left="3402"/>
        <w:jc w:val="both"/>
      </w:pPr>
      <w:r>
        <w:rPr>
          <w:rFonts w:ascii="Arial" w:hAnsi="Arial" w:cs="Arial"/>
          <w:b w:val="0"/>
          <w:i/>
          <w:sz w:val="26"/>
        </w:rPr>
        <w:t>Outrossim, aquele feito tramita há cerca de 12 (doze) anos, não havendo certeza do momento em que será ultimada a partilha, que possibilitará a entrega dos bens herdados por TAMARA à credora LUCIMAR.</w:t>
      </w:r>
    </w:p>
    <w:p>
      <w:pPr>
        <w:spacing w:line="360" w:lineRule="auto" w:after="0" w:before="0"/>
        <w:ind w:firstLine="0" w:left="3402"/>
        <w:jc w:val="both"/>
      </w:pPr>
      <w:r>
        <w:rPr>
          <w:rFonts w:ascii="Arial" w:hAnsi="Arial" w:cs="Arial"/>
          <w:b w:val="0"/>
          <w:i/>
          <w:sz w:val="26"/>
        </w:rPr>
        <w:t>Ademais, necessário pontuar que a ausência de esgotamento de diligências para a localização de outros bens e direitos penhoráveis é irrelevante para fins de deferimento da penhora sobre o faturamento, conforme entendimento firmado pelo Superior Tribunal de Justiça em sede de recurso repetitivo:</w:t>
      </w:r>
    </w:p>
    <w:p>
      <w:pPr>
        <w:spacing w:line="360" w:lineRule="auto" w:after="0" w:before="0"/>
        <w:ind w:firstLine="0" w:left="3402"/>
        <w:jc w:val="both"/>
      </w:pPr>
      <w:r>
        <w:rPr>
          <w:rFonts w:ascii="Arial" w:hAnsi="Arial" w:cs="Arial"/>
          <w:b w:val="0"/>
          <w:i/>
          <w:sz w:val="26"/>
        </w:rPr>
        <w:t>(...)</w:t>
      </w:r>
    </w:p>
    <w:p>
      <w:pPr>
        <w:spacing w:line="360" w:lineRule="auto" w:after="0" w:before="0"/>
        <w:ind w:firstLine="0" w:left="3402"/>
        <w:jc w:val="both"/>
      </w:pPr>
      <w:r>
        <w:rPr>
          <w:rFonts w:ascii="Arial" w:hAnsi="Arial" w:cs="Arial"/>
          <w:b w:val="0"/>
          <w:i/>
          <w:sz w:val="26"/>
        </w:rPr>
        <w:t>No caso dos autos, as tentativas de localização de bens, valores e direitos penhoráveis foi apenas parcialmente frutífera (IDs 272493616, 272493624, 272493625, 272493626 e 272493627), tendo sido localizado até o momento somente a quantia de R$ 27.387,53, que se mostra ínfima diante do montante atualizado do débito (R$ 1.869.163,67).</w:t>
      </w:r>
    </w:p>
    <w:p>
      <w:pPr>
        <w:spacing w:line="360" w:lineRule="auto" w:after="0" w:before="0"/>
        <w:ind w:firstLine="0" w:left="3402"/>
        <w:jc w:val="both"/>
      </w:pPr>
      <w:r>
        <w:rPr>
          <w:rFonts w:ascii="Arial" w:hAnsi="Arial" w:cs="Arial"/>
          <w:b w:val="0"/>
          <w:i/>
          <w:sz w:val="26"/>
        </w:rPr>
        <w:t>Além disso, a penhora que recaiu sobre o quinhão hereditário a que TAMARA possui direito nos autos nº 0033022-89.2014.8.07.0001, como já dito, cuida-se de mera expectativa de direito.</w:t>
      </w:r>
    </w:p>
    <w:p>
      <w:pPr>
        <w:spacing w:line="360" w:lineRule="auto" w:after="0" w:before="0"/>
        <w:ind w:firstLine="0" w:left="3402"/>
        <w:jc w:val="both"/>
      </w:pPr>
      <w:r>
        <w:rPr>
          <w:rFonts w:ascii="Arial" w:hAnsi="Arial" w:cs="Arial"/>
          <w:b w:val="0"/>
          <w:i/>
          <w:sz w:val="26"/>
        </w:rPr>
        <w:t>Outrossim, existe uma penhora pretérita registrada no rosto daqueles autos, oriunda do feito nº 0713064-56.2026.8.07.0001, no valor de R$ 388.980,53. Portanto, o valor do quinhão pertencente a TAMARA pode não ser suficiente para a quitação desta dívida, cujo montante atualizado já pode ter passado os R$ 2.000.000,00.</w:t>
      </w:r>
    </w:p>
    <w:p>
      <w:pPr>
        <w:spacing w:line="360" w:lineRule="auto" w:after="0" w:before="0"/>
        <w:ind w:firstLine="0" w:left="3402"/>
        <w:jc w:val="both"/>
      </w:pPr>
      <w:r>
        <w:rPr>
          <w:rFonts w:ascii="Arial" w:hAnsi="Arial" w:cs="Arial"/>
          <w:b w:val="0"/>
          <w:i/>
          <w:sz w:val="26"/>
        </w:rPr>
        <w:t>Dessa maneira, verifica-se a presença dos requisitos que autorizam a constrição.</w:t>
      </w:r>
    </w:p>
    <w:p>
      <w:pPr>
        <w:spacing w:line="360" w:lineRule="auto" w:after="0" w:before="0"/>
        <w:ind w:firstLine="0" w:left="3402"/>
        <w:jc w:val="both"/>
      </w:pPr>
      <w:r>
        <w:rPr>
          <w:rFonts w:ascii="Arial" w:hAnsi="Arial" w:cs="Arial"/>
          <w:b w:val="0"/>
          <w:i/>
          <w:sz w:val="26"/>
        </w:rPr>
        <w:t>Cabe frisar, outrossim, que ainda sequer houve a elaboração do plano de constrição.</w:t>
      </w:r>
    </w:p>
    <w:p>
      <w:pPr>
        <w:spacing w:line="360" w:lineRule="auto" w:after="0" w:before="0"/>
        <w:ind w:firstLine="0" w:left="3402"/>
        <w:jc w:val="both"/>
      </w:pPr>
      <w:r>
        <w:rPr>
          <w:rFonts w:ascii="Arial" w:hAnsi="Arial" w:cs="Arial"/>
          <w:b w:val="0"/>
          <w:i/>
          <w:sz w:val="26"/>
        </w:rPr>
        <w:t>Porém, adianta-se que serão respeitados os princípios da menor onerosidade e da preservação da empresa, de modo que não haverá a efetivação da penhora sobre o faturamento caso haja comprometimento da atividade empresarial.</w:t>
      </w:r>
    </w:p>
    <w:p>
      <w:pPr>
        <w:spacing w:line="360" w:lineRule="auto" w:after="0" w:before="0"/>
        <w:ind w:firstLine="0" w:left="3402"/>
        <w:jc w:val="both"/>
      </w:pPr>
      <w:r>
        <w:rPr>
          <w:rFonts w:ascii="Arial" w:hAnsi="Arial" w:cs="Arial"/>
          <w:b w:val="0"/>
          <w:i/>
          <w:sz w:val="26"/>
        </w:rPr>
        <w:t>Assim, os alegados resultados negativos nos exercícios anteriores serão oportunamente analisados pelo administrador judicial, que opinará pela possibilidade, ou não, de prosseguimento da constrição.</w:t>
      </w:r>
    </w:p>
    <w:p>
      <w:pPr>
        <w:spacing w:line="360" w:lineRule="auto" w:after="0" w:before="0"/>
        <w:ind w:firstLine="0" w:left="3402"/>
        <w:jc w:val="both"/>
      </w:pPr>
      <w:r>
        <w:rPr>
          <w:rFonts w:ascii="Arial" w:hAnsi="Arial" w:cs="Arial"/>
          <w:b w:val="0"/>
          <w:i/>
          <w:sz w:val="26"/>
        </w:rPr>
        <w:t>Por estas razões, REJEITO a impugnação de ID 285497063. (...)’ (ID 287474921, origem) – Grifei.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>Sabe-se que o percentual da penhora de faturamento da empresa devedora deve propiciar a satisfação do crédito em tempo razoável, sem inviabilizar a atividade empresarial (Tema 769/STJ e CPC 866, § 1º).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>No caso, os documentos contábeis indicam prejuízo no exercício de 2025, elevado passivo circulante e patrimônio líquido negativo (ID 89603139 e 89603140).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>Todavia, a existência de prejuízo em um exercício não impede, por si só, a penhora de faturamento. É necessário examinar o faturamento atual, o fluxo de caixa, os custos operacionais e, principalmente, o percentual efetivamente proposto.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>Por outro lado, o plano apresentado pelo administrador considera faturamento todas as quantias recebidas mensalmente pela empresa, excetuados apenas os empréstimos (ID 286206474, origem).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>Prevê, ainda, que o administrador apurará ou arbitrará o faturamento e informará o valor a ser depositado.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>Ocorre que o plano não indica percentual de penhora nem apresenta análise concreta do impacto da constrição sobre o fluxo de caixa da empresa.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>Essas circunstâncias conferem plausibilidade à alegação de que eventual implementação da medida exige prévia fixação judicial de percentual.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>Contudo, a decisão agravada não homologou o plano, não fixou percentual e não determinou imediata arrecadação.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>Ao contrário, determinou a manifestação das partes antes da definição dos honorários e da forma de atuação do administrador.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>As medidas de bloqueio, arrecadação direta e administração provisória previstas no plano também foram submetidas à prévia autorização judicial.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>Assim, não existe ordem atual de retenção, depósito, bloqueio ou retirada de valores do caixa da empresa.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>A eventual lesividade da constrição depende de nova decisão do Juízo de origem, após o contraditório.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>Nesse contexto, não está demonstrado perigo de dano atual ou iminente.”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ind w:firstLine="2268"/>
        <w:jc w:val="both"/>
      </w:pPr>
      <w:commentRangeStart w:id="18"/>
      <w:r>
        <w:rPr>
          <w:rFonts w:ascii="Arial" w:hAnsi="Arial" w:cs="Arial"/>
          <w:b w:val="0"/>
          <w:i w:val="0"/>
          <w:sz w:val="28"/>
        </w:rPr>
        <w:t>O c. STJ, no julgamento do Tema Repetitivo 769, fixou a seguinte tese:</w:t>
      </w:r>
      <w:commentRangeEnd w:id="18"/>
      <w:r>
        <w:rPr>
          <w:rStyle w:val="CommentReference"/>
        </w:rPr>
        <w:commentReference w:id="18"/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 xml:space="preserve">“(...) IV - Na aplicação do princípio da menor onerosidade (art. 805, parágrafo único, do CPC/2015; art. 620, do CPC/1973): a) </w:t>
      </w:r>
      <w:r>
        <w:rPr>
          <w:rFonts w:ascii="Arial" w:hAnsi="Arial" w:cs="Arial"/>
          <w:b w:val="0"/>
          <w:i/>
          <w:sz w:val="26"/>
          <w:u w:val="single"/>
        </w:rPr>
        <w:t>autoridade judicial deverá estabelecer percentual que não inviabilize o prosseguimento das atividades empresariais</w:t>
      </w:r>
      <w:r>
        <w:rPr>
          <w:rFonts w:ascii="Arial" w:hAnsi="Arial" w:cs="Arial"/>
          <w:b w:val="0"/>
          <w:i/>
          <w:sz w:val="26"/>
        </w:rPr>
        <w:t xml:space="preserve">; e b) </w:t>
      </w:r>
      <w:r>
        <w:rPr>
          <w:rFonts w:ascii="Arial" w:hAnsi="Arial" w:cs="Arial"/>
          <w:b w:val="0"/>
          <w:i/>
          <w:sz w:val="26"/>
          <w:u w:val="single"/>
        </w:rPr>
        <w:t>a decisão deve se reportar aos elementos probatórios concretos trazidos pelo devedor</w:t>
      </w:r>
      <w:r>
        <w:rPr>
          <w:rFonts w:ascii="Arial" w:hAnsi="Arial" w:cs="Arial"/>
          <w:b w:val="0"/>
          <w:i/>
          <w:sz w:val="26"/>
        </w:rPr>
        <w:t>, não sendo lícito à autoridade judicial empregar o referido princípio em abstrato ou com base em simples alegações genéricas do executado.” (REsps n. 1.835.864/SP, 1.666.542/SP e 1.835.865/SP, relator Ministro Herman Benjamin, Primeira Seção, julgado em 18/4/2024.) – Grifei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Quanto ao requisito (a), </w:t>
      </w:r>
      <w:r>
        <w:rPr>
          <w:rFonts w:ascii="Arial" w:hAnsi="Arial" w:cs="Arial"/>
          <w:b w:val="0"/>
          <w:i w:val="0"/>
          <w:sz w:val="28"/>
          <w:highlight w:val="yellow"/>
        </w:rPr>
        <w:t>a r. decisão agravada ainda não fixou percentual</w:t>
      </w:r>
      <w:r>
        <w:rPr>
          <w:rFonts w:ascii="Arial" w:hAnsi="Arial" w:cs="Arial"/>
          <w:b w:val="0"/>
          <w:i w:val="0"/>
          <w:sz w:val="28"/>
        </w:rPr>
        <w:t>, o que ocorrerá com a definição do plano de constrição, após a manifestação das partes (ID 287474921, origem).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No mais, quanto ao requisito (b), a r. decisão agravada ressalvou que a penhora não será efetivada se comprometer a atividade empresarial e que os resultados negativos das agravantes serão examinados pelo administrador judicial (ID 287474921, origem).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Desse modo, ausente elemento novo capaz de infirmar os fundamentos já expostos, </w:t>
      </w:r>
      <w:r>
        <w:rPr>
          <w:rFonts w:ascii="Arial" w:hAnsi="Arial" w:cs="Arial"/>
          <w:b w:val="0"/>
          <w:i w:val="0"/>
          <w:sz w:val="28"/>
          <w:highlight w:val="yellow"/>
        </w:rPr>
        <w:t>deve ser mantida a r. decisão agravada que rejeitou a impugnação e manteve a penhora sobre o faturamento</w:t>
      </w:r>
      <w:r>
        <w:rPr>
          <w:rFonts w:ascii="Arial" w:hAnsi="Arial" w:cs="Arial"/>
          <w:b w:val="0"/>
          <w:i w:val="0"/>
          <w:sz w:val="28"/>
        </w:rPr>
        <w:t>, sem homologar o plano de constrição nem fixar percentual (ID 287474921, origem).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jc w:val="center"/>
      </w:pPr>
      <w:r>
        <w:rPr>
          <w:rFonts w:ascii="Arial" w:hAnsi="Arial" w:cs="Arial"/>
          <w:b/>
          <w:i w:val="0"/>
          <w:sz w:val="28"/>
        </w:rPr>
        <w:t>DISPOSITIVO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ind w:firstLine="2268"/>
        <w:jc w:val="both"/>
      </w:pPr>
      <w:commentRangeStart w:id="19"/>
      <w:r>
        <w:rPr>
          <w:rFonts w:ascii="Arial" w:hAnsi="Arial" w:cs="Arial"/>
          <w:b w:val="0"/>
          <w:i w:val="0"/>
          <w:sz w:val="28"/>
        </w:rPr>
        <w:t xml:space="preserve">Ante o exposto, </w:t>
      </w:r>
      <w:r>
        <w:rPr>
          <w:rFonts w:ascii="Arial" w:hAnsi="Arial" w:cs="Arial"/>
          <w:b/>
          <w:i w:val="0"/>
          <w:sz w:val="28"/>
        </w:rPr>
        <w:t>nego provimento</w:t>
      </w:r>
      <w:r>
        <w:rPr>
          <w:rFonts w:ascii="Arial" w:hAnsi="Arial" w:cs="Arial"/>
          <w:b w:val="0"/>
          <w:i w:val="0"/>
          <w:sz w:val="28"/>
        </w:rPr>
        <w:t xml:space="preserve"> ao agravo de instrumento das executadas, LA ROSE VESTIDOS E ACESSÓRIOS LTDA. e TÂMARA ALBERNAS DINIZ.</w:t>
      </w:r>
      <w:commentRangeEnd w:id="19"/>
      <w:r>
        <w:rPr>
          <w:rStyle w:val="CommentReference"/>
        </w:rPr>
        <w:commentReference w:id="19"/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>É como voto.</w:t>
      </w:r>
    </w:p>
    <w:p>
      <w:pPr>
        <w:spacing w:line="360" w:lineRule="auto" w:after="0"/>
        <w:ind w:firstLine="2268"/>
      </w:pPr>
      <w:r>
        <w:rPr>
          <w:sz w:val="28"/>
        </w:rPr>
      </w:r>
    </w:p>
    <w:p>
      <w:pPr>
        <w:pageBreakBefore/>
        <w:spacing w:line="360" w:lineRule="auto" w:after="0" w:before="0"/>
        <w:jc w:val="center"/>
      </w:pPr>
      <w:r>
        <w:rPr>
          <w:rFonts w:ascii="Arial" w:hAnsi="Arial" w:cs="Arial"/>
          <w:b/>
          <w:i w:val="0"/>
          <w:color w:val="00B050"/>
          <w:sz w:val="27"/>
        </w:rPr>
        <w:t>DECISÃO AGRAVADA (ID 287474921, origem)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Poder Judiciário da União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TRIBUNAL DE JUSTIÇA DO DISTRITO FEDERAL E DOS TERRITÓRIOS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23ª Vara Cível de Brasília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Classe judicial: CUMPRIMENTO DE SENTENÇA (156)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EXEQUENTE: LUCIMAR WANZELLER DA SILVA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EXECUTADO: TAMARA ALBERNAS DINIZ, LA ROSE VESTIDOS E ACESSORIOS LTDA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DECISÃO INTERLOCUTÓRIA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Cuida-se de impugnação à penhora sobre o faturamento da sociedade empresária LA ROSE VESTIDOS E ACESSORIOS LTDA.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Alegaram as devedoras que o Juízo deixou de analisar a existência de outros bens penhoráveis, bem como a penhora que recaiu no rosto dos autos de inventário. Além disso, não foi examinada a capacidade financeira da empresa e o risco de retirada mensal de valores de seu caixa para pagamento do débito exequendo.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Asseveraram que não estão presentes os requisitos do artigo 866 do Código de Processo Civil, pois a decisão que deferiu a penhora não examinou a inexistência de bens penhoráveis nem declarou insuficientes as garantias há existentes.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Ademais, não teria havido a demonstração de elementos, extraídos dos balanços patrimoniais, que demonstrariam a capacidade financeira da empresa para suportar a retirada mensal de valores de seu caixa.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Nesse sentido, apontou ser necessário averiguar o fluxo de caixa, os custos da atividade empresarial e outros compromissos assumidos pela sociedade empresária.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Inclusive, o Juízo não teria se atentado para o fato de que o patrimônio líquido se encontra negativo e que o passivo circulante é elevado.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Entretanto, a decisão de ID 282441098 limitou-se a deferir a penhora sobre o faturamento, sem examinar a sua viabilidade e a necessidade de preservação da atividade empresarial, de modo que a fundamentação seria insuficiente, nos termos do artigo 489, § 1º, do CPC.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Insistiu que a empresa vem apresentando resultados negativos, de modo que a penhora seria inviável, sob pena de retirar da executada recursos necessários ao pagamento de despesas correntes.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Ademais, indicou que o esboço de partilha acostado no ID 273877921 demonstra a existência de patrimônio suficiente para o pagamento da dívida, já que a executada TAMARA ALBERNAS DINIZ faz jus a R$ 3.702.847,75.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Dessa maneira, o deferimento da penhora sobre o faturamento da codevedora LA ROSE VESTIDOS E ACESSORIOS LTDA seria contrário ao princípio da menor onerosidade.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Ao final, pugnou pela revogação da penhora. Subsidiariamente, requereu que eventual constrição somente ocorra após a apresentação do plano pelo administrador judicial, incidindo apenas sobre o resultado líquido positivo, de modo a não prejudicar a continuidade da empresa.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Pois bem.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Em que pesem as alegações de ID 285982246, razão não assiste às executadas.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 existência de penhora no rosto dos autos do inventário nº 0033022-89.2014.8.07.0001 não obsta o prosseguimento dos autos expropriatórias, tendo em vista que o recebimento do valor pela credora se cuida de mera expectativa de direito.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Outrossim, aquele feito tramita há cerca de 12 (doze) anos, não havendo certeza do momento em que será ultimada a partilha, que possibilitará a entrega dos bens herdados por TAMARA à credora LUCIMAR.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Ademais, necessário pontuar que a ausência de esgotamento de diligências para a localização de outros bens e direitos penhoráveis é irrelevante para fins de deferimento da penhora sobre o faturamento, conforme entendimento firmado pelo Superior Tribunal de Justiça em sede de recurso repetitivo: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I - A necessidade de esgotamento das diligências como requisito para a penhora de faturamento foi afastada após a reforma do CPC/1973 pela Lei 11.382/2006;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II - No regime do CPC/2015, a penhora de faturamento, listada em décimo lugar na ordem preferencial de bens passíveis de constrição judicial, poderá ser deferida após a demonstração da inexistência dos bens classificados em posição superior, ou, alternativamente, se houver constatação, pelo juiz, de que tais bens são de difícil alienação; finalmente, a constrição judicial sobre o faturamento empresarial poderá ocorrer sem a observância da ordem de classificação estabelecida em lei, se a autoridade judicial, conforme as circunstâncias do caso concreto, assim o entender (art. 835, § 1º, do CPC/2015), justificando-a por decisão devidamente fundamentada;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III - A penhora de faturamento não pode ser equiparada à constrição sobre dinheiro;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IV - Na aplicação do princípio da menor onerosidade (art. 805, parágrafo único, do CPC/2015; art. 620, do CPC/1973): a) autoridade judicial deverá estabelecer percentual que não inviabilize o prosseguimento das atividades empresariais; e b) a decisão deve se reportar aos elementos probatórios concretos trazidos pelo devedor, não sendo lícito à autoridade judicial empregar o referido princípio em abstrato ou com base em simples alegações genéricas do executado. (STJ. 1ª Seção. REsps 1.835.864-SP, 1.666.542-SP e 1.835.865-SP, Rel. Min. Herman Benjamin, julgado em 18/4/2024 - Recurso Repetitivo, Tema 769).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No caso dos autos, as tentativas de localização de bens, valores e direitos penhoráveis foi apenas parcialmente frutífera (IDs 272493616, 272493624, 272493625, 272493626 e 272493627), tendo sido localizado até o momento somente a quantia de R$ 27.387,53, que se mostra ínfima diante do montante atualizado do débito (R$ 1.869.163,67).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Além disso, a penhora que recaiu sobre o quinhão hereditário a que TAMARA possui direito nos autos nº 0033022-89.2014.8.07.0001, como já dito, cuida-se de mera expectativa de direito.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Outrossim, existe uma penhora pretérita registrada no rosto daqueles autos, oriunda do feito nº 0713064-56.2026.8.07.0001, no valor de R$ 388.980,53. Portanto, o valor do quinhão pertencente a TAMARA pode não ser suficiente para a quitação desta dívida, cujo montante atualizado já pode ter passado os R$ 2.000.000,00.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Dessa maneira, verifica-se a presença dos requisitos que autorizam a constrição.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Cabe frisar, outrossim, que ainda sequer houve a elaboração do plano de constrição.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Porém, adianta-se que serão respeitados os princípios da menor onerosidade e da preservação da empresa, de modo que não haverá a efetivação da penhora sobre o faturamento caso haja comprometimento da atividade empresarial.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Assim, os alegados resultados negativos nos exercícios anteriores serão oportunamente analisados pelo administrador judicial, que opinará pela possibilidade, ou não, de prosseguimento da constrição.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Por estas razões, REJEITO a impugnação de ID 285497063.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No mais, diante da apresentação de proposta de honorários e do plano de constrição pelo administrador FERNANDO NONATO DA SILVA (IDs 286206473 e 286206474), manifestem-se as partes.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Prazo: 5 (cinco) dias.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Havendo impugnação à proposta, intime-se o perito para manifestação, em 5 (cinco) dias.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Após, venham os autos conclusos para definição dos honorários periciais e do plano de constrição.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Cumpra-se. Intimem-se.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Brasília/DF, data da assinatura digital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>Documento assinado eletronicamente pelo(a) Juiz(a) de Direito / Juiz(a) de Direito Substituto(a), conforme certificado digital</w:t>
      </w:r>
    </w:p>
    <w:sectPr w:rsidR="007E1C8C"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ylena Stephanie De Novais Pereira Moraes - Estagiário - GDSXSR" w:date="2026-10-08T13:02:00Z" w:initials="MSDNPM-E-">
    <w:p w14:paraId="76FAC4D0" w14:textId="77777777" w:rsidR="009B5A73" w:rsidRDefault="009B5A73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>
        <w:rPr>
          <w:lang w:val="pt-BR"/>
        </w:rPr>
        <w:t>Conclusão: 07/10/2026</w:t>
      </w:r>
    </w:p>
    <w:p w14:paraId="12149DF2" w14:textId="77777777" w:rsidR="009B5A73" w:rsidRDefault="009B5A73">
      <w:pPr>
        <w:pStyle w:val="Textodecomentrio"/>
        <w:rPr>
          <w:lang w:val="pt-BR"/>
        </w:rPr>
      </w:pPr>
      <w:r>
        <w:rPr>
          <w:lang w:val="pt-BR"/>
        </w:rPr>
        <w:t>Entrega: 08/10/2026</w:t>
      </w:r>
    </w:p>
    <w:p w14:paraId="0FAA7F72" w14:textId="77777777" w:rsidR="009B5A73" w:rsidRDefault="009B5A73">
      <w:pPr>
        <w:pStyle w:val="Textodecomentrio"/>
        <w:rPr>
          <w:lang w:val="pt-BR"/>
        </w:rPr>
      </w:pPr>
      <w:r>
        <w:rPr>
          <w:lang w:val="pt-BR"/>
        </w:rPr>
        <w:t>Certeza: 9</w:t>
      </w:r>
    </w:p>
    <w:p w14:paraId="2F0ED5E3" w14:textId="653A7BC1" w:rsidR="009B5A73" w:rsidRPr="009B5A73" w:rsidRDefault="009B5A73">
      <w:pPr>
        <w:pStyle w:val="Textodecomentrio"/>
        <w:rPr>
          <w:lang w:val="pt-BR"/>
        </w:rPr>
      </w:pPr>
    </w:p>
  </w:comment>
  <w:comment w:id="1" w:author="Marcos Dwayne Saraiva Costa - GDSXSR" w:date="2026-10-11T15:08:00Z" w:initials="MD">
    <w:p w14:paraId="5063A203" w14:textId="0C8EA17D" w:rsidR="00B74F57" w:rsidRDefault="00B74F57">
      <w:pPr>
        <w:pStyle w:val="Textodecomentrio"/>
      </w:pPr>
      <w:r>
        <w:rPr>
          <w:rStyle w:val="Refdecomentrio"/>
        </w:rPr>
        <w:annotationRef/>
      </w:r>
      <w:r>
        <w:t>revisado</w:t>
      </w:r>
    </w:p>
  </w:comment>
  <w:comment w:id="2" w:author="Revisor GDSXSR" w:date="2026-10-11T15:30:00Z" w:initials="RG">
    <w:p w14:paraId="34F83087" w14:textId="77777777" w:rsidR="0099371E" w:rsidRDefault="00000000">
      <w:r>
        <w:annotationRef/>
      </w:r>
      <w:r>
        <w:t>REVISOR GDSXSR — Alterações mecânicas: título EMENTA à esquerda (C-42); decisão agravada anexada em verde 00B050 (C-45); título do resumo ajustado a "EM SENTIDO CONTRÁRIO AO VOTO" (C-39); RELATÓRIO no topo da página (C-32); texto novo em cinza 808080 (C-44).</w:t>
      </w:r>
    </w:p>
  </w:comment>
  <w:comment w:id="3" w:author="Revisor GDSXSR" w:date="2026-10-11T15:30:00Z" w:initials="RG">
    <w:p w14:paraId="306A8CE7" w14:textId="77777777" w:rsidR="0099371E" w:rsidRDefault="00000000">
      <w:r>
        <w:annotationRef/>
      </w:r>
      <w:r>
        <w:t>REVISOR GDSXSR — Texto literal (C-63): CPC, art. 919, § 1º: “O juiz poderá, a requerimento do embargante, atribuir efeito suspensivo aos embargos quando verificados os requisitos para a concessão da tutela provisória e desde que a execução já esteja garantida por penhora, depósito ou caução suficientes.” CPC, art. 784, III: “o documento particular assinado pelo devedor e por 2 (duas) testemunhas;” (fonte: Planalto, Lei 13.105/2015). Observação: o art. 784, § 4º (Lei 14.620/2023) dispensa as testemunhas nos títulos eletrônicos quando a integridade for conferida por provedor de assinatura; o voto não precisou dele, porque o contrato foi assinado por duas testemunhas (ID 280981263, da execução).</w:t>
      </w:r>
    </w:p>
  </w:comment>
  <w:comment w:id="4" w:author="Revisor GDSXSR" w:date="2026-10-11T15:30:00Z" w:initials="RG">
    <w:p w14:paraId="02AC35F1" w14:textId="77777777" w:rsidR="0099371E" w:rsidRDefault="00000000">
      <w:r>
        <w:annotationRef/>
      </w:r>
      <w:r>
        <w:t>REVISOR GDSXSR — Desmembrei o item 7 da ementa em quatro (tese da mitigação da garantia; prova insuficiente; decisão que não indeferiu a gratuidade; conclusão), renumerei o dispositivo (item 11) e acrescentei o agravo interno prejudicado, só na ementa, no relatório e no dispositivo, sem capítulo próprio (C-18, C-35, C-36).</w:t>
      </w:r>
    </w:p>
  </w:comment>
  <w:comment w:id="5" w:author="Revisor GDSXSR" w:date="2026-10-11T15:30:00Z" w:initials="RG">
    <w:p w14:paraId="239DFE9F" w14:textId="77777777" w:rsidR="0099371E" w:rsidRDefault="00000000">
      <w:r>
        <w:annotationRef/>
      </w:r>
      <w:r>
        <w:t>REVISOR GDSXSR — Retirei da lista o acórdão 0708931-52.2018.8.07.0000 (5ª Turma Cível), cujo trecho suprimi do voto, em coerência com C-65 e C-71.</w:t>
      </w:r>
    </w:p>
  </w:comment>
  <w:comment w:id="6" w:author="Revisor GDSXSR" w:date="2026-10-11T15:30:00Z" w:initials="RG">
    <w:p w14:paraId="7F3DE9B6" w14:textId="77777777" w:rsidR="0099371E" w:rsidRDefault="00000000">
      <w:r>
        <w:annotationRef/>
      </w:r>
      <w:r>
        <w:t>REVISOR GDSXSR — Corrigi "Contrarrazões ao agravo interno" para "ao agravo de instrumento": o conteúdo do parágrafo responde aos fundamentos do agravo de instrumento (título executivo, duplicatas, excesso de execução, hipossuficiência). Ajustei também o item 2 ("a executividade das duplicatas protestadas e afirma que…"), que estava sem sujeito, e o espaço duplo em "o  contrato". Conferir o ID 90646881 no PJe (C-52).</w:t>
      </w:r>
    </w:p>
  </w:comment>
  <w:comment w:id="7" w:author="Revisor GDSXSR" w:date="2026-10-11T15:30:00Z" w:initials="RG">
    <w:p w14:paraId="053BD4B2" w14:textId="77777777" w:rsidR="0099371E" w:rsidRDefault="00000000">
      <w:r>
        <w:annotationRef/>
      </w:r>
      <w:r>
        <w:t>REVISOR GDSXSR — Reorganizei o fecho do relatório: o agravo interno contra a liminar (ID 90151615) vem logo depois da decisão que indeferiu o efeito suspensivo e a nota "Sem contrarrazões ao agravo interno" passou para a mesma frase, evitando a contradição com as contrarrazões do agravo de instrumento.</w:t>
      </w:r>
    </w:p>
  </w:comment>
  <w:comment w:id="8" w:author="Revisor GDSXSR" w:date="2026-10-11T15:30:00Z" w:initials="RG">
    <w:p w14:paraId="635B6197" w14:textId="77777777" w:rsidR="0099371E" w:rsidRDefault="00000000">
      <w:r>
        <w:annotationRef/>
      </w:r>
      <w:r>
        <w:t>REVISOR GDSXSR — Troquei "expostas da decisão" por "expostas na decisão liminar", fórmula do Gabinete que indica só o ato (C-17 v10).</w:t>
      </w:r>
    </w:p>
  </w:comment>
  <w:comment w:id="9" w:author="Revisor GDSXSR" w:date="2026-10-11T15:30:00Z" w:initials="RG">
    <w:p w14:paraId="43BBCF26" w14:textId="77777777" w:rsidR="0099371E" w:rsidRDefault="00000000">
      <w:r>
        <w:annotationRef/>
      </w:r>
      <w:r>
        <w:t>REVISOR GDSXSR — Reuni em um único parágrafo a frase que estava partida em "…do" / "CPC:" (erro de quebra de parágrafo dentro da transcrição).</w:t>
      </w:r>
    </w:p>
  </w:comment>
  <w:comment w:id="10" w:author="Revisor GDSXSR" w:date="2026-10-11T15:30:00Z" w:initials="RG">
    <w:p w14:paraId="1706B0DC" w14:textId="77777777" w:rsidR="0099371E" w:rsidRDefault="00000000">
      <w:r>
        <w:annotationRef/>
      </w:r>
      <w:r>
        <w:t>REVISOR GDSXSR — Suprimi o acórdão 1125190 (5ª Turma Cível, 2018) da transcrição da liminar: ele sustenta a mesma tese do acórdão 1893206 (2ª Turma Cível, 2024), já transcrito com o STJ (REsp 1.487.772/SE) e outro precedente do TJDFT. Um precedente por tese (C-65).</w:t>
      </w:r>
    </w:p>
  </w:comment>
  <w:comment w:id="11" w:author="Revisor GDSXSR" w:date="2026-10-11T15:30:00Z" w:initials="RG">
    <w:p w14:paraId="76BBA968" w14:textId="77777777" w:rsidR="0099371E" w:rsidRDefault="00000000">
      <w:r>
        <w:annotationRef/>
      </w:r>
      <w:r>
        <w:t>REVISOR GDSXSR — Reescrevi o fecho na fórmula do voto que mantém a liminar ("Desse modo, ausente elemento novo… deve ser mantida a r. decisão agravada"), com o ID da decisão agravada (C-17).</w:t>
      </w:r>
    </w:p>
  </w:comment>
  <w:comment w:id="12" w:author="Revisor GDSXSR" w:date="2026-10-11T15:30:00Z" w:initials="RG">
    <w:p w14:paraId="185EF18C" w14:textId="77777777" w:rsidR="0099371E" w:rsidRDefault="00000000">
      <w:r>
        <w:annotationRef/>
      </w:r>
      <w:r>
        <w:t>REVISOR GDSXSR — Acrescentei "e julgo prejudicado o agravo interno" ao dispositivo, oração final prevista em C-18 (o julgamento do mérito do agravo de instrumento prejudica o recurso contra a liminar); ementa e relatório já tratam do tema.</w:t>
      </w:r>
    </w:p>
  </w:comment>
  <w:comment w:id="13" w:author="Minuta GDSXSR" w:initials="MG" w:date="2026-10-28T18:03:39Z">
    <w:p>
      <w:pPr>
        <w:pStyle w:val="CommentText"/>
      </w:pPr>
      <w:r>
        <w:rPr>
          <w:rStyle w:val="CommentReference"/>
        </w:rPr>
        <w:annotationRef/>
      </w:r>
      <w:r>
        <w:t>MINUTA GDSXSR — Minuta do zero (AGI, NP), feita sobre a liminar do Relator (ID 89728784) e as peças do agravo. Modelos consultados: AGI 0743704-45 (NP, liminar transcrita, relatório da liminar e fecho, C-17 e C-3S) e AGI 0739858-20 (NP, transcrição integral da liminar, C-17 v42). O índice não traz voto de penhora de faturamento (busca por faturamento, Tema 769 e administrador): a forma vem desses modelos e a matéria, da liminar e do Tema 769/STJ. Resultado NP: segue a liminar, porque a decisão agravada não homologou o plano, não fixou percentual e não determinou retenção de valores (C-53).</w:t>
      </w:r>
    </w:p>
  </w:comment>
  <w:comment w:id="14" w:author="Minuta GDSXSR" w:initials="MG" w:date="2026-10-28T18:03:39Z">
    <w:p>
      <w:pPr>
        <w:pStyle w:val="CommentText"/>
      </w:pPr>
      <w:r>
        <w:rPr>
          <w:rStyle w:val="CommentReference"/>
        </w:rPr>
        <w:annotationRef/>
      </w:r>
      <w:r>
        <w:t>MINUTA GDSXSR — Texto literal (C-63): CPC, art. 866: “Art. 866. Se o executado não tiver outros bens penhoráveis ou se, tendo-os, esses forem de difícil alienação ou insuficientes para saldar o crédito executado, o juiz poderá ordenar a penhora de percentual de faturamento de empresa. § 1º O juiz fixará percentual que propicie a satisfação do crédito exequendo em tempo razoável, mas que não torne inviável o exercício da atividade empresarial.” (fonte: iajus, ler_documento, Lei 13.105/2015, texto vigente devolvido em 28/10/2026). Pendência (C-64): a consulta de alterações do art. 866 no iajus recusou a entrada; não conferi o histórico de alterações no Planalto.</w:t>
      </w:r>
    </w:p>
  </w:comment>
  <w:comment w:id="15" w:author="Minuta GDSXSR" w:initials="MG" w:date="2026-10-28T18:03:39Z">
    <w:p>
      <w:pPr>
        <w:pStyle w:val="CommentText"/>
      </w:pPr>
      <w:r>
        <w:rPr>
          <w:rStyle w:val="CommentReference"/>
        </w:rPr>
        <w:annotationRef/>
      </w:r>
      <w:r>
        <w:t>MINUTA GDSXSR — Resumo em vermelho (C-39) feito a partir das razões do agravo (ID 89603134). Valores conferidos nos balanços juntados (ID 89603139 e 89603140): receita operacional bruta R$ 912.590,00; prejuízo do exercício R$ 72.236,65; passivo circulante R$ 1.040.641,80; patrimônio líquido negativo R$ 1.078.161,16.</w:t>
      </w:r>
    </w:p>
  </w:comment>
  <w:comment w:id="16" w:author="Minuta GDSXSR" w:initials="MG" w:date="2026-10-28T18:03:39Z">
    <w:p>
      <w:pPr>
        <w:pStyle w:val="CommentText"/>
      </w:pPr>
      <w:r>
        <w:rPr>
          <w:rStyle w:val="CommentReference"/>
        </w:rPr>
        <w:annotationRef/>
      </w:r>
      <w:r>
        <w:t>MINUTA GDSXSR — Pendência (C-24, C-52): peças do processo de origem 0706636-58.2026.8.07.0001 não recebidas. Faltam a proposta de honorários e o plano de constrição do administrador (ID 286206473 e 286206474), a decisão que deferiu a penhora do faturamento (ID 282441098) e o andamento posterior a 24/08/2026. O plano é descrito aqui só pelo que a liminar registrou (ID 89728784). Se o Juízo de origem já homologou o plano, fixou percentual ou mandou reter valores, o voto precisa ser refeito.</w:t>
      </w:r>
    </w:p>
  </w:comment>
  <w:comment w:id="17" w:author="Minuta GDSXSR" w:initials="MG" w:date="2026-10-28T18:03:39Z">
    <w:p>
      <w:pPr>
        <w:pStyle w:val="CommentText"/>
      </w:pPr>
      <w:r>
        <w:rPr>
          <w:rStyle w:val="CommentReference"/>
        </w:rPr>
        <w:annotationRef/>
      </w:r>
      <w:r>
        <w:t>MINUTA GDSXSR — Transcrevi a fundamentação inteira da liminar, com a decisão agravada em bloco próprio e o ID de origem (C-17 v42). Normalizei só espaços e quebras de colagem do PDF; o texto não foi alterado (C-66).</w:t>
      </w:r>
    </w:p>
  </w:comment>
  <w:comment w:id="18" w:author="Minuta GDSXSR" w:initials="MG" w:date="2026-10-28T18:03:39Z">
    <w:p>
      <w:pPr>
        <w:pStyle w:val="CommentText"/>
      </w:pPr>
      <w:r>
        <w:rPr>
          <w:rStyle w:val="CommentReference"/>
        </w:rPr>
        <w:annotationRef/>
      </w:r>
      <w:r>
        <w:t>MINUTA GDSXSR — Texto literal (C-61, C-63): Tema Repetitivo 769/STJ, item IV, conforme o registro do iajus (tese vigente), transcrito no corpo. Pendência (C-52, C-72): o iajus confirmou a tese e a vigência, mas não devolveu órgão julgador, leading case nem DJe. Usei Primeira Seção e REsps n. 1.835.864/SP, 1.666.542/SP e 1.835.865/SP, Rel. Min. Herman Benjamin, j. 18/04/2024, como consta da liminar e de fonte secundária (Trilhante). A página do STJ não abriu na busca na web. O DJe fica a completar no SCON/STJ (a fonte secundária indica 09/05/2024, não conferido).</w:t>
      </w:r>
    </w:p>
  </w:comment>
  <w:comment w:id="19" w:author="Minuta GDSXSR" w:initials="MG" w:date="2026-10-28T18:03:39Z">
    <w:p>
      <w:pPr>
        <w:pStyle w:val="CommentText"/>
      </w:pPr>
      <w:r>
        <w:rPr>
          <w:rStyle w:val="CommentReference"/>
        </w:rPr>
        <w:annotationRef/>
      </w:r>
      <w:r>
        <w:t>MINUTA GDSXSR — Não fixei honorários recursais: o perfil AGI (3) os exclui em regra, e a exceção da desconsideração da personalidade jurídica não é o caso. As contrarrazões pedem custas e honorários sucumbenciais das agravantes (ID 90025093); o pedido não consta do dispositivo (C-3F).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0ED5E3" w15:done="0"/>
  <w15:commentEx w15:paraId="5063A203" w15:paraIdParent="2F0ED5E3" w15:done="0"/>
  <w15:commentEx w15:paraId="34F83087" w15:done="0"/>
  <w15:commentEx w15:paraId="306A8CE7" w15:done="0"/>
  <w15:commentEx w15:paraId="02AC35F1" w15:done="0"/>
  <w15:commentEx w15:paraId="239DFE9F" w15:done="0"/>
  <w15:commentEx w15:paraId="7F3DE9B6" w15:done="0"/>
  <w15:commentEx w15:paraId="053BD4B2" w15:done="0"/>
  <w15:commentEx w15:paraId="635B6197" w15:done="0"/>
  <w15:commentEx w15:paraId="43BBCF26" w15:done="0"/>
  <w15:commentEx w15:paraId="1706B0DC" w15:done="0"/>
  <w15:commentEx w15:paraId="76BBA968" w15:done="0"/>
  <w15:commentEx w15:paraId="185EF18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C5E5E9" w16cex:dateUtc="2026-10-11T18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0ED5E3" w16cid:durableId="2E7212E3"/>
  <w16cid:commentId w16cid:paraId="5063A203" w16cid:durableId="2DC5E5E9"/>
  <w16cid:commentId w16cid:paraId="34F83087" w16cid:durableId="34F83087"/>
  <w16cid:commentId w16cid:paraId="306A8CE7" w16cid:durableId="306A8CE7"/>
  <w16cid:commentId w16cid:paraId="02AC35F1" w16cid:durableId="02AC35F1"/>
  <w16cid:commentId w16cid:paraId="239DFE9F" w16cid:durableId="239DFE9F"/>
  <w16cid:commentId w16cid:paraId="7F3DE9B6" w16cid:durableId="7F3DE9B6"/>
  <w16cid:commentId w16cid:paraId="053BD4B2" w16cid:durableId="053BD4B2"/>
  <w16cid:commentId w16cid:paraId="635B6197" w16cid:durableId="635B6197"/>
  <w16cid:commentId w16cid:paraId="43BBCF26" w16cid:durableId="43BBCF26"/>
  <w16cid:commentId w16cid:paraId="1706B0DC" w16cid:durableId="1706B0DC"/>
  <w16cid:commentId w16cid:paraId="76BBA968" w16cid:durableId="76BBA968"/>
  <w16cid:commentId w16cid:paraId="185EF18C" w16cid:durableId="185EF1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1C185" w14:textId="77777777" w:rsidR="005A3FD6" w:rsidRDefault="005A3FD6" w:rsidP="003A42DE">
      <w:pPr>
        <w:spacing w:after="0" w:line="240" w:lineRule="auto"/>
      </w:pPr>
      <w:r>
        <w:separator/>
      </w:r>
    </w:p>
  </w:endnote>
  <w:endnote w:type="continuationSeparator" w:id="0">
    <w:p w14:paraId="0AE884D4" w14:textId="77777777" w:rsidR="005A3FD6" w:rsidRDefault="005A3FD6" w:rsidP="003A42DE">
      <w:pPr>
        <w:spacing w:after="0" w:line="240" w:lineRule="auto"/>
      </w:pPr>
      <w:r>
        <w:continuationSeparator/>
      </w:r>
    </w:p>
  </w:endnote>
  <w:endnote w:type="continuationNotice" w:id="1">
    <w:p w14:paraId="4A152FB4" w14:textId="77777777" w:rsidR="005A3FD6" w:rsidRDefault="005A3FD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8E5FB" w14:textId="77777777" w:rsidR="005A3FD6" w:rsidRDefault="005A3FD6" w:rsidP="003A42DE">
      <w:pPr>
        <w:spacing w:after="0" w:line="240" w:lineRule="auto"/>
      </w:pPr>
      <w:r>
        <w:separator/>
      </w:r>
    </w:p>
  </w:footnote>
  <w:footnote w:type="continuationSeparator" w:id="0">
    <w:p w14:paraId="65FCF097" w14:textId="77777777" w:rsidR="005A3FD6" w:rsidRDefault="005A3FD6" w:rsidP="003A42DE">
      <w:pPr>
        <w:spacing w:after="0" w:line="240" w:lineRule="auto"/>
      </w:pPr>
      <w:r>
        <w:continuationSeparator/>
      </w:r>
    </w:p>
  </w:footnote>
  <w:footnote w:type="continuationNotice" w:id="1">
    <w:p w14:paraId="1DBB2BA5" w14:textId="77777777" w:rsidR="005A3FD6" w:rsidRDefault="005A3FD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160D3"/>
    <w:multiLevelType w:val="hybridMultilevel"/>
    <w:tmpl w:val="F3A22752"/>
    <w:lvl w:ilvl="0" w:tplc="332EDA1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num w:numId="1" w16cid:durableId="627319827">
    <w:abstractNumId w:val="1"/>
  </w:num>
  <w:num w:numId="2" w16cid:durableId="1397048173">
    <w:abstractNumId w:val="0"/>
  </w:num>
  <w:num w:numId="3" w16cid:durableId="191832456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ylena Stephanie De Novais Pereira Moraes - Estagiário - GDSXSR">
    <w15:presenceInfo w15:providerId="AD" w15:userId="S-1-12-1-1980081617-1281101615-2286160294-2575491437"/>
  </w15:person>
  <w15:person w15:author="Marcos Dwayne Saraiva Costa - GDSXSR">
    <w15:presenceInfo w15:providerId="AD" w15:userId="S::t321760@tjdft.jus.br::71ef89ef-9eb5-4780-8a4d-3f3a792db9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05FE1"/>
    <w:rsid w:val="00012123"/>
    <w:rsid w:val="0002189B"/>
    <w:rsid w:val="00022D84"/>
    <w:rsid w:val="0002738F"/>
    <w:rsid w:val="00033AFD"/>
    <w:rsid w:val="00034BFA"/>
    <w:rsid w:val="000354CF"/>
    <w:rsid w:val="000364B1"/>
    <w:rsid w:val="0005261A"/>
    <w:rsid w:val="00052AE3"/>
    <w:rsid w:val="00054434"/>
    <w:rsid w:val="000564D1"/>
    <w:rsid w:val="0006080C"/>
    <w:rsid w:val="000619E0"/>
    <w:rsid w:val="00064301"/>
    <w:rsid w:val="00067717"/>
    <w:rsid w:val="000701F9"/>
    <w:rsid w:val="00074DCF"/>
    <w:rsid w:val="00076D7D"/>
    <w:rsid w:val="00077579"/>
    <w:rsid w:val="00080991"/>
    <w:rsid w:val="0009174A"/>
    <w:rsid w:val="00091ABC"/>
    <w:rsid w:val="000A7009"/>
    <w:rsid w:val="000B0FC6"/>
    <w:rsid w:val="000D184E"/>
    <w:rsid w:val="000D1D2F"/>
    <w:rsid w:val="000D2E62"/>
    <w:rsid w:val="000D59B2"/>
    <w:rsid w:val="000F10FD"/>
    <w:rsid w:val="000F1358"/>
    <w:rsid w:val="000F1817"/>
    <w:rsid w:val="000F5CB5"/>
    <w:rsid w:val="001009CC"/>
    <w:rsid w:val="001055EE"/>
    <w:rsid w:val="0011527A"/>
    <w:rsid w:val="00115458"/>
    <w:rsid w:val="00115569"/>
    <w:rsid w:val="00122133"/>
    <w:rsid w:val="00125329"/>
    <w:rsid w:val="00126B66"/>
    <w:rsid w:val="00131A63"/>
    <w:rsid w:val="00134765"/>
    <w:rsid w:val="00137A7E"/>
    <w:rsid w:val="00143475"/>
    <w:rsid w:val="001514DA"/>
    <w:rsid w:val="00151611"/>
    <w:rsid w:val="00161CD2"/>
    <w:rsid w:val="001653BF"/>
    <w:rsid w:val="00173733"/>
    <w:rsid w:val="001801E9"/>
    <w:rsid w:val="00182C91"/>
    <w:rsid w:val="00183178"/>
    <w:rsid w:val="00183B77"/>
    <w:rsid w:val="00183D34"/>
    <w:rsid w:val="00187D84"/>
    <w:rsid w:val="001A09B8"/>
    <w:rsid w:val="001B5F56"/>
    <w:rsid w:val="001C3A23"/>
    <w:rsid w:val="001C466B"/>
    <w:rsid w:val="001D2162"/>
    <w:rsid w:val="001D300D"/>
    <w:rsid w:val="001D385D"/>
    <w:rsid w:val="001E4974"/>
    <w:rsid w:val="001E7903"/>
    <w:rsid w:val="001F7AC2"/>
    <w:rsid w:val="00200670"/>
    <w:rsid w:val="00203242"/>
    <w:rsid w:val="00203B1D"/>
    <w:rsid w:val="002047FF"/>
    <w:rsid w:val="00204F2E"/>
    <w:rsid w:val="00205849"/>
    <w:rsid w:val="00205FCC"/>
    <w:rsid w:val="00206304"/>
    <w:rsid w:val="002126F1"/>
    <w:rsid w:val="0021526A"/>
    <w:rsid w:val="00215557"/>
    <w:rsid w:val="002242EE"/>
    <w:rsid w:val="00231427"/>
    <w:rsid w:val="00232EEB"/>
    <w:rsid w:val="00252006"/>
    <w:rsid w:val="00253393"/>
    <w:rsid w:val="00254E51"/>
    <w:rsid w:val="0026070B"/>
    <w:rsid w:val="00264107"/>
    <w:rsid w:val="00274644"/>
    <w:rsid w:val="00277029"/>
    <w:rsid w:val="0028319F"/>
    <w:rsid w:val="0028377E"/>
    <w:rsid w:val="00283BF5"/>
    <w:rsid w:val="00292D3B"/>
    <w:rsid w:val="00292E82"/>
    <w:rsid w:val="00296DAE"/>
    <w:rsid w:val="002A2038"/>
    <w:rsid w:val="002A3D11"/>
    <w:rsid w:val="002A5205"/>
    <w:rsid w:val="002B1184"/>
    <w:rsid w:val="002B210E"/>
    <w:rsid w:val="002B6CCD"/>
    <w:rsid w:val="002C2464"/>
    <w:rsid w:val="002C42D2"/>
    <w:rsid w:val="002C6CFC"/>
    <w:rsid w:val="002D0BA1"/>
    <w:rsid w:val="002D127E"/>
    <w:rsid w:val="002D2D56"/>
    <w:rsid w:val="002D3FF3"/>
    <w:rsid w:val="002F13AB"/>
    <w:rsid w:val="00303FAE"/>
    <w:rsid w:val="0031063D"/>
    <w:rsid w:val="00312291"/>
    <w:rsid w:val="00312DDE"/>
    <w:rsid w:val="00314FAC"/>
    <w:rsid w:val="00316B1F"/>
    <w:rsid w:val="00321068"/>
    <w:rsid w:val="00323779"/>
    <w:rsid w:val="00323D27"/>
    <w:rsid w:val="0033305F"/>
    <w:rsid w:val="00337362"/>
    <w:rsid w:val="0034511C"/>
    <w:rsid w:val="00347818"/>
    <w:rsid w:val="00351653"/>
    <w:rsid w:val="00351BF2"/>
    <w:rsid w:val="003524E5"/>
    <w:rsid w:val="00352D66"/>
    <w:rsid w:val="00353DC8"/>
    <w:rsid w:val="00354AA2"/>
    <w:rsid w:val="00355C73"/>
    <w:rsid w:val="00361B6F"/>
    <w:rsid w:val="003624B4"/>
    <w:rsid w:val="003668EB"/>
    <w:rsid w:val="003717FC"/>
    <w:rsid w:val="003749AB"/>
    <w:rsid w:val="00375FE4"/>
    <w:rsid w:val="0038410E"/>
    <w:rsid w:val="00396413"/>
    <w:rsid w:val="003A42DE"/>
    <w:rsid w:val="003A4E55"/>
    <w:rsid w:val="003B3398"/>
    <w:rsid w:val="003D11BE"/>
    <w:rsid w:val="003D3FEE"/>
    <w:rsid w:val="003D4AC5"/>
    <w:rsid w:val="003E436D"/>
    <w:rsid w:val="003F6A6A"/>
    <w:rsid w:val="00413928"/>
    <w:rsid w:val="00423538"/>
    <w:rsid w:val="004236F7"/>
    <w:rsid w:val="00423F93"/>
    <w:rsid w:val="004310D8"/>
    <w:rsid w:val="0044278D"/>
    <w:rsid w:val="004436D1"/>
    <w:rsid w:val="004451BA"/>
    <w:rsid w:val="00445ED9"/>
    <w:rsid w:val="00447ECC"/>
    <w:rsid w:val="00451A6D"/>
    <w:rsid w:val="00456F19"/>
    <w:rsid w:val="00460071"/>
    <w:rsid w:val="00463883"/>
    <w:rsid w:val="00466CB5"/>
    <w:rsid w:val="00467E86"/>
    <w:rsid w:val="00470D8F"/>
    <w:rsid w:val="0047216B"/>
    <w:rsid w:val="00475E1F"/>
    <w:rsid w:val="004762F1"/>
    <w:rsid w:val="00480A33"/>
    <w:rsid w:val="00485185"/>
    <w:rsid w:val="00485643"/>
    <w:rsid w:val="00495EB5"/>
    <w:rsid w:val="00496EB5"/>
    <w:rsid w:val="004A3312"/>
    <w:rsid w:val="004B14BB"/>
    <w:rsid w:val="004B2A9C"/>
    <w:rsid w:val="004C0465"/>
    <w:rsid w:val="004C33F1"/>
    <w:rsid w:val="004C591E"/>
    <w:rsid w:val="004C7418"/>
    <w:rsid w:val="004D3E2F"/>
    <w:rsid w:val="004E27C1"/>
    <w:rsid w:val="004E61E1"/>
    <w:rsid w:val="004E6253"/>
    <w:rsid w:val="004F262B"/>
    <w:rsid w:val="004F58CC"/>
    <w:rsid w:val="00502781"/>
    <w:rsid w:val="00506A7D"/>
    <w:rsid w:val="00506D76"/>
    <w:rsid w:val="00517F10"/>
    <w:rsid w:val="00520126"/>
    <w:rsid w:val="00530C7C"/>
    <w:rsid w:val="00534782"/>
    <w:rsid w:val="00537AE0"/>
    <w:rsid w:val="00542FD5"/>
    <w:rsid w:val="00544796"/>
    <w:rsid w:val="0054511D"/>
    <w:rsid w:val="00550DE0"/>
    <w:rsid w:val="00557342"/>
    <w:rsid w:val="00560427"/>
    <w:rsid w:val="005654BC"/>
    <w:rsid w:val="0057351F"/>
    <w:rsid w:val="00573C5D"/>
    <w:rsid w:val="00576A45"/>
    <w:rsid w:val="0057726B"/>
    <w:rsid w:val="00582A1C"/>
    <w:rsid w:val="00586CF2"/>
    <w:rsid w:val="00586EB6"/>
    <w:rsid w:val="005925FC"/>
    <w:rsid w:val="005953DB"/>
    <w:rsid w:val="0059689A"/>
    <w:rsid w:val="00597864"/>
    <w:rsid w:val="005A1AD9"/>
    <w:rsid w:val="005A3FD6"/>
    <w:rsid w:val="005B1C70"/>
    <w:rsid w:val="005B3A9E"/>
    <w:rsid w:val="005B7851"/>
    <w:rsid w:val="005C2DC2"/>
    <w:rsid w:val="005C31C4"/>
    <w:rsid w:val="005C69F8"/>
    <w:rsid w:val="005D438E"/>
    <w:rsid w:val="005D6271"/>
    <w:rsid w:val="005E3F4E"/>
    <w:rsid w:val="006016E9"/>
    <w:rsid w:val="00601B09"/>
    <w:rsid w:val="0060333D"/>
    <w:rsid w:val="00611216"/>
    <w:rsid w:val="0061262D"/>
    <w:rsid w:val="00614EED"/>
    <w:rsid w:val="00615051"/>
    <w:rsid w:val="00615A3E"/>
    <w:rsid w:val="00620BEC"/>
    <w:rsid w:val="006226C6"/>
    <w:rsid w:val="00624943"/>
    <w:rsid w:val="00631154"/>
    <w:rsid w:val="006318D6"/>
    <w:rsid w:val="00632EAA"/>
    <w:rsid w:val="00633703"/>
    <w:rsid w:val="00635527"/>
    <w:rsid w:val="00640282"/>
    <w:rsid w:val="00641BB6"/>
    <w:rsid w:val="00643B97"/>
    <w:rsid w:val="00645ACD"/>
    <w:rsid w:val="00661CF3"/>
    <w:rsid w:val="00665626"/>
    <w:rsid w:val="006658A2"/>
    <w:rsid w:val="00672FEA"/>
    <w:rsid w:val="00684AF2"/>
    <w:rsid w:val="00684EAC"/>
    <w:rsid w:val="006921E1"/>
    <w:rsid w:val="00693B0D"/>
    <w:rsid w:val="006B2691"/>
    <w:rsid w:val="006B2A89"/>
    <w:rsid w:val="006B2CF6"/>
    <w:rsid w:val="006B555B"/>
    <w:rsid w:val="006C2F8C"/>
    <w:rsid w:val="006C6C58"/>
    <w:rsid w:val="006C6E29"/>
    <w:rsid w:val="006D07B9"/>
    <w:rsid w:val="006D0993"/>
    <w:rsid w:val="006D3824"/>
    <w:rsid w:val="006F10C9"/>
    <w:rsid w:val="006F725D"/>
    <w:rsid w:val="00711FE9"/>
    <w:rsid w:val="007135BF"/>
    <w:rsid w:val="00726567"/>
    <w:rsid w:val="00730800"/>
    <w:rsid w:val="007378F8"/>
    <w:rsid w:val="00744BDF"/>
    <w:rsid w:val="00745507"/>
    <w:rsid w:val="00745995"/>
    <w:rsid w:val="00751B6A"/>
    <w:rsid w:val="00755F58"/>
    <w:rsid w:val="007623B9"/>
    <w:rsid w:val="007650E0"/>
    <w:rsid w:val="00765559"/>
    <w:rsid w:val="00765709"/>
    <w:rsid w:val="00770E7F"/>
    <w:rsid w:val="00773803"/>
    <w:rsid w:val="0077693D"/>
    <w:rsid w:val="0077719E"/>
    <w:rsid w:val="00782446"/>
    <w:rsid w:val="007844F9"/>
    <w:rsid w:val="00787C80"/>
    <w:rsid w:val="00791D48"/>
    <w:rsid w:val="00794CD6"/>
    <w:rsid w:val="007A1438"/>
    <w:rsid w:val="007A3F4D"/>
    <w:rsid w:val="007B265E"/>
    <w:rsid w:val="007B4139"/>
    <w:rsid w:val="007C0FEF"/>
    <w:rsid w:val="007C196D"/>
    <w:rsid w:val="007C4969"/>
    <w:rsid w:val="007C4990"/>
    <w:rsid w:val="007C7C97"/>
    <w:rsid w:val="007D00F1"/>
    <w:rsid w:val="007D27C7"/>
    <w:rsid w:val="007D3BA7"/>
    <w:rsid w:val="007D4432"/>
    <w:rsid w:val="007E1C8C"/>
    <w:rsid w:val="007E3BF9"/>
    <w:rsid w:val="007E5B92"/>
    <w:rsid w:val="007E7A70"/>
    <w:rsid w:val="007F0F43"/>
    <w:rsid w:val="007F1C38"/>
    <w:rsid w:val="007F4412"/>
    <w:rsid w:val="007F7839"/>
    <w:rsid w:val="00800051"/>
    <w:rsid w:val="00803BB3"/>
    <w:rsid w:val="00803D87"/>
    <w:rsid w:val="00804386"/>
    <w:rsid w:val="008134CE"/>
    <w:rsid w:val="0081505D"/>
    <w:rsid w:val="008151BB"/>
    <w:rsid w:val="00816916"/>
    <w:rsid w:val="008235A6"/>
    <w:rsid w:val="00825BFF"/>
    <w:rsid w:val="00830957"/>
    <w:rsid w:val="0085425F"/>
    <w:rsid w:val="0086390F"/>
    <w:rsid w:val="0087110A"/>
    <w:rsid w:val="00877CCC"/>
    <w:rsid w:val="00877F2B"/>
    <w:rsid w:val="00882188"/>
    <w:rsid w:val="00885C87"/>
    <w:rsid w:val="008966E3"/>
    <w:rsid w:val="008A01E9"/>
    <w:rsid w:val="008A4445"/>
    <w:rsid w:val="008A49BC"/>
    <w:rsid w:val="008A56A3"/>
    <w:rsid w:val="008A7E58"/>
    <w:rsid w:val="008B45C4"/>
    <w:rsid w:val="008C306F"/>
    <w:rsid w:val="008C34E5"/>
    <w:rsid w:val="008C4183"/>
    <w:rsid w:val="008C641E"/>
    <w:rsid w:val="008C76BC"/>
    <w:rsid w:val="008C7D23"/>
    <w:rsid w:val="008D0C9F"/>
    <w:rsid w:val="008D5996"/>
    <w:rsid w:val="008D6884"/>
    <w:rsid w:val="008D721A"/>
    <w:rsid w:val="008E143C"/>
    <w:rsid w:val="008F4440"/>
    <w:rsid w:val="008F7683"/>
    <w:rsid w:val="00911601"/>
    <w:rsid w:val="00921617"/>
    <w:rsid w:val="00923394"/>
    <w:rsid w:val="0092538F"/>
    <w:rsid w:val="009300C5"/>
    <w:rsid w:val="00931DD0"/>
    <w:rsid w:val="00933600"/>
    <w:rsid w:val="009431B2"/>
    <w:rsid w:val="00945DCA"/>
    <w:rsid w:val="00946FF7"/>
    <w:rsid w:val="009506E0"/>
    <w:rsid w:val="00951CAD"/>
    <w:rsid w:val="009571DF"/>
    <w:rsid w:val="00957E6B"/>
    <w:rsid w:val="00960398"/>
    <w:rsid w:val="00966A46"/>
    <w:rsid w:val="00972EF3"/>
    <w:rsid w:val="0097497B"/>
    <w:rsid w:val="0097780C"/>
    <w:rsid w:val="00980CE7"/>
    <w:rsid w:val="00981634"/>
    <w:rsid w:val="009820B5"/>
    <w:rsid w:val="009827B6"/>
    <w:rsid w:val="00987E9A"/>
    <w:rsid w:val="0099371E"/>
    <w:rsid w:val="0099680F"/>
    <w:rsid w:val="009A136D"/>
    <w:rsid w:val="009B1E72"/>
    <w:rsid w:val="009B5A73"/>
    <w:rsid w:val="009C1026"/>
    <w:rsid w:val="009C4045"/>
    <w:rsid w:val="009C5448"/>
    <w:rsid w:val="009C7BCB"/>
    <w:rsid w:val="009D0769"/>
    <w:rsid w:val="009D0BA0"/>
    <w:rsid w:val="009D1137"/>
    <w:rsid w:val="009D2DF1"/>
    <w:rsid w:val="009D349F"/>
    <w:rsid w:val="009E1D8D"/>
    <w:rsid w:val="009E3373"/>
    <w:rsid w:val="009E3BE9"/>
    <w:rsid w:val="009F18C2"/>
    <w:rsid w:val="009F2BB1"/>
    <w:rsid w:val="009F36E1"/>
    <w:rsid w:val="009F46EA"/>
    <w:rsid w:val="009F684C"/>
    <w:rsid w:val="009F759D"/>
    <w:rsid w:val="009F776B"/>
    <w:rsid w:val="00A03057"/>
    <w:rsid w:val="00A072A2"/>
    <w:rsid w:val="00A2661C"/>
    <w:rsid w:val="00A31C13"/>
    <w:rsid w:val="00A330C4"/>
    <w:rsid w:val="00A3595E"/>
    <w:rsid w:val="00A41999"/>
    <w:rsid w:val="00A430EB"/>
    <w:rsid w:val="00A47396"/>
    <w:rsid w:val="00A573A3"/>
    <w:rsid w:val="00A6481B"/>
    <w:rsid w:val="00A70E5C"/>
    <w:rsid w:val="00A72414"/>
    <w:rsid w:val="00A7422B"/>
    <w:rsid w:val="00A743A0"/>
    <w:rsid w:val="00A773CE"/>
    <w:rsid w:val="00A80091"/>
    <w:rsid w:val="00A83F1F"/>
    <w:rsid w:val="00A87227"/>
    <w:rsid w:val="00A958AF"/>
    <w:rsid w:val="00A96CB3"/>
    <w:rsid w:val="00A97525"/>
    <w:rsid w:val="00AA7E81"/>
    <w:rsid w:val="00AB1DE4"/>
    <w:rsid w:val="00AB26AC"/>
    <w:rsid w:val="00AB773B"/>
    <w:rsid w:val="00AB7E65"/>
    <w:rsid w:val="00AC20E1"/>
    <w:rsid w:val="00AD1D33"/>
    <w:rsid w:val="00AD24D8"/>
    <w:rsid w:val="00AD31EF"/>
    <w:rsid w:val="00AD5FD5"/>
    <w:rsid w:val="00AE0F7F"/>
    <w:rsid w:val="00AE2669"/>
    <w:rsid w:val="00AF1B4E"/>
    <w:rsid w:val="00B00941"/>
    <w:rsid w:val="00B04942"/>
    <w:rsid w:val="00B0675D"/>
    <w:rsid w:val="00B12207"/>
    <w:rsid w:val="00B1604B"/>
    <w:rsid w:val="00B17310"/>
    <w:rsid w:val="00B248B7"/>
    <w:rsid w:val="00B25170"/>
    <w:rsid w:val="00B30DAE"/>
    <w:rsid w:val="00B3408D"/>
    <w:rsid w:val="00B37857"/>
    <w:rsid w:val="00B41866"/>
    <w:rsid w:val="00B525A4"/>
    <w:rsid w:val="00B5663B"/>
    <w:rsid w:val="00B606B1"/>
    <w:rsid w:val="00B60851"/>
    <w:rsid w:val="00B62DB5"/>
    <w:rsid w:val="00B641BB"/>
    <w:rsid w:val="00B73FAD"/>
    <w:rsid w:val="00B74F57"/>
    <w:rsid w:val="00B75D6D"/>
    <w:rsid w:val="00B90CEF"/>
    <w:rsid w:val="00B96606"/>
    <w:rsid w:val="00BA3360"/>
    <w:rsid w:val="00BA65D0"/>
    <w:rsid w:val="00BA6F38"/>
    <w:rsid w:val="00BA700C"/>
    <w:rsid w:val="00BB2608"/>
    <w:rsid w:val="00BB6749"/>
    <w:rsid w:val="00BC1A88"/>
    <w:rsid w:val="00BC439E"/>
    <w:rsid w:val="00BD03AB"/>
    <w:rsid w:val="00BE143B"/>
    <w:rsid w:val="00BE75D7"/>
    <w:rsid w:val="00BF1494"/>
    <w:rsid w:val="00BF173F"/>
    <w:rsid w:val="00BF4903"/>
    <w:rsid w:val="00C01659"/>
    <w:rsid w:val="00C06269"/>
    <w:rsid w:val="00C12218"/>
    <w:rsid w:val="00C21B40"/>
    <w:rsid w:val="00C22469"/>
    <w:rsid w:val="00C249B8"/>
    <w:rsid w:val="00C30F6D"/>
    <w:rsid w:val="00C32ACE"/>
    <w:rsid w:val="00C33B77"/>
    <w:rsid w:val="00C341CF"/>
    <w:rsid w:val="00C34425"/>
    <w:rsid w:val="00C35090"/>
    <w:rsid w:val="00C3701F"/>
    <w:rsid w:val="00C40A19"/>
    <w:rsid w:val="00C4378B"/>
    <w:rsid w:val="00C57E17"/>
    <w:rsid w:val="00C6664A"/>
    <w:rsid w:val="00C7116D"/>
    <w:rsid w:val="00C85DF2"/>
    <w:rsid w:val="00C86C2D"/>
    <w:rsid w:val="00C92DD5"/>
    <w:rsid w:val="00C94119"/>
    <w:rsid w:val="00C952EA"/>
    <w:rsid w:val="00CA06BB"/>
    <w:rsid w:val="00CA324E"/>
    <w:rsid w:val="00CB0848"/>
    <w:rsid w:val="00CB4E4C"/>
    <w:rsid w:val="00CB6E7F"/>
    <w:rsid w:val="00CB7FF8"/>
    <w:rsid w:val="00CC0AA1"/>
    <w:rsid w:val="00CC7150"/>
    <w:rsid w:val="00CD0AA9"/>
    <w:rsid w:val="00CD23C3"/>
    <w:rsid w:val="00CD417F"/>
    <w:rsid w:val="00CF0581"/>
    <w:rsid w:val="00CF247F"/>
    <w:rsid w:val="00CF6AE6"/>
    <w:rsid w:val="00CF75DB"/>
    <w:rsid w:val="00CF7709"/>
    <w:rsid w:val="00D0142B"/>
    <w:rsid w:val="00D0207F"/>
    <w:rsid w:val="00D04BD8"/>
    <w:rsid w:val="00D07310"/>
    <w:rsid w:val="00D101EF"/>
    <w:rsid w:val="00D1067B"/>
    <w:rsid w:val="00D12579"/>
    <w:rsid w:val="00D12D71"/>
    <w:rsid w:val="00D135AB"/>
    <w:rsid w:val="00D1396B"/>
    <w:rsid w:val="00D14D52"/>
    <w:rsid w:val="00D17E79"/>
    <w:rsid w:val="00D21983"/>
    <w:rsid w:val="00D26B11"/>
    <w:rsid w:val="00D27BD7"/>
    <w:rsid w:val="00D3152A"/>
    <w:rsid w:val="00D333D6"/>
    <w:rsid w:val="00D34492"/>
    <w:rsid w:val="00D4104B"/>
    <w:rsid w:val="00D41D6E"/>
    <w:rsid w:val="00D42A8F"/>
    <w:rsid w:val="00D42B4A"/>
    <w:rsid w:val="00D516B2"/>
    <w:rsid w:val="00D67264"/>
    <w:rsid w:val="00D72189"/>
    <w:rsid w:val="00D75CF3"/>
    <w:rsid w:val="00D80EBC"/>
    <w:rsid w:val="00D84490"/>
    <w:rsid w:val="00D85E07"/>
    <w:rsid w:val="00D9046F"/>
    <w:rsid w:val="00D954E7"/>
    <w:rsid w:val="00DA13F0"/>
    <w:rsid w:val="00DA7998"/>
    <w:rsid w:val="00DB1301"/>
    <w:rsid w:val="00DB342D"/>
    <w:rsid w:val="00DC71DB"/>
    <w:rsid w:val="00DD433D"/>
    <w:rsid w:val="00DE599B"/>
    <w:rsid w:val="00DF0654"/>
    <w:rsid w:val="00DF2670"/>
    <w:rsid w:val="00DF2730"/>
    <w:rsid w:val="00E002AC"/>
    <w:rsid w:val="00E00326"/>
    <w:rsid w:val="00E211F5"/>
    <w:rsid w:val="00E235EE"/>
    <w:rsid w:val="00E24DAF"/>
    <w:rsid w:val="00E26735"/>
    <w:rsid w:val="00E42C50"/>
    <w:rsid w:val="00E437CF"/>
    <w:rsid w:val="00E4507B"/>
    <w:rsid w:val="00E47E65"/>
    <w:rsid w:val="00E53472"/>
    <w:rsid w:val="00E53CAF"/>
    <w:rsid w:val="00E60CFF"/>
    <w:rsid w:val="00E61CB9"/>
    <w:rsid w:val="00E6317D"/>
    <w:rsid w:val="00E63DFE"/>
    <w:rsid w:val="00E647A0"/>
    <w:rsid w:val="00E741A9"/>
    <w:rsid w:val="00E74479"/>
    <w:rsid w:val="00E748E4"/>
    <w:rsid w:val="00E76D30"/>
    <w:rsid w:val="00E806F5"/>
    <w:rsid w:val="00E84E8A"/>
    <w:rsid w:val="00E85A12"/>
    <w:rsid w:val="00E86190"/>
    <w:rsid w:val="00E864A4"/>
    <w:rsid w:val="00E91CD1"/>
    <w:rsid w:val="00E963CE"/>
    <w:rsid w:val="00E96D12"/>
    <w:rsid w:val="00E97CB9"/>
    <w:rsid w:val="00EA02BC"/>
    <w:rsid w:val="00EB1788"/>
    <w:rsid w:val="00EB3378"/>
    <w:rsid w:val="00EB3703"/>
    <w:rsid w:val="00EB3F6A"/>
    <w:rsid w:val="00EB54B5"/>
    <w:rsid w:val="00EB68CA"/>
    <w:rsid w:val="00EC5732"/>
    <w:rsid w:val="00ED0A9E"/>
    <w:rsid w:val="00ED3952"/>
    <w:rsid w:val="00ED44BA"/>
    <w:rsid w:val="00ED5E8E"/>
    <w:rsid w:val="00EE027D"/>
    <w:rsid w:val="00EE55D5"/>
    <w:rsid w:val="00EE6E0C"/>
    <w:rsid w:val="00EE6F9A"/>
    <w:rsid w:val="00EE760E"/>
    <w:rsid w:val="00EF0BC2"/>
    <w:rsid w:val="00EF2715"/>
    <w:rsid w:val="00F041BA"/>
    <w:rsid w:val="00F055DD"/>
    <w:rsid w:val="00F10BB8"/>
    <w:rsid w:val="00F10D23"/>
    <w:rsid w:val="00F12768"/>
    <w:rsid w:val="00F143F5"/>
    <w:rsid w:val="00F154E7"/>
    <w:rsid w:val="00F1627D"/>
    <w:rsid w:val="00F20A80"/>
    <w:rsid w:val="00F21219"/>
    <w:rsid w:val="00F3251E"/>
    <w:rsid w:val="00F32608"/>
    <w:rsid w:val="00F51F47"/>
    <w:rsid w:val="00F547F1"/>
    <w:rsid w:val="00F55638"/>
    <w:rsid w:val="00F62DEE"/>
    <w:rsid w:val="00F63CDB"/>
    <w:rsid w:val="00F66640"/>
    <w:rsid w:val="00F82A85"/>
    <w:rsid w:val="00F82B6F"/>
    <w:rsid w:val="00F8453C"/>
    <w:rsid w:val="00F84974"/>
    <w:rsid w:val="00F87022"/>
    <w:rsid w:val="00F90DC1"/>
    <w:rsid w:val="00F91D92"/>
    <w:rsid w:val="00F9351B"/>
    <w:rsid w:val="00F93A32"/>
    <w:rsid w:val="00FA0B5E"/>
    <w:rsid w:val="00FA2668"/>
    <w:rsid w:val="00FC0273"/>
    <w:rsid w:val="00FC0C0F"/>
    <w:rsid w:val="00FC1054"/>
    <w:rsid w:val="00FC2521"/>
    <w:rsid w:val="00FC613E"/>
    <w:rsid w:val="00FC6652"/>
    <w:rsid w:val="00FC6E03"/>
    <w:rsid w:val="00FD5831"/>
    <w:rsid w:val="00FE5647"/>
    <w:rsid w:val="00FE59B4"/>
    <w:rsid w:val="00FE5B83"/>
    <w:rsid w:val="00FF0B68"/>
    <w:rsid w:val="00FF1783"/>
    <w:rsid w:val="00FF3288"/>
    <w:rsid w:val="00FF49FF"/>
    <w:rsid w:val="00FF5783"/>
    <w:rsid w:val="0100D07F"/>
    <w:rsid w:val="012B7E23"/>
    <w:rsid w:val="01427B94"/>
    <w:rsid w:val="026E497E"/>
    <w:rsid w:val="0309018F"/>
    <w:rsid w:val="0406F2B1"/>
    <w:rsid w:val="04EB9BAA"/>
    <w:rsid w:val="05C072E5"/>
    <w:rsid w:val="061EE5CE"/>
    <w:rsid w:val="066636ED"/>
    <w:rsid w:val="0741BAA1"/>
    <w:rsid w:val="07BAB62F"/>
    <w:rsid w:val="08624999"/>
    <w:rsid w:val="08795635"/>
    <w:rsid w:val="08BDBA2B"/>
    <w:rsid w:val="0A795B63"/>
    <w:rsid w:val="0A8ECADD"/>
    <w:rsid w:val="0BFCE006"/>
    <w:rsid w:val="0D003B5C"/>
    <w:rsid w:val="0E60C260"/>
    <w:rsid w:val="0E71A7A9"/>
    <w:rsid w:val="0ECBDBCC"/>
    <w:rsid w:val="0F16BAD4"/>
    <w:rsid w:val="0F49A558"/>
    <w:rsid w:val="0F4CCC86"/>
    <w:rsid w:val="105F35C5"/>
    <w:rsid w:val="106E20DE"/>
    <w:rsid w:val="10DFE56C"/>
    <w:rsid w:val="10E575B9"/>
    <w:rsid w:val="10E89CE7"/>
    <w:rsid w:val="1281461A"/>
    <w:rsid w:val="14261E79"/>
    <w:rsid w:val="147CBA5F"/>
    <w:rsid w:val="14B0854E"/>
    <w:rsid w:val="15075F5D"/>
    <w:rsid w:val="1522DC33"/>
    <w:rsid w:val="159010E4"/>
    <w:rsid w:val="161D075D"/>
    <w:rsid w:val="169085A1"/>
    <w:rsid w:val="169A247F"/>
    <w:rsid w:val="16AFD0FD"/>
    <w:rsid w:val="17071F12"/>
    <w:rsid w:val="1754F7B4"/>
    <w:rsid w:val="18BBA766"/>
    <w:rsid w:val="194071AB"/>
    <w:rsid w:val="19EFFB15"/>
    <w:rsid w:val="1B897297"/>
    <w:rsid w:val="1BB1DE98"/>
    <w:rsid w:val="1BBE419B"/>
    <w:rsid w:val="1CA82C99"/>
    <w:rsid w:val="1CCDCA00"/>
    <w:rsid w:val="1CF4E54D"/>
    <w:rsid w:val="1D0C8FA4"/>
    <w:rsid w:val="1DE275A0"/>
    <w:rsid w:val="1FAFCC66"/>
    <w:rsid w:val="22242253"/>
    <w:rsid w:val="2259356D"/>
    <w:rsid w:val="232923D0"/>
    <w:rsid w:val="248F4127"/>
    <w:rsid w:val="249E222A"/>
    <w:rsid w:val="255B7F74"/>
    <w:rsid w:val="26A9A53C"/>
    <w:rsid w:val="27623DE6"/>
    <w:rsid w:val="27FF6AAD"/>
    <w:rsid w:val="28500164"/>
    <w:rsid w:val="29FC1AE8"/>
    <w:rsid w:val="2AE1B6B7"/>
    <w:rsid w:val="2AE79E71"/>
    <w:rsid w:val="2AF5D78B"/>
    <w:rsid w:val="2B008F55"/>
    <w:rsid w:val="2BDF0338"/>
    <w:rsid w:val="2DA0D32B"/>
    <w:rsid w:val="2DD61D48"/>
    <w:rsid w:val="2F1C19A9"/>
    <w:rsid w:val="2F6C8503"/>
    <w:rsid w:val="303A7B14"/>
    <w:rsid w:val="30508782"/>
    <w:rsid w:val="30587508"/>
    <w:rsid w:val="31EC57E3"/>
    <w:rsid w:val="348DB4EB"/>
    <w:rsid w:val="34DED053"/>
    <w:rsid w:val="3601BA69"/>
    <w:rsid w:val="367267F9"/>
    <w:rsid w:val="36CA94C4"/>
    <w:rsid w:val="370C73D9"/>
    <w:rsid w:val="37408DCC"/>
    <w:rsid w:val="37BE17C0"/>
    <w:rsid w:val="38EEAB87"/>
    <w:rsid w:val="39AE4A8D"/>
    <w:rsid w:val="39FF574E"/>
    <w:rsid w:val="3AD2045E"/>
    <w:rsid w:val="3B9BF52E"/>
    <w:rsid w:val="3BB47562"/>
    <w:rsid w:val="3C5D9607"/>
    <w:rsid w:val="3CB9A540"/>
    <w:rsid w:val="3D1A2DB7"/>
    <w:rsid w:val="3D8580A5"/>
    <w:rsid w:val="3DE70794"/>
    <w:rsid w:val="3DEAD688"/>
    <w:rsid w:val="3E1D45DC"/>
    <w:rsid w:val="3FBD6A61"/>
    <w:rsid w:val="3FD06354"/>
    <w:rsid w:val="3FFE3DCC"/>
    <w:rsid w:val="41E1021E"/>
    <w:rsid w:val="420D9061"/>
    <w:rsid w:val="4228454C"/>
    <w:rsid w:val="42F63EA0"/>
    <w:rsid w:val="4380C41B"/>
    <w:rsid w:val="43A63994"/>
    <w:rsid w:val="43A67A0B"/>
    <w:rsid w:val="44688134"/>
    <w:rsid w:val="44FB294E"/>
    <w:rsid w:val="45D7D81A"/>
    <w:rsid w:val="45EE95F0"/>
    <w:rsid w:val="4614B705"/>
    <w:rsid w:val="463AD933"/>
    <w:rsid w:val="46C7D927"/>
    <w:rsid w:val="46DE1ACD"/>
    <w:rsid w:val="47FFA841"/>
    <w:rsid w:val="486374E3"/>
    <w:rsid w:val="4962903A"/>
    <w:rsid w:val="49AAD572"/>
    <w:rsid w:val="4AF457DF"/>
    <w:rsid w:val="4B409B22"/>
    <w:rsid w:val="4D3433F4"/>
    <w:rsid w:val="4D45AE2A"/>
    <w:rsid w:val="4D5D3872"/>
    <w:rsid w:val="4E4DFBED"/>
    <w:rsid w:val="4EB5970F"/>
    <w:rsid w:val="508888C8"/>
    <w:rsid w:val="515F5732"/>
    <w:rsid w:val="5212BFAD"/>
    <w:rsid w:val="52E52664"/>
    <w:rsid w:val="53A37578"/>
    <w:rsid w:val="54AAEF1D"/>
    <w:rsid w:val="57608C97"/>
    <w:rsid w:val="5774762B"/>
    <w:rsid w:val="58BC1B45"/>
    <w:rsid w:val="595140BA"/>
    <w:rsid w:val="5B188E3D"/>
    <w:rsid w:val="5D37D7FE"/>
    <w:rsid w:val="5DC7BB1E"/>
    <w:rsid w:val="5E27D90B"/>
    <w:rsid w:val="5E6879DC"/>
    <w:rsid w:val="5F1409FE"/>
    <w:rsid w:val="606F78C0"/>
    <w:rsid w:val="60D920B7"/>
    <w:rsid w:val="61757AFC"/>
    <w:rsid w:val="620B4921"/>
    <w:rsid w:val="62AAAE4B"/>
    <w:rsid w:val="63342658"/>
    <w:rsid w:val="63C11CD1"/>
    <w:rsid w:val="63C2EF9E"/>
    <w:rsid w:val="64275D2D"/>
    <w:rsid w:val="643043B2"/>
    <w:rsid w:val="6465318A"/>
    <w:rsid w:val="64971A8F"/>
    <w:rsid w:val="64B2D6F6"/>
    <w:rsid w:val="64BEBE7C"/>
    <w:rsid w:val="650595E1"/>
    <w:rsid w:val="6542E9E3"/>
    <w:rsid w:val="65A9FB65"/>
    <w:rsid w:val="65C26DF6"/>
    <w:rsid w:val="666768FE"/>
    <w:rsid w:val="667AE318"/>
    <w:rsid w:val="6708FB6D"/>
    <w:rsid w:val="675A84C2"/>
    <w:rsid w:val="67CD610C"/>
    <w:rsid w:val="68A32AA9"/>
    <w:rsid w:val="6A1CED46"/>
    <w:rsid w:val="6BAC55FA"/>
    <w:rsid w:val="6BB8BDA7"/>
    <w:rsid w:val="6BC51F58"/>
    <w:rsid w:val="6CAA19FA"/>
    <w:rsid w:val="6D09AFC2"/>
    <w:rsid w:val="6D53E1DA"/>
    <w:rsid w:val="6D8F90B1"/>
    <w:rsid w:val="6E776DB3"/>
    <w:rsid w:val="6EE9C512"/>
    <w:rsid w:val="6FB44F01"/>
    <w:rsid w:val="712DA350"/>
    <w:rsid w:val="7306BEE6"/>
    <w:rsid w:val="730E8E67"/>
    <w:rsid w:val="74B9330C"/>
    <w:rsid w:val="7557E461"/>
    <w:rsid w:val="756F79F5"/>
    <w:rsid w:val="772D2BEE"/>
    <w:rsid w:val="77A54DBC"/>
    <w:rsid w:val="78C9106D"/>
    <w:rsid w:val="79F68BA2"/>
    <w:rsid w:val="7C0D5C19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B858305B-C878-40B3-90A6-E1F3DAC8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B3398"/>
    <w:rPr>
      <w:b/>
      <w:bCs/>
    </w:rPr>
  </w:style>
  <w:style w:type="character" w:styleId="nfase">
    <w:name w:val="Emphasis"/>
    <w:basedOn w:val="Fontepargpadro"/>
    <w:uiPriority w:val="20"/>
    <w:qFormat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447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447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0013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96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4351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pje.tjdft.jus.br/pje/seam/resource/rest/pje-legacy/documento/download/287883920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image" Target="media/image2.jpeg"/><Relationship Id="rId10" Type="http://schemas.openxmlformats.org/officeDocument/2006/relationships/image" Target="media/image1.png"/><Relationship Id="rId19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C47C5ADE849A18DA0C7907A3619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970ABC-6F8D-4C02-94D1-4488F3BFFA36}"/>
      </w:docPartPr>
      <w:docPartBody>
        <w:p w:rsidR="00773803" w:rsidRDefault="00773803" w:rsidP="00773803">
          <w:pPr>
            <w:pStyle w:val="7ACC47C5ADE849A18DA0C7907A361910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F878D1793E2346938EC18DAD866E90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677645-7BEE-495B-A2A2-C7078781C734}"/>
      </w:docPartPr>
      <w:docPartBody>
        <w:p w:rsidR="00773803" w:rsidRDefault="00773803" w:rsidP="00773803">
          <w:pPr>
            <w:pStyle w:val="F878D1793E2346938EC18DAD866E9010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AA1EE3EF79994F978EAA8FE4FF7A26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2D01E5-6886-4D3A-BC5A-5366DBB17323}"/>
      </w:docPartPr>
      <w:docPartBody>
        <w:p w:rsidR="00773803" w:rsidRDefault="00773803" w:rsidP="00773803">
          <w:pPr>
            <w:pStyle w:val="AA1EE3EF79994F978EAA8FE4FF7A26BD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BC7F39C12B0F442FBBF9AD5B583FBD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C9F25C-CE24-4940-A55B-E193616E922A}"/>
      </w:docPartPr>
      <w:docPartBody>
        <w:p w:rsidR="00773803" w:rsidRDefault="00773803" w:rsidP="00773803">
          <w:pPr>
            <w:pStyle w:val="BC7F39C12B0F442FBBF9AD5B583FBDE0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1B0F6A"/>
    <w:rsid w:val="001E2AC0"/>
    <w:rsid w:val="00277029"/>
    <w:rsid w:val="002F13AB"/>
    <w:rsid w:val="003060EF"/>
    <w:rsid w:val="003D50C8"/>
    <w:rsid w:val="00465A25"/>
    <w:rsid w:val="004756EB"/>
    <w:rsid w:val="004C591E"/>
    <w:rsid w:val="00502781"/>
    <w:rsid w:val="00515AB3"/>
    <w:rsid w:val="00534782"/>
    <w:rsid w:val="005953DB"/>
    <w:rsid w:val="00730800"/>
    <w:rsid w:val="00773803"/>
    <w:rsid w:val="0077693D"/>
    <w:rsid w:val="00816916"/>
    <w:rsid w:val="00855F86"/>
    <w:rsid w:val="008C4978"/>
    <w:rsid w:val="009C5448"/>
    <w:rsid w:val="00A24E6D"/>
    <w:rsid w:val="00AB26AC"/>
    <w:rsid w:val="00AD59B1"/>
    <w:rsid w:val="00B9403F"/>
    <w:rsid w:val="00C34425"/>
    <w:rsid w:val="00C7198A"/>
    <w:rsid w:val="00CB636A"/>
    <w:rsid w:val="00D0262C"/>
    <w:rsid w:val="00DE22E5"/>
    <w:rsid w:val="00E85666"/>
    <w:rsid w:val="00EB68CA"/>
    <w:rsid w:val="00FA0B5E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73803"/>
    <w:rPr>
      <w:color w:val="808080"/>
    </w:rPr>
  </w:style>
  <w:style w:type="paragraph" w:customStyle="1" w:styleId="7ACC47C5ADE849A18DA0C7907A361910">
    <w:name w:val="7ACC47C5ADE849A18DA0C7907A3619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78D1793E2346938EC18DAD866E9010">
    <w:name w:val="F878D1793E2346938EC18DAD866E90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1EE3EF79994F978EAA8FE4FF7A26BD">
    <w:name w:val="AA1EE3EF79994F978EAA8FE4FF7A26BD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7F39C12B0F442FBBF9AD5B583FBDE0">
    <w:name w:val="BC7F39C12B0F442FBBF9AD5B583FBDE0"/>
    <w:rsid w:val="0077380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19ff19-df24-4dc9-a02b-c335bca63b3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3B12E41880BC24983CB850F07F82DEA" ma:contentTypeVersion="9" ma:contentTypeDescription="Crie um novo documento." ma:contentTypeScope="" ma:versionID="b1f138974602e1a37f2222163eb426de">
  <xsd:schema xmlns:xsd="http://www.w3.org/2001/XMLSchema" xmlns:xs="http://www.w3.org/2001/XMLSchema" xmlns:p="http://schemas.microsoft.com/office/2006/metadata/properties" xmlns:ns3="be19ff19-df24-4dc9-a02b-c335bca63b3e" targetNamespace="http://schemas.microsoft.com/office/2006/metadata/properties" ma:root="true" ma:fieldsID="424fff15148b846b632d628983052a1f" ns3:_="">
    <xsd:import namespace="be19ff19-df24-4dc9-a02b-c335bca63b3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19ff19-df24-4dc9-a02b-c335bca63b3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be19ff19-df24-4dc9-a02b-c335bca63b3e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873F6E-C6C7-4197-AD2D-E814ECEB26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19ff19-df24-4dc9-a02b-c335bca63b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18</Pages>
  <Words>3281</Words>
  <Characters>17718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Marcos Dwayne Saraiva Costa - GDSXSR</cp:lastModifiedBy>
  <cp:revision>4</cp:revision>
  <dcterms:created xsi:type="dcterms:W3CDTF">2026-10-07T20:53:00Z</dcterms:created>
  <dcterms:modified xsi:type="dcterms:W3CDTF">2026-10-11T18:08:00Z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0x010100E3B12E41880BC24983CB850F07F82DEA</vt:lpwstr>
  </property>
  <property fmtid="{D5CDD505-2E9C-101B-9397-08002B2CF9AE}" pid="3" name="MediaServiceImageTags">
    <vt:lpwstr/>
  </property>
</Properties>
</file>