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400"/>
              <w:left w:type="dxa" w:w="400"/>
              <w:bottom w:type="dxa" w:w="400"/>
              <w:right w:type="dxa" w:w="400"/>
            </w:tcMar>
          </w:tcPr>
          <w:p>
            <w:pPr>
              <w:jc w:val="center"/>
            </w:pPr>
            <w:r>
              <w:rPr>
                <w:rFonts w:ascii="Arial" w:cs="Arial" w:eastAsia="Arial" w:hAnsi="Arial"/>
                <w:b/>
                <w:bCs/>
                <w:color w:val="FFFFFF"/>
                <w:sz w:val="52"/>
                <w:szCs w:val="52"/>
              </w:rPr>
              <w:t xml:space="preserve">SAT CONTROL MANAGER</w:t>
            </w:r>
          </w:p>
          <w:p>
            <w:pPr>
              <w:spacing w:before="120"/>
              <w:jc w:val="center"/>
            </w:pPr>
            <w:r>
              <w:rPr>
                <w:rFonts w:ascii="Arial" w:cs="Arial" w:eastAsia="Arial" w:hAnsi="Arial"/>
                <w:color w:val="B0C4DE"/>
                <w:sz w:val="32"/>
                <w:szCs w:val="32"/>
              </w:rPr>
              <w:t xml:space="preserve">Análisis Comparativo de Casos de Uso</w:t>
            </w:r>
          </w:p>
          <w:p>
            <w:pPr>
              <w:spacing w:before="80"/>
              <w:jc w:val="center"/>
            </w:pPr>
            <w:r>
              <w:rPr>
                <w:rFonts w:ascii="Arial" w:cs="Arial" w:eastAsia="Arial" w:hAnsi="Arial"/>
                <w:color w:val="7FAACC"/>
                <w:sz w:val="24"/>
                <w:szCs w:val="24"/>
              </w:rPr>
              <w:t xml:space="preserve">UC-SaaS-v1.0  →  UC-SaaS-v1.1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DECEA" w:val="clear"/>
            <w:tcMar>
              <w:top w:type="dxa" w:w="100"/>
              <w:left w:type="dxa" w:w="200"/>
              <w:bottom w:type="dxa" w:w="100"/>
              <w:right w:type="dxa" w:w="200"/>
            </w:tcMar>
          </w:tcPr>
          <w:p>
            <w:pPr>
              <w:spacing w:after="40" w:before="40"/>
              <w:jc w:val="center"/>
            </w:pPr>
            <w:r>
              <w:rPr>
                <w:rFonts w:ascii="Arial" w:cs="Arial" w:eastAsia="Arial" w:hAnsi="Arial"/>
                <w:b/>
                <w:bCs/>
                <w:i w:val="false"/>
                <w:iCs w:val="false"/>
                <w:color w:val="C0392B"/>
                <w:sz w:val="24"/>
                <w:szCs w:val="24"/>
              </w:rPr>
              <w:t xml:space="preserve">3  Errores críticos</w:t>
            </w:r>
          </w:p>
          <w:p>
            <w:pPr>
              <w:spacing w:after="40" w:before="40"/>
              <w:jc w:val="center"/>
            </w:pPr>
            <w:r>
              <w:rPr>
                <w:rFonts w:ascii="Arial" w:cs="Arial" w:eastAsia="Arial" w:hAnsi="Arial"/>
                <w:b w:val="false"/>
                <w:bCs w:val="false"/>
                <w:i w:val="false"/>
                <w:iCs w:val="false"/>
                <w:color w:val="C0392B"/>
                <w:sz w:val="17"/>
                <w:szCs w:val="17"/>
              </w:rPr>
              <w:t xml:space="preserve">Requieren corrección antes de iniciar desarrollo</w:t>
            </w:r>
          </w:p>
        </w:tc>
        <w:tc>
          <w:tcPr>
            <w:tcW w:type="dxa" w:w="3120"/>
            <w:tcBorders>
              <w:top w:val="single" w:color="CCCCCC" w:sz="4"/>
              <w:left w:val="single" w:color="CCCCCC" w:sz="4"/>
              <w:bottom w:val="single" w:color="CCCCCC" w:sz="4"/>
              <w:right w:val="single" w:color="CCCCCC" w:sz="4"/>
            </w:tcBorders>
            <w:shd w:fill="FFF8E1" w:val="clear"/>
            <w:tcMar>
              <w:top w:type="dxa" w:w="100"/>
              <w:left w:type="dxa" w:w="200"/>
              <w:bottom w:type="dxa" w:w="100"/>
              <w:right w:type="dxa" w:w="200"/>
            </w:tcMar>
          </w:tcPr>
          <w:p>
            <w:pPr>
              <w:spacing w:after="40" w:before="40"/>
              <w:jc w:val="center"/>
            </w:pPr>
            <w:r>
              <w:rPr>
                <w:rFonts w:ascii="Arial" w:cs="Arial" w:eastAsia="Arial" w:hAnsi="Arial"/>
                <w:b/>
                <w:bCs/>
                <w:i w:val="false"/>
                <w:iCs w:val="false"/>
                <w:color w:val="7B5E00"/>
                <w:sz w:val="24"/>
                <w:szCs w:val="24"/>
              </w:rPr>
              <w:t xml:space="preserve">8  Mejoras</w:t>
            </w:r>
          </w:p>
          <w:p>
            <w:pPr>
              <w:spacing w:after="40" w:before="40"/>
              <w:jc w:val="center"/>
            </w:pPr>
            <w:r>
              <w:rPr>
                <w:rFonts w:ascii="Arial" w:cs="Arial" w:eastAsia="Arial" w:hAnsi="Arial"/>
                <w:b w:val="false"/>
                <w:bCs w:val="false"/>
                <w:i w:val="false"/>
                <w:iCs w:val="false"/>
                <w:color w:val="7B5E00"/>
                <w:sz w:val="17"/>
                <w:szCs w:val="17"/>
              </w:rPr>
              <w:t xml:space="preserve">Ambigüedades y gaps de comportamiento en Fase 1</w:t>
            </w:r>
          </w:p>
        </w:tc>
        <w:tc>
          <w:tcPr>
            <w:tcW w:type="dxa" w:w="3120"/>
            <w:tcBorders>
              <w:top w:val="single" w:color="CCCCCC" w:sz="4"/>
              <w:left w:val="single" w:color="CCCCCC" w:sz="4"/>
              <w:bottom w:val="single" w:color="CCCCCC" w:sz="4"/>
              <w:right w:val="single" w:color="CCCCCC" w:sz="4"/>
            </w:tcBorders>
            <w:shd w:fill="E3F2FD" w:val="clear"/>
            <w:tcMar>
              <w:top w:type="dxa" w:w="100"/>
              <w:left w:type="dxa" w:w="200"/>
              <w:bottom w:type="dxa" w:w="100"/>
              <w:right w:type="dxa" w:w="200"/>
            </w:tcMar>
          </w:tcPr>
          <w:p>
            <w:pPr>
              <w:spacing w:after="40" w:before="40"/>
              <w:jc w:val="center"/>
            </w:pPr>
            <w:r>
              <w:rPr>
                <w:rFonts w:ascii="Arial" w:cs="Arial" w:eastAsia="Arial" w:hAnsi="Arial"/>
                <w:b/>
                <w:bCs/>
                <w:i w:val="false"/>
                <w:iCs w:val="false"/>
                <w:color w:val="0C3D6B"/>
                <w:sz w:val="24"/>
                <w:szCs w:val="24"/>
              </w:rPr>
              <w:t xml:space="preserve">5  Adiciones</w:t>
            </w:r>
          </w:p>
          <w:p>
            <w:pPr>
              <w:spacing w:after="40" w:before="40"/>
              <w:jc w:val="center"/>
            </w:pPr>
            <w:r>
              <w:rPr>
                <w:rFonts w:ascii="Arial" w:cs="Arial" w:eastAsia="Arial" w:hAnsi="Arial"/>
                <w:b w:val="false"/>
                <w:bCs w:val="false"/>
                <w:i w:val="false"/>
                <w:iCs w:val="false"/>
                <w:color w:val="0C3D6B"/>
                <w:sz w:val="17"/>
                <w:szCs w:val="17"/>
              </w:rPr>
              <w:t xml:space="preserve">Casos de uso y reglas de negocio faltantes</w:t>
            </w:r>
          </w:p>
        </w:tc>
      </w:tr>
    </w:tbl>
    <w:p>
      <w:pPr>
        <w:spacing w:after="60" w:before="60"/>
      </w:pPr>
      <w:r>
        <w:t xml:space="preserve"/>
      </w:r>
    </w:p>
    <w:p>
      <w:pPr>
        <w:spacing w:after="40" w:before="40"/>
        <w:jc w:val="left"/>
      </w:pPr>
      <w:r>
        <w:rPr>
          <w:rFonts w:ascii="Arial" w:cs="Arial" w:eastAsia="Arial" w:hAnsi="Arial"/>
          <w:b/>
          <w:bCs/>
          <w:i w:val="false"/>
          <w:iCs w:val="false"/>
          <w:color w:val="1A3A5C"/>
          <w:sz w:val="22"/>
          <w:szCs w:val="22"/>
        </w:rPr>
        <w:t xml:space="preserve">Leyenda de severidad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b/>
                <w:bCs/>
                <w:color w:val="C0392B"/>
                <w:sz w:val="18"/>
                <w:szCs w:val="18"/>
              </w:rPr>
              <w:t xml:space="preserve">ERROR CRÍTICO</w:t>
            </w:r>
          </w:p>
        </w:tc>
        <w:tc>
          <w:tcPr>
            <w:tcW w:type="dxa" w:w="7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8"/>
                <w:szCs w:val="18"/>
              </w:rPr>
              <w:t xml:space="preserve">Defecto que puede comprometer seguridad o integridad de datos. Resolver antes de desarrollo.</w:t>
            </w:r>
          </w:p>
        </w:tc>
      </w:tr>
      <w:tr>
        <w:tc>
          <w:tcPr>
            <w:tcW w:type="dxa" w:w="1440"/>
            <w:tcBorders>
              <w:top w:val="single" w:color="CCCCCC" w:sz="4"/>
              <w:left w:val="single" w:color="CCCCCC" w:sz="4"/>
              <w:bottom w:val="single" w:color="CCCCCC" w:sz="4"/>
              <w:right w:val="single" w:color="CCCCCC" w:sz="4"/>
            </w:tcBorders>
            <w:shd w:fill="FFF8E1" w:val="clear"/>
            <w:tcMar>
              <w:top w:type="dxa" w:w="80"/>
              <w:left w:type="dxa" w:w="140"/>
              <w:bottom w:type="dxa" w:w="80"/>
              <w:right w:type="dxa" w:w="140"/>
            </w:tcMar>
          </w:tcPr>
          <w:p>
            <w:r>
              <w:rPr>
                <w:rFonts w:ascii="Arial" w:cs="Arial" w:eastAsia="Arial" w:hAnsi="Arial"/>
                <w:b/>
                <w:bCs/>
                <w:color w:val="7B5E00"/>
                <w:sz w:val="18"/>
                <w:szCs w:val="18"/>
              </w:rPr>
              <w:t xml:space="preserve">MEJORA</w:t>
            </w:r>
          </w:p>
        </w:tc>
        <w:tc>
          <w:tcPr>
            <w:tcW w:type="dxa" w:w="7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8"/>
                <w:szCs w:val="18"/>
              </w:rPr>
              <w:t xml:space="preserve">Ambigüedad o gap que puede generar comportamiento incorrecto en producción.</w:t>
            </w:r>
          </w:p>
        </w:tc>
      </w:tr>
      <w:tr>
        <w:tc>
          <w:tcPr>
            <w:tcW w:type="dxa" w:w="144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40"/>
            </w:tcMar>
          </w:tcPr>
          <w:p>
            <w:r>
              <w:rPr>
                <w:rFonts w:ascii="Arial" w:cs="Arial" w:eastAsia="Arial" w:hAnsi="Arial"/>
                <w:b/>
                <w:bCs/>
                <w:color w:val="0C3D6B"/>
                <w:sz w:val="18"/>
                <w:szCs w:val="18"/>
              </w:rPr>
              <w:t xml:space="preserve">ADICIÓN</w:t>
            </w:r>
          </w:p>
        </w:tc>
        <w:tc>
          <w:tcPr>
            <w:tcW w:type="dxa" w:w="7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8"/>
                <w:szCs w:val="18"/>
              </w:rPr>
              <w:t xml:space="preserve">Caso de uso o regla de negocio ausente necesaria para completitud del sistema.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40"/>
              <w:left w:type="dxa" w:w="200"/>
              <w:bottom w:type="dxa" w:w="140"/>
              <w:right w:type="dxa" w:w="200"/>
            </w:tcMar>
          </w:tcPr>
          <w:p>
            <w:r>
              <w:rPr>
                <w:rFonts w:ascii="Arial" w:cs="Arial" w:eastAsia="Arial" w:hAnsi="Arial"/>
                <w:b/>
                <w:bCs/>
                <w:color w:val="FFFFFF"/>
                <w:sz w:val="26"/>
                <w:szCs w:val="26"/>
              </w:rPr>
              <w:t xml:space="preserve">Módulo 2 · Registro Automatizado de Contribuyentes</w:t>
            </w:r>
          </w:p>
          <w:p>
            <w:r>
              <w:rPr>
                <w:rFonts w:ascii="Arial" w:cs="Arial" w:eastAsia="Arial" w:hAnsi="Arial"/>
                <w:color w:val="B0C4DE"/>
                <w:sz w:val="18"/>
                <w:szCs w:val="18"/>
              </w:rPr>
              <w:t xml:space="preserve">CU-01: Registro Automatizado de Contribuyente y Extracción X.509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original (UC-SaaS-v1.0)</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corregido (UC-SaaS-v1.1)</w:t>
            </w:r>
          </w:p>
        </w:tc>
      </w:tr>
      <w:tr>
        <w:tc>
          <w:tcPr>
            <w:tcW w:type="dxa" w:w="144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top"/>
          </w:tcPr>
          <w:p>
            <w:pPr>
              <w:spacing w:after="40" w:before="40"/>
            </w:pPr>
            <w:r>
              <w:rPr>
                <w:rFonts w:ascii="Arial" w:cs="Arial" w:eastAsia="Arial" w:hAnsi="Arial"/>
                <w:b/>
                <w:bCs/>
                <w:color w:val="C0392B"/>
                <w:sz w:val="16"/>
                <w:szCs w:val="16"/>
              </w:rPr>
              <w:t xml:space="preserve">ERROR CRÍTICO</w:t>
            </w:r>
          </w:p>
          <w:p>
            <w:pPr>
              <w:spacing w:after="20" w:before="20"/>
            </w:pPr>
            <w:r>
              <w:rPr>
                <w:rFonts w:ascii="Arial" w:cs="Arial" w:eastAsia="Arial" w:hAnsi="Arial"/>
                <w:b/>
                <w:bCs/>
                <w:color w:val="222222"/>
                <w:sz w:val="18"/>
                <w:szCs w:val="18"/>
              </w:rPr>
              <w:t xml:space="preserve">Contraseña transmitida al backend</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El usuario ingresa la contraseña y el sistema ejecuta internamente una llamada asíncrona hacia el motor criptográfico en Node.js. No se especifica protección adicional del payload.</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La contraseña NUNCA abandona el cliente sin cifrar. La operación X.509 se delega a una librería criptográfica del lado del cliente (ej. node-forge vía WebAssembly). El backend recibe únicamente los metadatos ya extraídos, nunca la clave privada ni la contraseña en texto plano.</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top"/>
          </w:tcPr>
          <w:p>
            <w:pPr>
              <w:spacing w:after="40" w:before="40"/>
            </w:pPr>
            <w:r>
              <w:rPr>
                <w:rFonts w:ascii="Arial" w:cs="Arial" w:eastAsia="Arial" w:hAnsi="Arial"/>
                <w:b/>
                <w:bCs/>
                <w:color w:val="C0392B"/>
                <w:sz w:val="16"/>
                <w:szCs w:val="16"/>
              </w:rPr>
              <w:t xml:space="preserve">ERROR CRÍTICO</w:t>
            </w:r>
          </w:p>
          <w:p>
            <w:pPr>
              <w:spacing w:after="20" w:before="20"/>
            </w:pPr>
            <w:r>
              <w:rPr>
                <w:rFonts w:ascii="Arial" w:cs="Arial" w:eastAsia="Arial" w:hAnsi="Arial"/>
                <w:b/>
                <w:bCs/>
                <w:color w:val="222222"/>
                <w:sz w:val="18"/>
                <w:szCs w:val="18"/>
              </w:rPr>
              <w:t xml:space="preserve">Sin flujo alterno de error criptográfico</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El flujo principal describe el procesamiento exitoso pero no define qué ocurre si OpenSSL devuelve error: certificado corrupto, contraseña equivocada, formato no válido o archivo .key que no corresponde al .cer.</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FA-01 (Error de procesamiento): si el motor devuelve error, el sistema muestra mensaje específico distinguiendo "contraseña incorrecta" de "certificado inválido o corrupto". Limpia la memoria del archivo sin persistir ningún dato. El loader desaparece y los campos de carga se habilitan nuevamente.</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vAlign w:val="top"/>
          </w:tcPr>
          <w:p>
            <w:pPr>
              <w:spacing w:after="40" w:before="40"/>
            </w:pPr>
            <w:r>
              <w:rPr>
                <w:rFonts w:ascii="Arial" w:cs="Arial" w:eastAsia="Arial" w:hAnsi="Arial"/>
                <w:b/>
                <w:bCs/>
                <w:color w:val="8B6914"/>
                <w:sz w:val="16"/>
                <w:szCs w:val="16"/>
              </w:rPr>
              <w:t xml:space="preserve">MEJORA</w:t>
            </w:r>
          </w:p>
          <w:p>
            <w:pPr>
              <w:spacing w:after="20" w:before="20"/>
            </w:pPr>
            <w:r>
              <w:rPr>
                <w:rFonts w:ascii="Arial" w:cs="Arial" w:eastAsia="Arial" w:hAnsi="Arial"/>
                <w:b/>
                <w:bCs/>
                <w:color w:val="222222"/>
                <w:sz w:val="18"/>
                <w:szCs w:val="18"/>
              </w:rPr>
              <w:t xml:space="preserve">Sin validación de RFC duplicado</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El flujo procede directamente a guardar el expediente cifrado sin verificar si el RFC extraído ya existe en la base de datos.</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Precondición adicional: antes de "Guardar Expediente Cifrado", el sistema verifica unicidad del RFC. Si ya existe, ofrece dos opciones: (a) actualizar el expediente vigente, o (b) cancelar y revisar. No se permite crear expedientes duplicados.</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top"/>
          </w:tcPr>
          <w:p>
            <w:pPr>
              <w:spacing w:after="40" w:before="40"/>
            </w:pPr>
            <w:r>
              <w:rPr>
                <w:rFonts w:ascii="Arial" w:cs="Arial" w:eastAsia="Arial" w:hAnsi="Arial"/>
                <w:b/>
                <w:bCs/>
                <w:color w:val="0C3D6B"/>
                <w:sz w:val="16"/>
                <w:szCs w:val="16"/>
              </w:rPr>
              <w:t xml:space="preserve">ADICIÓN</w:t>
            </w:r>
          </w:p>
          <w:p>
            <w:pPr>
              <w:spacing w:after="20" w:before="20"/>
            </w:pPr>
            <w:r>
              <w:rPr>
                <w:rFonts w:ascii="Arial" w:cs="Arial" w:eastAsia="Arial" w:hAnsi="Arial"/>
                <w:b/>
                <w:bCs/>
                <w:color w:val="222222"/>
                <w:sz w:val="18"/>
                <w:szCs w:val="18"/>
              </w:rPr>
              <w:t xml:space="preserve">Sin caso de uso para renovación</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No existe un flujo documentado para cuando un certificado próximo a vencer debe ser reemplazado por uno nuevo, conservando el historial del contribuyente.</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Crear CU-01b "Renovación de Expediente Cifrado": mismo flujo de carga, pero el sistema enlaza el nuevo .cer/.key al RFC existente, archiva el certificado anterior en el historial de renovaciones (visible en CU-04), y actualiza los contadores del Dashboard automáticamente.</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40"/>
              <w:left w:type="dxa" w:w="200"/>
              <w:bottom w:type="dxa" w:w="140"/>
              <w:right w:type="dxa" w:w="200"/>
            </w:tcMar>
          </w:tcPr>
          <w:p>
            <w:r>
              <w:rPr>
                <w:rFonts w:ascii="Arial" w:cs="Arial" w:eastAsia="Arial" w:hAnsi="Arial"/>
                <w:b/>
                <w:bCs/>
                <w:color w:val="FFFFFF"/>
                <w:sz w:val="26"/>
                <w:szCs w:val="26"/>
              </w:rPr>
              <w:t xml:space="preserve">Módulo 3 · Motor de Alertas Semafóricas</w:t>
            </w:r>
          </w:p>
          <w:p>
            <w:r>
              <w:rPr>
                <w:rFonts w:ascii="Arial" w:cs="Arial" w:eastAsia="Arial" w:hAnsi="Arial"/>
                <w:color w:val="B0C4DE"/>
                <w:sz w:val="18"/>
                <w:szCs w:val="18"/>
              </w:rPr>
              <w:t xml:space="preserve">CU-02: Monitoreo Diario y Detonación de Alertas Semafóricas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original (UC-SaaS-v1.0)</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corregido (UC-SaaS-v1.1)</w:t>
            </w:r>
          </w:p>
        </w:tc>
      </w:tr>
      <w:tr>
        <w:tc>
          <w:tcPr>
            <w:tcW w:type="dxa" w:w="144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vAlign w:val="top"/>
          </w:tcPr>
          <w:p>
            <w:pPr>
              <w:spacing w:after="40" w:before="40"/>
            </w:pPr>
            <w:r>
              <w:rPr>
                <w:rFonts w:ascii="Arial" w:cs="Arial" w:eastAsia="Arial" w:hAnsi="Arial"/>
                <w:b/>
                <w:bCs/>
                <w:color w:val="8B6914"/>
                <w:sz w:val="16"/>
                <w:szCs w:val="16"/>
              </w:rPr>
              <w:t xml:space="preserve">MEJORA</w:t>
            </w:r>
          </w:p>
          <w:p>
            <w:pPr>
              <w:spacing w:after="20" w:before="20"/>
            </w:pPr>
            <w:r>
              <w:rPr>
                <w:rFonts w:ascii="Arial" w:cs="Arial" w:eastAsia="Arial" w:hAnsi="Arial"/>
                <w:b/>
                <w:bCs/>
                <w:color w:val="222222"/>
                <w:sz w:val="18"/>
                <w:szCs w:val="18"/>
              </w:rPr>
              <w:t xml:space="preserve">Umbrales de clasificación ambiguos</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"Estatus Amarillo: si faltan entre 30 y 90 días." No se especifica si los límites son inclusivos o exclusivos. Un certificado con exactamente 30 días podría clasificarse como Amarillo o Rojo dependiendo de la implementación.</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Definición precisa con operadores explícitos:
• Verde: días_restantes &gt; 90
• Amarillo: 31 ≤ días_restantes ≤ 90
• Rojo: 1 ≤ días_restantes ≤ 30
• Expirado (Negro): días_restantes ≤ 0
Comparación realizada en UTC a las 00:00 para evitar inconsistencias por zona horaria.</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vAlign w:val="top"/>
          </w:tcPr>
          <w:p>
            <w:pPr>
              <w:spacing w:after="40" w:before="40"/>
            </w:pPr>
            <w:r>
              <w:rPr>
                <w:rFonts w:ascii="Arial" w:cs="Arial" w:eastAsia="Arial" w:hAnsi="Arial"/>
                <w:b/>
                <w:bCs/>
                <w:color w:val="8B6914"/>
                <w:sz w:val="16"/>
                <w:szCs w:val="16"/>
              </w:rPr>
              <w:t xml:space="preserve">MEJORA</w:t>
            </w:r>
          </w:p>
          <w:p>
            <w:pPr>
              <w:spacing w:after="20" w:before="20"/>
            </w:pPr>
            <w:r>
              <w:rPr>
                <w:rFonts w:ascii="Arial" w:cs="Arial" w:eastAsia="Arial" w:hAnsi="Arial"/>
                <w:b/>
                <w:bCs/>
                <w:color w:val="222222"/>
                <w:sz w:val="18"/>
                <w:szCs w:val="18"/>
              </w:rPr>
              <w:t xml:space="preserve">Sin estatus para certificado expirado</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"Estatus Rojo: si faltan menos de 30 días O ya expiró." Se trata como un solo caso. Sin distinción visual ni de comportamiento entre "a punto de expirar" y "ya venció".</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Agregar Estatus Expirado (indicador visual diferenciado, color distinto al Rojo activo). Frecuencia de alertas reducida para expirados: un recordatorio semanal, no diario, para evitar notificaciones spam indefinidas. El contribuyente expirado aparece con ícono distinto en Dashboard y en tabla de "Atención Urgente".</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vAlign w:val="top"/>
          </w:tcPr>
          <w:p>
            <w:pPr>
              <w:spacing w:after="40" w:before="40"/>
            </w:pPr>
            <w:r>
              <w:rPr>
                <w:rFonts w:ascii="Arial" w:cs="Arial" w:eastAsia="Arial" w:hAnsi="Arial"/>
                <w:b/>
                <w:bCs/>
                <w:color w:val="8B6914"/>
                <w:sz w:val="16"/>
                <w:szCs w:val="16"/>
              </w:rPr>
              <w:t xml:space="preserve">MEJORA</w:t>
            </w:r>
          </w:p>
          <w:p>
            <w:pPr>
              <w:spacing w:after="20" w:before="20"/>
            </w:pPr>
            <w:r>
              <w:rPr>
                <w:rFonts w:ascii="Arial" w:cs="Arial" w:eastAsia="Arial" w:hAnsi="Arial"/>
                <w:b/>
                <w:bCs/>
                <w:color w:val="222222"/>
                <w:sz w:val="18"/>
                <w:szCs w:val="18"/>
              </w:rPr>
              <w:t xml:space="preserve">Sin manejo de fallo del servicio de mensajería</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Si el proveedor de correo o WhatsApp está caído, el Cronjob falla silenciosamente. No se menciona registro del intento ni mecanismo de reintento.</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Lógica de reintento con backoff exponencial (máx. 3 intentos a los 5, 15 y 30 min). Si los 3 intentos fallan, el sistema escribe en la bitácora de auditoría el fallo con código de error del proveedor y envía una alerta interna al Administrador General por canal alternativo.</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top"/>
          </w:tcPr>
          <w:p>
            <w:pPr>
              <w:spacing w:after="40" w:before="40"/>
            </w:pPr>
            <w:r>
              <w:rPr>
                <w:rFonts w:ascii="Arial" w:cs="Arial" w:eastAsia="Arial" w:hAnsi="Arial"/>
                <w:b/>
                <w:bCs/>
                <w:color w:val="0C3D6B"/>
                <w:sz w:val="16"/>
                <w:szCs w:val="16"/>
              </w:rPr>
              <w:t xml:space="preserve">ADICIÓN</w:t>
            </w:r>
          </w:p>
          <w:p>
            <w:pPr>
              <w:spacing w:after="20" w:before="20"/>
            </w:pPr>
            <w:r>
              <w:rPr>
                <w:rFonts w:ascii="Arial" w:cs="Arial" w:eastAsia="Arial" w:hAnsi="Arial"/>
                <w:b/>
                <w:bCs/>
                <w:color w:val="222222"/>
                <w:sz w:val="18"/>
                <w:szCs w:val="18"/>
              </w:rPr>
              <w:t xml:space="preserve">Sin prueba de canal de notificación</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Los Sliders y Toggles de configuración no incluyen ningún mecanismo para verificar que WhatsApp y correo están correctamente configurados antes de que el Cronjob lo ejecute en producción.</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Crear CU-02b "Prueba de Canal de Notificación": botón "Enviar mensaje de prueba" en la pantalla de configuración. El sistema envía un mensaje de prueba al contacto configurado y muestra en pantalla el resultado (éxito / error con descripción) dentro de los siguientes 30 segundos.</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40"/>
              <w:left w:type="dxa" w:w="200"/>
              <w:bottom w:type="dxa" w:w="140"/>
              <w:right w:type="dxa" w:w="200"/>
            </w:tcMar>
          </w:tcPr>
          <w:p>
            <w:r>
              <w:rPr>
                <w:rFonts w:ascii="Arial" w:cs="Arial" w:eastAsia="Arial" w:hAnsi="Arial"/>
                <w:b/>
                <w:bCs/>
                <w:color w:val="FFFFFF"/>
                <w:sz w:val="26"/>
                <w:szCs w:val="26"/>
              </w:rPr>
              <w:t xml:space="preserve">Módulo 1 · Tablero Ejecutivo (Dashboard)</w:t>
            </w:r>
          </w:p>
          <w:p>
            <w:r>
              <w:rPr>
                <w:rFonts w:ascii="Arial" w:cs="Arial" w:eastAsia="Arial" w:hAnsi="Arial"/>
                <w:color w:val="B0C4DE"/>
                <w:sz w:val="18"/>
                <w:szCs w:val="18"/>
              </w:rPr>
              <w:t xml:space="preserve">CU-03: Consulta de Dashboard Ejecutivo y Urgencias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original (UC-SaaS-v1.0)</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corregido (UC-SaaS-v1.1)</w:t>
            </w:r>
          </w:p>
        </w:tc>
      </w:tr>
      <w:tr>
        <w:tc>
          <w:tcPr>
            <w:tcW w:type="dxa" w:w="144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vAlign w:val="top"/>
          </w:tcPr>
          <w:p>
            <w:pPr>
              <w:spacing w:after="40" w:before="40"/>
            </w:pPr>
            <w:r>
              <w:rPr>
                <w:rFonts w:ascii="Arial" w:cs="Arial" w:eastAsia="Arial" w:hAnsi="Arial"/>
                <w:b/>
                <w:bCs/>
                <w:color w:val="8B6914"/>
                <w:sz w:val="16"/>
                <w:szCs w:val="16"/>
              </w:rPr>
              <w:t xml:space="preserve">MEJORA</w:t>
            </w:r>
          </w:p>
          <w:p>
            <w:pPr>
              <w:spacing w:after="20" w:before="20"/>
            </w:pPr>
            <w:r>
              <w:rPr>
                <w:rFonts w:ascii="Arial" w:cs="Arial" w:eastAsia="Arial" w:hAnsi="Arial"/>
                <w:b/>
                <w:bCs/>
                <w:color w:val="222222"/>
                <w:sz w:val="18"/>
                <w:szCs w:val="18"/>
              </w:rPr>
              <w:t xml:space="preserve">Sin definición de frecuencia de actualización</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"El backend calcula y devuelve los indicadores globales (KPIs) en tiempo real." No se especifica el mecanismo (polling, WebSocket, SSE) ni la frecuencia. En producción, "tiempo real" sin definición concreta genera implementaciones inconsistentes.</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KPIs se actualizan vía polling cada 60 segundos. Adicionalmente, cualquier mutación de expediente (alta, renovación, cambio de estatus) dispara una actualización inmediata. El Dashboard muestra un indicador de "Última actualización: hace N segundos" en la esquina superior.</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top"/>
          </w:tcPr>
          <w:p>
            <w:pPr>
              <w:spacing w:after="40" w:before="40"/>
            </w:pPr>
            <w:r>
              <w:rPr>
                <w:rFonts w:ascii="Arial" w:cs="Arial" w:eastAsia="Arial" w:hAnsi="Arial"/>
                <w:b/>
                <w:bCs/>
                <w:color w:val="0C3D6B"/>
                <w:sz w:val="16"/>
                <w:szCs w:val="16"/>
              </w:rPr>
              <w:t xml:space="preserve">ADICIÓN</w:t>
            </w:r>
          </w:p>
          <w:p>
            <w:pPr>
              <w:spacing w:after="20" w:before="20"/>
            </w:pPr>
            <w:r>
              <w:rPr>
                <w:rFonts w:ascii="Arial" w:cs="Arial" w:eastAsia="Arial" w:hAnsi="Arial"/>
                <w:b/>
                <w:bCs/>
                <w:color w:val="222222"/>
                <w:sz w:val="18"/>
                <w:szCs w:val="18"/>
              </w:rPr>
              <w:t xml:space="preserve">Sin KPI de "Críticos esta semana"</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Los KPIs definidos son: Total, Vigentes, Próximos a Vencer y Vencidos. No existe un contador rápido de los que expiran en los próximos 7 días, que es el dato operativamente más urgente para priorizar la jornada.</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Agregar KPI adicional: "Críticos esta semana" (días_restantes ≤ 7). Visualización con color rojo intenso y acceso directo a la lista filtrada con un solo clic. Este KPI aparece en primer lugar en el grid de indicadores.</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40"/>
              <w:left w:type="dxa" w:w="200"/>
              <w:bottom w:type="dxa" w:w="140"/>
              <w:right w:type="dxa" w:w="200"/>
            </w:tcMar>
          </w:tcPr>
          <w:p>
            <w:r>
              <w:rPr>
                <w:rFonts w:ascii="Arial" w:cs="Arial" w:eastAsia="Arial" w:hAnsi="Arial"/>
                <w:b/>
                <w:bCs/>
                <w:color w:val="FFFFFF"/>
                <w:sz w:val="26"/>
                <w:szCs w:val="26"/>
              </w:rPr>
              <w:t xml:space="preserve">Módulo 5 · Historial, Bitácora y Reportes</w:t>
            </w:r>
          </w:p>
          <w:p>
            <w:r>
              <w:rPr>
                <w:rFonts w:ascii="Arial" w:cs="Arial" w:eastAsia="Arial" w:hAnsi="Arial"/>
                <w:color w:val="B0C4DE"/>
                <w:sz w:val="18"/>
                <w:szCs w:val="18"/>
              </w:rPr>
              <w:t xml:space="preserve">CU-04: Consulta de Contraseña / Descarga de Certificado (Control de Auditoría)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original (UC-SaaS-v1.0)</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corregido (UC-SaaS-v1.1)</w:t>
            </w:r>
          </w:p>
        </w:tc>
      </w:tr>
      <w:tr>
        <w:tc>
          <w:tcPr>
            <w:tcW w:type="dxa" w:w="144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top"/>
          </w:tcPr>
          <w:p>
            <w:pPr>
              <w:spacing w:after="40" w:before="40"/>
            </w:pPr>
            <w:r>
              <w:rPr>
                <w:rFonts w:ascii="Arial" w:cs="Arial" w:eastAsia="Arial" w:hAnsi="Arial"/>
                <w:b/>
                <w:bCs/>
                <w:color w:val="C0392B"/>
                <w:sz w:val="16"/>
                <w:szCs w:val="16"/>
              </w:rPr>
              <w:t xml:space="preserve">ERROR CRÍTICO</w:t>
            </w:r>
          </w:p>
          <w:p>
            <w:pPr>
              <w:spacing w:after="20" w:before="20"/>
            </w:pPr>
            <w:r>
              <w:rPr>
                <w:rFonts w:ascii="Arial" w:cs="Arial" w:eastAsia="Arial" w:hAnsi="Arial"/>
                <w:b/>
                <w:bCs/>
                <w:color w:val="222222"/>
                <w:sz w:val="18"/>
                <w:szCs w:val="18"/>
              </w:rPr>
              <w:t xml:space="preserve">Mecanismo de llave de sesión no definido</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"El backend realiza un descifrado simétrico estrictamente en memoria utilizando la llave de sesión del usuario." No se define qué es la llave de sesión, cómo se genera ni dónde vive. Si es el JWT de autenticación, un token robado permite descifrar expedientes.</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La llave de descifrado se deriva del password del usuario mediante KDF (PBKDF2 o Argon2) en cada petición autenticada. Nunca se almacena en base de datos ni en caché. El backend descifra durante la petición y descarta la llave inmediatamente. Se agrega 2FA (TOTP) como precondición obligatoria para este CU.</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vAlign w:val="top"/>
          </w:tcPr>
          <w:p>
            <w:pPr>
              <w:spacing w:after="40" w:before="40"/>
            </w:pPr>
            <w:r>
              <w:rPr>
                <w:rFonts w:ascii="Arial" w:cs="Arial" w:eastAsia="Arial" w:hAnsi="Arial"/>
                <w:b/>
                <w:bCs/>
                <w:color w:val="8B6914"/>
                <w:sz w:val="16"/>
                <w:szCs w:val="16"/>
              </w:rPr>
              <w:t xml:space="preserve">MEJORA</w:t>
            </w:r>
          </w:p>
          <w:p>
            <w:pPr>
              <w:spacing w:after="20" w:before="20"/>
            </w:pPr>
            <w:r>
              <w:rPr>
                <w:rFonts w:ascii="Arial" w:cs="Arial" w:eastAsia="Arial" w:hAnsi="Arial"/>
                <w:b/>
                <w:bCs/>
                <w:color w:val="222222"/>
                <w:sz w:val="18"/>
                <w:szCs w:val="18"/>
              </w:rPr>
              <w:t xml:space="preserve">Inmutabilidad de bitácora sin mecanismo definido</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"El sistema escribe de forma síncrona e inmutable un nuevo registro en la bitácora de auditoría." No se define el mecanismo que garantiza la inmutabilidad. Un administrador con acceso directo a la base de datos podría eliminar registros sin dejar rastro.</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Cada registro de bitácora incluye un hash SHA-256 que referencia el hash del registro anterior (encadenamiento tipo ledger). Cualquier eliminación o modificación rompe la cadena y es detectable. Retención mínima: 5 años (requerimiento CFDI/SAT México). Los registros son de solo-inserción a nivel de permisos de base de datos.</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top"/>
          </w:tcPr>
          <w:p>
            <w:pPr>
              <w:spacing w:after="40" w:before="40"/>
            </w:pPr>
            <w:r>
              <w:rPr>
                <w:rFonts w:ascii="Arial" w:cs="Arial" w:eastAsia="Arial" w:hAnsi="Arial"/>
                <w:b/>
                <w:bCs/>
                <w:color w:val="0C3D6B"/>
                <w:sz w:val="16"/>
                <w:szCs w:val="16"/>
              </w:rPr>
              <w:t xml:space="preserve">ADICIÓN</w:t>
            </w:r>
          </w:p>
          <w:p>
            <w:pPr>
              <w:spacing w:after="20" w:before="20"/>
            </w:pPr>
            <w:r>
              <w:rPr>
                <w:rFonts w:ascii="Arial" w:cs="Arial" w:eastAsia="Arial" w:hAnsi="Arial"/>
                <w:b/>
                <w:bCs/>
                <w:color w:val="222222"/>
                <w:sz w:val="18"/>
                <w:szCs w:val="18"/>
              </w:rPr>
              <w:t xml:space="preserve">Sin límite de consultas de contraseña</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No existe ningún control sobre la cantidad de veces que un operador puede consultar la contraseña de sus clientes asignados dentro de un período de tiempo.</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Regla de negocio: máximo 10 consultas de contraseña por usuario por día calendario. Al alcanzar el límite, el sistema bloquea temporalmente al operador hasta el día siguiente y genera una alerta automática al Supervisor con el detalle de las consultas realizadas.</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40"/>
              <w:left w:type="dxa" w:w="200"/>
              <w:bottom w:type="dxa" w:w="140"/>
              <w:right w:type="dxa" w:w="200"/>
            </w:tcMar>
          </w:tcPr>
          <w:p>
            <w:r>
              <w:rPr>
                <w:rFonts w:ascii="Arial" w:cs="Arial" w:eastAsia="Arial" w:hAnsi="Arial"/>
                <w:b/>
                <w:bCs/>
                <w:color w:val="FFFFFF"/>
                <w:sz w:val="26"/>
                <w:szCs w:val="26"/>
              </w:rPr>
              <w:t xml:space="preserve">Módulo 4 · Gestión de Usuarios y Control de Acceso (RBAC)</w:t>
            </w:r>
          </w:p>
          <w:p>
            <w:r>
              <w:rPr>
                <w:rFonts w:ascii="Arial" w:cs="Arial" w:eastAsia="Arial" w:hAnsi="Arial"/>
                <w:color w:val="B0C4DE"/>
                <w:sz w:val="18"/>
                <w:szCs w:val="18"/>
              </w:rPr>
              <w:t xml:space="preserve">CU-05: Administración de Usuarios y Asignación de Roles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original (UC-SaaS-v1.0)</w:t>
            </w:r>
          </w:p>
        </w:tc>
        <w:tc>
          <w:tcPr>
            <w:tcW w:type="dxa" w:w="3960"/>
            <w:tcBorders>
              <w:top w:val="single" w:color="1A3A5C" w:sz="4"/>
              <w:left w:val="single" w:color="1A3A5C" w:sz="4"/>
              <w:bottom w:val="single" w:color="1A3A5C" w:sz="4"/>
              <w:right w:val="single" w:color="1A3A5C" w:sz="4"/>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Texto corregido (UC-SaaS-v1.1)</w:t>
            </w:r>
          </w:p>
        </w:tc>
      </w:tr>
      <w:tr>
        <w:tc>
          <w:tcPr>
            <w:tcW w:type="dxa" w:w="144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top"/>
          </w:tcPr>
          <w:p>
            <w:pPr>
              <w:spacing w:after="40" w:before="40"/>
            </w:pPr>
            <w:r>
              <w:rPr>
                <w:rFonts w:ascii="Arial" w:cs="Arial" w:eastAsia="Arial" w:hAnsi="Arial"/>
                <w:b/>
                <w:bCs/>
                <w:color w:val="0C3D6B"/>
                <w:sz w:val="16"/>
                <w:szCs w:val="16"/>
              </w:rPr>
              <w:t xml:space="preserve">ADICIÓN</w:t>
            </w:r>
          </w:p>
          <w:p>
            <w:pPr>
              <w:spacing w:after="20" w:before="20"/>
            </w:pPr>
            <w:r>
              <w:rPr>
                <w:rFonts w:ascii="Arial" w:cs="Arial" w:eastAsia="Arial" w:hAnsi="Arial"/>
                <w:b/>
                <w:bCs/>
                <w:color w:val="222222"/>
                <w:sz w:val="18"/>
                <w:szCs w:val="18"/>
              </w:rPr>
              <w:t xml:space="preserve">Sin flujo de baja / desactivación de usuario</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CU-05 define únicamente el alta de nuevos usuarios. No existe flujo documentado para revocar el acceso de un operador que deja el despacho ni para reasignar sus carteras.</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Agregar CU-05b "Desactivación de Usuario": al desactivar, el sistema requiere seleccionar un usuario destino para reasignación de expedientes. El usuario desactivado pierde acceso inmediatamente pero su historial y bitácora de auditoría se conservan. El Administrador puede reactivar el usuario si es necesario.</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r>
        <w:tc>
          <w:tcPr>
            <w:tcW w:type="dxa" w:w="1440"/>
            <w:tcBorders>
              <w:top w:val="single" w:color="CCCCCC" w:sz="4"/>
              <w:left w:val="single" w:color="CCCCCC" w:sz="4"/>
              <w:bottom w:val="single" w:color="CCCCCC" w:sz="4"/>
              <w:right w:val="single" w:color="CCCCCC" w:sz="4"/>
            </w:tcBorders>
            <w:shd w:fill="FFF8E1" w:val="clear"/>
            <w:tcMar>
              <w:top w:type="dxa" w:w="100"/>
              <w:left w:type="dxa" w:w="140"/>
              <w:bottom w:type="dxa" w:w="100"/>
              <w:right w:type="dxa" w:w="140"/>
            </w:tcMar>
            <w:vAlign w:val="top"/>
          </w:tcPr>
          <w:p>
            <w:pPr>
              <w:spacing w:after="40" w:before="40"/>
            </w:pPr>
            <w:r>
              <w:rPr>
                <w:rFonts w:ascii="Arial" w:cs="Arial" w:eastAsia="Arial" w:hAnsi="Arial"/>
                <w:b/>
                <w:bCs/>
                <w:color w:val="8B6914"/>
                <w:sz w:val="16"/>
                <w:szCs w:val="16"/>
              </w:rPr>
              <w:t xml:space="preserve">MEJORA</w:t>
            </w:r>
          </w:p>
          <w:p>
            <w:pPr>
              <w:spacing w:after="20" w:before="20"/>
            </w:pPr>
            <w:r>
              <w:rPr>
                <w:rFonts w:ascii="Arial" w:cs="Arial" w:eastAsia="Arial" w:hAnsi="Arial"/>
                <w:b/>
                <w:bCs/>
                <w:color w:val="222222"/>
                <w:sz w:val="18"/>
                <w:szCs w:val="18"/>
              </w:rPr>
              <w:t xml:space="preserve">Sin flujo de contraseña inicial / onboarding</w:t>
            </w:r>
          </w:p>
        </w:tc>
        <w:tc>
          <w:tcPr>
            <w:tcW w:type="dxa" w:w="3960"/>
            <w:tcBorders>
              <w:top w:val="single" w:color="E08080" w:sz="4"/>
              <w:left w:val="single" w:color="E08080" w:sz="4"/>
              <w:bottom w:val="single" w:color="E08080" w:sz="4"/>
              <w:right w:val="single" w:color="E08080" w:sz="4"/>
            </w:tcBorders>
            <w:shd w:fill="FDECEA" w:val="clear"/>
            <w:tcMar>
              <w:top w:type="dxa" w:w="100"/>
              <w:left w:type="dxa" w:w="140"/>
              <w:bottom w:type="dxa" w:w="100"/>
              <w:right w:type="dxa" w:w="140"/>
            </w:tcMar>
          </w:tcPr>
          <w:p>
            <w:pPr>
              <w:spacing w:after="60" w:before="30"/>
            </w:pPr>
            <w:r>
              <w:rPr>
                <w:rFonts w:ascii="Arial" w:cs="Arial" w:eastAsia="Arial" w:hAnsi="Arial"/>
                <w:b/>
                <w:bCs/>
                <w:color w:val="C0392B"/>
                <w:sz w:val="18"/>
                <w:szCs w:val="18"/>
              </w:rPr>
              <w:t xml:space="preserve">✕  Versión original</w:t>
            </w:r>
          </w:p>
          <w:p>
            <w:pPr>
              <w:spacing w:after="20" w:before="20"/>
            </w:pPr>
            <w:r>
              <w:rPr>
                <w:rFonts w:ascii="Arial" w:cs="Arial" w:eastAsia="Arial" w:hAnsi="Arial"/>
                <w:color w:val="333333"/>
                <w:sz w:val="18"/>
                <w:szCs w:val="18"/>
              </w:rPr>
              <w:t xml:space="preserve">El flujo crea el usuario con campos obligatorios pero no especifica cómo el nuevo usuario recibe sus credenciales. La asignación manual de contraseña por el Administrador es un riesgo de seguridad.</w:t>
            </w:r>
          </w:p>
        </w:tc>
        <w:tc>
          <w:tcPr>
            <w:tcW w:type="dxa" w:w="39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pPr>
              <w:spacing w:after="60" w:before="30"/>
            </w:pPr>
            <w:r>
              <w:rPr>
                <w:rFonts w:ascii="Arial" w:cs="Arial" w:eastAsia="Arial" w:hAnsi="Arial"/>
                <w:b/>
                <w:bCs/>
                <w:color w:val="1B7A34"/>
                <w:sz w:val="18"/>
                <w:szCs w:val="18"/>
              </w:rPr>
              <w:t xml:space="preserve">✓  Versión mejorada</w:t>
            </w:r>
          </w:p>
          <w:p>
            <w:pPr>
              <w:spacing w:after="20" w:before="20"/>
            </w:pPr>
            <w:r>
              <w:rPr>
                <w:rFonts w:ascii="Arial" w:cs="Arial" w:eastAsia="Arial" w:hAnsi="Arial"/>
                <w:color w:val="1A1A1A"/>
                <w:sz w:val="18"/>
                <w:szCs w:val="18"/>
              </w:rPr>
              <w:t xml:space="preserve">Al crear el usuario, el sistema envía un correo con un enlace de activación de un solo uso (TTL: 24 horas). El nuevo usuario establece su propia contraseña mediante ese enlace. El Administrador nunca conoce la contraseña del usuario. Si el enlace expira sin activar, el Administrador puede reenviar uno nuevo.</w:t>
            </w:r>
          </w:p>
        </w:tc>
      </w:tr>
      <w:tr>
        <w:tc>
          <w:tcPr>
            <w:tcW w:type="dxa" w:w="9360"/>
            <w:gridSpan w:val="3"/>
            <w:tcBorders>
              <w:top w:val="none" w:color="FFFFFF" w:sz="0"/>
              <w:left w:val="none" w:color="FFFFFF" w:sz="0"/>
              <w:bottom w:val="none" w:color="FFFFFF" w:sz="0"/>
              <w:right w:val="none" w:color="FFFFFF" w:sz="0"/>
            </w:tcBorders>
            <w:shd w:fill="F0F0F0" w:val="clear"/>
            <w:tcMar>
              <w:top w:type="dxa" w:w="30"/>
              <w:left w:type="dxa" w:w="0"/>
              <w:bottom w:type="dxa" w:w="30"/>
              <w:right w:type="dxa" w:w="0"/>
            </w:tcMar>
          </w:tcP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40"/>
              <w:left w:type="dxa" w:w="200"/>
              <w:bottom w:type="dxa" w:w="140"/>
              <w:right w:type="dxa" w:w="200"/>
            </w:tcMar>
          </w:tcPr>
          <w:p>
            <w:r>
              <w:rPr>
                <w:rFonts w:ascii="Arial" w:cs="Arial" w:eastAsia="Arial" w:hAnsi="Arial"/>
                <w:b/>
                <w:bCs/>
                <w:color w:val="FFFFFF"/>
                <w:sz w:val="26"/>
                <w:szCs w:val="26"/>
              </w:rPr>
              <w:t xml:space="preserve">Resumen Ejecutivo — Priorización para Fase 1</w:t>
            </w:r>
          </w:p>
          <w:p>
            <w:r>
              <w:rPr>
                <w:rFonts w:ascii="Arial" w:cs="Arial" w:eastAsia="Arial" w:hAnsi="Arial"/>
                <w:color w:val="B0C4DE"/>
                <w:sz w:val="18"/>
                <w:szCs w:val="18"/>
              </w:rPr>
              <w:t xml:space="preserve">Clasificación de hallazgos por impacto y urgencia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FDECEA" w:val="clear"/>
            <w:tcMar>
              <w:top w:type="dxa" w:w="140"/>
              <w:left w:type="dxa" w:w="180"/>
              <w:bottom w:type="dxa" w:w="140"/>
              <w:right w:type="dxa" w:w="180"/>
            </w:tcMar>
          </w:tcPr>
          <w:p>
            <w:pPr>
              <w:spacing w:after="40" w:before="40"/>
              <w:jc w:val="left"/>
            </w:pPr>
            <w:r>
              <w:rPr>
                <w:rFonts w:ascii="Arial" w:cs="Arial" w:eastAsia="Arial" w:hAnsi="Arial"/>
                <w:b/>
                <w:bCs/>
                <w:i w:val="false"/>
                <w:iCs w:val="false"/>
                <w:color w:val="C0392B"/>
                <w:sz w:val="20"/>
                <w:szCs w:val="20"/>
              </w:rPr>
              <w:t xml:space="preserve">🔴 Crítico — Resolver antes de desarrollo</w:t>
            </w:r>
          </w:p>
          <w:p>
            <w:pPr>
              <w:spacing w:after="60" w:before="60"/>
            </w:pPr>
            <w:r>
              <w:t xml:space="preserve"/>
            </w:r>
          </w:p>
          <w:p>
            <w:pPr>
              <w:spacing w:after="20" w:before="40"/>
              <w:jc w:val="left"/>
            </w:pPr>
            <w:r>
              <w:rPr>
                <w:rFonts w:ascii="Arial" w:cs="Arial" w:eastAsia="Arial" w:hAnsi="Arial"/>
                <w:b w:val="false"/>
                <w:bCs w:val="false"/>
                <w:i w:val="false"/>
                <w:iCs w:val="false"/>
                <w:color w:val="333333"/>
                <w:sz w:val="18"/>
                <w:szCs w:val="18"/>
              </w:rPr>
              <w:t xml:space="preserve">• CU-01: Contraseña al backend sin protección de payload</w:t>
            </w:r>
          </w:p>
          <w:p>
            <w:pPr>
              <w:spacing w:after="20" w:before="20"/>
              <w:jc w:val="left"/>
            </w:pPr>
            <w:r>
              <w:rPr>
                <w:rFonts w:ascii="Arial" w:cs="Arial" w:eastAsia="Arial" w:hAnsi="Arial"/>
                <w:b w:val="false"/>
                <w:bCs w:val="false"/>
                <w:i w:val="false"/>
                <w:iCs w:val="false"/>
                <w:color w:val="333333"/>
                <w:sz w:val="18"/>
                <w:szCs w:val="18"/>
              </w:rPr>
              <w:t xml:space="preserve">• CU-04: Mecanismo de llave de sesión indefinido criptográficamente</w:t>
            </w:r>
          </w:p>
          <w:p>
            <w:pPr>
              <w:spacing w:after="20" w:before="20"/>
              <w:jc w:val="left"/>
            </w:pPr>
            <w:r>
              <w:rPr>
                <w:rFonts w:ascii="Arial" w:cs="Arial" w:eastAsia="Arial" w:hAnsi="Arial"/>
                <w:b w:val="false"/>
                <w:bCs w:val="false"/>
                <w:i w:val="false"/>
                <w:iCs w:val="false"/>
                <w:color w:val="333333"/>
                <w:sz w:val="18"/>
                <w:szCs w:val="18"/>
              </w:rPr>
              <w:t xml:space="preserve">• CU-01: Ausencia total de flujo alterno de error en procesamiento X.509</w:t>
            </w:r>
          </w:p>
        </w:tc>
        <w:tc>
          <w:tcPr>
            <w:tcW w:type="dxa" w:w="3120"/>
            <w:tcBorders>
              <w:top w:val="single" w:color="B8860B" w:sz="4"/>
              <w:left w:val="single" w:color="B8860B" w:sz="4"/>
              <w:bottom w:val="single" w:color="B8860B" w:sz="4"/>
              <w:right w:val="single" w:color="B8860B" w:sz="4"/>
            </w:tcBorders>
            <w:shd w:fill="FFF8E1" w:val="clear"/>
            <w:tcMar>
              <w:top w:type="dxa" w:w="140"/>
              <w:left w:type="dxa" w:w="180"/>
              <w:bottom w:type="dxa" w:w="140"/>
              <w:right w:type="dxa" w:w="180"/>
            </w:tcMar>
          </w:tcPr>
          <w:p>
            <w:pPr>
              <w:spacing w:after="40" w:before="40"/>
              <w:jc w:val="left"/>
            </w:pPr>
            <w:r>
              <w:rPr>
                <w:rFonts w:ascii="Arial" w:cs="Arial" w:eastAsia="Arial" w:hAnsi="Arial"/>
                <w:b/>
                <w:bCs/>
                <w:i w:val="false"/>
                <w:iCs w:val="false"/>
                <w:color w:val="7B5E00"/>
                <w:sz w:val="20"/>
                <w:szCs w:val="20"/>
              </w:rPr>
              <w:t xml:space="preserve">🟡 Importante — Fase 1</w:t>
            </w:r>
          </w:p>
          <w:p>
            <w:pPr>
              <w:spacing w:after="60" w:before="60"/>
            </w:pPr>
            <w:r>
              <w:t xml:space="preserve"/>
            </w:r>
          </w:p>
          <w:p>
            <w:pPr>
              <w:spacing w:after="20" w:before="40"/>
              <w:jc w:val="left"/>
            </w:pPr>
            <w:r>
              <w:rPr>
                <w:rFonts w:ascii="Arial" w:cs="Arial" w:eastAsia="Arial" w:hAnsi="Arial"/>
                <w:b w:val="false"/>
                <w:bCs w:val="false"/>
                <w:i w:val="false"/>
                <w:iCs w:val="false"/>
                <w:color w:val="333333"/>
                <w:sz w:val="18"/>
                <w:szCs w:val="18"/>
              </w:rPr>
              <w:t xml:space="preserve">• CU-02: Definición precisa de umbrales (operadores inclusivos/exclusivos)</w:t>
            </w:r>
          </w:p>
          <w:p>
            <w:pPr>
              <w:spacing w:after="20" w:before="20"/>
              <w:jc w:val="left"/>
            </w:pPr>
            <w:r>
              <w:rPr>
                <w:rFonts w:ascii="Arial" w:cs="Arial" w:eastAsia="Arial" w:hAnsi="Arial"/>
                <w:b w:val="false"/>
                <w:bCs w:val="false"/>
                <w:i w:val="false"/>
                <w:iCs w:val="false"/>
                <w:color w:val="333333"/>
                <w:sz w:val="18"/>
                <w:szCs w:val="18"/>
              </w:rPr>
              <w:t xml:space="preserve">• CU-02: Estatus diferenciado para certificados ya expirados</w:t>
            </w:r>
          </w:p>
          <w:p>
            <w:pPr>
              <w:spacing w:after="20" w:before="20"/>
              <w:jc w:val="left"/>
            </w:pPr>
            <w:r>
              <w:rPr>
                <w:rFonts w:ascii="Arial" w:cs="Arial" w:eastAsia="Arial" w:hAnsi="Arial"/>
                <w:b w:val="false"/>
                <w:bCs w:val="false"/>
                <w:i w:val="false"/>
                <w:iCs w:val="false"/>
                <w:color w:val="333333"/>
                <w:sz w:val="18"/>
                <w:szCs w:val="18"/>
              </w:rPr>
              <w:t xml:space="preserve">• CU-02: Manejo de fallo con reintento y bitácora</w:t>
            </w:r>
          </w:p>
          <w:p>
            <w:pPr>
              <w:spacing w:after="20" w:before="20"/>
              <w:jc w:val="left"/>
            </w:pPr>
            <w:r>
              <w:rPr>
                <w:rFonts w:ascii="Arial" w:cs="Arial" w:eastAsia="Arial" w:hAnsi="Arial"/>
                <w:b w:val="false"/>
                <w:bCs w:val="false"/>
                <w:i w:val="false"/>
                <w:iCs w:val="false"/>
                <w:color w:val="333333"/>
                <w:sz w:val="18"/>
                <w:szCs w:val="18"/>
              </w:rPr>
              <w:t xml:space="preserve">• CU-04: Retención e integridad encadenada de bitácora</w:t>
            </w:r>
          </w:p>
          <w:p>
            <w:pPr>
              <w:spacing w:after="20" w:before="20"/>
              <w:jc w:val="left"/>
            </w:pPr>
            <w:r>
              <w:rPr>
                <w:rFonts w:ascii="Arial" w:cs="Arial" w:eastAsia="Arial" w:hAnsi="Arial"/>
                <w:b w:val="false"/>
                <w:bCs w:val="false"/>
                <w:i w:val="false"/>
                <w:iCs w:val="false"/>
                <w:color w:val="333333"/>
                <w:sz w:val="18"/>
                <w:szCs w:val="18"/>
              </w:rPr>
              <w:t xml:space="preserve">• CU-04: Límite de consultas de contraseña por operador/día</w:t>
            </w:r>
          </w:p>
          <w:p>
            <w:pPr>
              <w:spacing w:after="20" w:before="20"/>
              <w:jc w:val="left"/>
            </w:pPr>
            <w:r>
              <w:rPr>
                <w:rFonts w:ascii="Arial" w:cs="Arial" w:eastAsia="Arial" w:hAnsi="Arial"/>
                <w:b w:val="false"/>
                <w:bCs w:val="false"/>
                <w:i w:val="false"/>
                <w:iCs w:val="false"/>
                <w:color w:val="333333"/>
                <w:sz w:val="18"/>
                <w:szCs w:val="18"/>
              </w:rPr>
              <w:t xml:space="preserve">• CU-05: Flujo de onboarding con enlace de activación seguro</w:t>
            </w:r>
          </w:p>
          <w:p>
            <w:pPr>
              <w:spacing w:after="20" w:before="20"/>
              <w:jc w:val="left"/>
            </w:pPr>
            <w:r>
              <w:rPr>
                <w:rFonts w:ascii="Arial" w:cs="Arial" w:eastAsia="Arial" w:hAnsi="Arial"/>
                <w:b w:val="false"/>
                <w:bCs w:val="false"/>
                <w:i w:val="false"/>
                <w:iCs w:val="false"/>
                <w:color w:val="333333"/>
                <w:sz w:val="18"/>
                <w:szCs w:val="18"/>
              </w:rPr>
              <w:t xml:space="preserve">• CU-03: Frecuencia y mecanismo de actualización de KPIs</w:t>
            </w:r>
          </w:p>
          <w:p>
            <w:pPr>
              <w:spacing w:after="20" w:before="20"/>
              <w:jc w:val="left"/>
            </w:pPr>
            <w:r>
              <w:rPr>
                <w:rFonts w:ascii="Arial" w:cs="Arial" w:eastAsia="Arial" w:hAnsi="Arial"/>
                <w:b w:val="false"/>
                <w:bCs w:val="false"/>
                <w:i w:val="false"/>
                <w:iCs w:val="false"/>
                <w:color w:val="333333"/>
                <w:sz w:val="18"/>
                <w:szCs w:val="18"/>
              </w:rPr>
              <w:t xml:space="preserve">• CU-01: Validación de RFC duplicado antes de guardar</w:t>
            </w:r>
          </w:p>
        </w:tc>
        <w:tc>
          <w:tcPr>
            <w:tcW w:type="dxa" w:w="3120"/>
            <w:tcBorders>
              <w:top w:val="single" w:color="1565C0" w:sz="4"/>
              <w:left w:val="single" w:color="1565C0" w:sz="4"/>
              <w:bottom w:val="single" w:color="1565C0" w:sz="4"/>
              <w:right w:val="single" w:color="1565C0" w:sz="4"/>
            </w:tcBorders>
            <w:shd w:fill="E3F2FD" w:val="clear"/>
            <w:tcMar>
              <w:top w:type="dxa" w:w="140"/>
              <w:left w:type="dxa" w:w="180"/>
              <w:bottom w:type="dxa" w:w="140"/>
              <w:right w:type="dxa" w:w="180"/>
            </w:tcMar>
          </w:tcPr>
          <w:p>
            <w:pPr>
              <w:spacing w:after="40" w:before="40"/>
              <w:jc w:val="left"/>
            </w:pPr>
            <w:r>
              <w:rPr>
                <w:rFonts w:ascii="Arial" w:cs="Arial" w:eastAsia="Arial" w:hAnsi="Arial"/>
                <w:b/>
                <w:bCs/>
                <w:i w:val="false"/>
                <w:iCs w:val="false"/>
                <w:color w:val="0C3D6B"/>
                <w:sz w:val="20"/>
                <w:szCs w:val="20"/>
              </w:rPr>
              <w:t xml:space="preserve">🔵 Backlog — Fase 2</w:t>
            </w:r>
          </w:p>
          <w:p>
            <w:pPr>
              <w:spacing w:after="60" w:before="60"/>
            </w:pPr>
            <w:r>
              <w:t xml:space="preserve"/>
            </w:r>
          </w:p>
          <w:p>
            <w:pPr>
              <w:spacing w:after="20" w:before="40"/>
              <w:jc w:val="left"/>
            </w:pPr>
            <w:r>
              <w:rPr>
                <w:rFonts w:ascii="Arial" w:cs="Arial" w:eastAsia="Arial" w:hAnsi="Arial"/>
                <w:b w:val="false"/>
                <w:bCs w:val="false"/>
                <w:i w:val="false"/>
                <w:iCs w:val="false"/>
                <w:color w:val="333333"/>
                <w:sz w:val="18"/>
                <w:szCs w:val="18"/>
              </w:rPr>
              <w:t xml:space="preserve">• CU-01b: Caso de uso de renovación de certificado</w:t>
            </w:r>
          </w:p>
          <w:p>
            <w:pPr>
              <w:spacing w:after="20" w:before="20"/>
              <w:jc w:val="left"/>
            </w:pPr>
            <w:r>
              <w:rPr>
                <w:rFonts w:ascii="Arial" w:cs="Arial" w:eastAsia="Arial" w:hAnsi="Arial"/>
                <w:b w:val="false"/>
                <w:bCs w:val="false"/>
                <w:i w:val="false"/>
                <w:iCs w:val="false"/>
                <w:color w:val="333333"/>
                <w:sz w:val="18"/>
                <w:szCs w:val="18"/>
              </w:rPr>
              <w:t xml:space="preserve">• CU-02b: Caso de uso de prueba de canal de notificación</w:t>
            </w:r>
          </w:p>
          <w:p>
            <w:pPr>
              <w:spacing w:after="20" w:before="20"/>
              <w:jc w:val="left"/>
            </w:pPr>
            <w:r>
              <w:rPr>
                <w:rFonts w:ascii="Arial" w:cs="Arial" w:eastAsia="Arial" w:hAnsi="Arial"/>
                <w:b w:val="false"/>
                <w:bCs w:val="false"/>
                <w:i w:val="false"/>
                <w:iCs w:val="false"/>
                <w:color w:val="333333"/>
                <w:sz w:val="18"/>
                <w:szCs w:val="18"/>
              </w:rPr>
              <w:t xml:space="preserve">• CU-03: KPI adicional "Críticos esta semana" (≤7 días)</w:t>
            </w:r>
          </w:p>
          <w:p>
            <w:pPr>
              <w:spacing w:after="20" w:before="20"/>
              <w:jc w:val="left"/>
            </w:pPr>
            <w:r>
              <w:rPr>
                <w:rFonts w:ascii="Arial" w:cs="Arial" w:eastAsia="Arial" w:hAnsi="Arial"/>
                <w:b w:val="false"/>
                <w:bCs w:val="false"/>
                <w:i w:val="false"/>
                <w:iCs w:val="false"/>
                <w:color w:val="333333"/>
                <w:sz w:val="18"/>
                <w:szCs w:val="18"/>
              </w:rPr>
              <w:t xml:space="preserve">• CU-05b: Caso de uso de desactivación y reasignación de usuario</w:t>
            </w:r>
          </w:p>
        </w:tc>
      </w:tr>
    </w:tbl>
    <w:p>
      <w:pPr>
        <w:spacing w:after="60" w:before="60"/>
      </w:pPr>
      <w:r>
        <w:t xml:space="preserve"/>
      </w:r>
    </w:p>
    <w:p>
      <w:pPr>
        <w:spacing w:before="120"/>
        <w:jc w:val="center"/>
      </w:pPr>
      <w:r>
        <w:rPr>
          <w:rFonts w:ascii="Arial" w:cs="Arial" w:eastAsia="Arial" w:hAnsi="Arial"/>
          <w:i/>
          <w:iCs/>
          <w:color w:val="999999"/>
          <w:sz w:val="16"/>
          <w:szCs w:val="16"/>
        </w:rPr>
        <w:t xml:space="preserve">Documento generado para revisión interna — Código: UC-SaaS-v1.1-DRAFT — 27 de junio de 2026</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6" w:space="1"/>
      </w:pBdr>
      <w:spacing w:before="120"/>
      <w:jc w:val="center"/>
    </w:pPr>
    <w:r>
      <w:rPr>
        <w:rFonts w:ascii="Arial" w:cs="Arial" w:eastAsia="Arial" w:hAnsi="Arial"/>
        <w:color w:val="888888"/>
        <w:sz w:val="16"/>
        <w:szCs w:val="16"/>
      </w:rPr>
      <w:t xml:space="preserve">Confidencial — Equipo de Desarrollo de Software / Core Criptográfico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6" w:space="1"/>
      </w:pBdr>
      <w:spacing w:after="120"/>
      <w:jc w:val="right"/>
    </w:pPr>
    <w:r>
      <w:rPr>
        <w:rFonts w:ascii="Arial" w:cs="Arial" w:eastAsia="Arial" w:hAnsi="Arial"/>
        <w:color w:val="888888"/>
        <w:sz w:val="18"/>
        <w:szCs w:val="18"/>
      </w:rPr>
      <w:t xml:space="preserve">SAT Control Manager  ·  Comparativa UC-SaaS-v1.0 → v1.1  ·  </w:t>
    </w:r>
    <w:r>
      <w:rPr>
        <w:rFonts w:ascii="Arial" w:cs="Arial" w:eastAsia="Arial" w:hAnsi="Arial"/>
        <w:color w:val="888888"/>
        <w:sz w:val="18"/>
        <w:szCs w:val="18"/>
      </w:rPr>
      <w:t xml:space="preserve">27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2026-06-27T16:27:21.432Z</dcterms:created>
  <dcterms:modified xsi:type="dcterms:W3CDTF">2026-06-27T16:27:21.433Z</dcterms:modified>
</cp:coreProperties>
</file>

<file path=docProps/custom.xml><?xml version="1.0" encoding="utf-8"?>
<Properties xmlns="http://schemas.openxmlformats.org/officeDocument/2006/custom-properties" xmlns:vt="http://schemas.openxmlformats.org/officeDocument/2006/docPropsVTypes"/>
</file>