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0505"/>
          <w:sz w:val="24"/>
          <w:szCs w:val="24"/>
          <w:rtl w:val="0"/>
        </w:rPr>
        <w:t xml:space="preserve">El Cine Coliseo funcionó desde el año 1926 frente a la plaza departamental, sobre la calle Colón. Proyectaba en horario de matiné y nocturno 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era, además, cine al aire libre con techo corredizo. Su propietario era Francisco Castillo quien tenía la casa familiar en el mismo edificio.</w:t>
      </w:r>
    </w:p>
    <w:p w:rsidR="00000000" w:rsidDel="00000000" w:rsidP="00000000" w:rsidRDefault="00000000" w:rsidRPr="00000000" w14:paraId="00000003">
      <w:pPr>
        <w:shd w:fill="ffffff" w:val="clear"/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Bibliografía/Fuentes</w:t>
      </w:r>
    </w:p>
    <w:p w:rsidR="00000000" w:rsidDel="00000000" w:rsidP="00000000" w:rsidRDefault="00000000" w:rsidRPr="00000000" w14:paraId="00000005">
      <w:pPr>
        <w:shd w:fill="ffffff" w:val="clear"/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-Balmaceda, S. (2007).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Godoy Cruz, memoria de todos. Álbum homenaje al 150 aniversario del departamento de Godoy Cruz: fotografías desde 1880 a 1950.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Mendoza, Biblioteca Belgrano.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-Blog Mendoza Antigua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