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Fundada a principios de la década de 1910 por la familia Llano, la Farmacia del Pueblo se ubicaba en la esquina de las actuales calle Azopardo y Perito Moreno, frente a la plaza departamental de Godoy Cruz. El tradicional comercio comprendía originalmente la farmacia en la esquina y una óptica contigua, sobre Perito Moreno, que tenía entrada independiente.</w:t>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través de una fotografía de archivo, fechada en 1914, se aprecia que el edificio poseía una fachada en ochava, donde estaba inscripto el nombre de Joaquin Llano acompañado por los títulos de “Químico y Farmacéutico”. El alzado de la construcción estaba resuelto con un zócalo con basamentos donde se apoyaban pilastras adosadas al muro. El conjunto remataba con un paramento liso donde se aprecia, en diversos ángulos, el nombre “Farmacia del Pueblo”. La foto también aporta el dato que la entrada al local se realizaba por la calle Azopardo.</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actualidad, el edificio es parte de la cadena de farmacias Del Plata y en el local lindante, donde estaba la óptica, funciona un kiosco. La construcción no ha sido muy modificada sustancialmente. Se observan, no obstante, algunas intervenciones como el ingreso al local, que se realiza por la ochava que destaca por una marquesina de hierro. Asimismo sus muros laterales presentan almohadillado y en ellos se observan grandes vidrieras enmarcadas por molduras con ornamentos.</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Texto:</w:t>
      </w:r>
      <w:r w:rsidDel="00000000" w:rsidR="00000000" w:rsidRPr="00000000">
        <w:rPr>
          <w:rFonts w:ascii="Times New Roman" w:cs="Times New Roman" w:eastAsia="Times New Roman" w:hAnsi="Times New Roman"/>
          <w:sz w:val="24"/>
          <w:szCs w:val="24"/>
          <w:rtl w:val="0"/>
        </w:rPr>
        <w:t xml:space="preserve"> María Virginia Goldar/Andrea Segura</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Bibliografía:</w:t>
      </w:r>
      <w:r w:rsidDel="00000000" w:rsidR="00000000" w:rsidRPr="00000000">
        <w:rPr>
          <w:rtl w:val="0"/>
        </w:rPr>
      </w:r>
    </w:p>
    <w:p w:rsidR="00000000" w:rsidDel="00000000" w:rsidP="00000000" w:rsidRDefault="00000000" w:rsidRPr="00000000" w14:paraId="00000009">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Balmaceda, S. (2007). </w:t>
      </w:r>
      <w:r w:rsidDel="00000000" w:rsidR="00000000" w:rsidRPr="00000000">
        <w:rPr>
          <w:rFonts w:ascii="Times New Roman" w:cs="Times New Roman" w:eastAsia="Times New Roman" w:hAnsi="Times New Roman"/>
          <w:i w:val="1"/>
          <w:sz w:val="24"/>
          <w:szCs w:val="24"/>
          <w:rtl w:val="0"/>
        </w:rPr>
        <w:t xml:space="preserve">Godoy Cruz, memoria de todos. Álbum homenaje al 150 aniversario del departamento de Godoy Cruz: fotografías desde 1880 a 1950.</w:t>
      </w:r>
      <w:r w:rsidDel="00000000" w:rsidR="00000000" w:rsidRPr="00000000">
        <w:rPr>
          <w:rFonts w:ascii="Times New Roman" w:cs="Times New Roman" w:eastAsia="Times New Roman" w:hAnsi="Times New Roman"/>
          <w:sz w:val="24"/>
          <w:szCs w:val="24"/>
          <w:rtl w:val="0"/>
        </w:rPr>
        <w:t xml:space="preserve"> Mendoza, Biblioteca Belgrano.</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-Nardechia, M. y Raffa, C. (dirs) (2023) en Prensa. </w:t>
      </w:r>
      <w:r w:rsidDel="00000000" w:rsidR="00000000" w:rsidRPr="00000000">
        <w:rPr>
          <w:rFonts w:ascii="Times New Roman" w:cs="Times New Roman" w:eastAsia="Times New Roman" w:hAnsi="Times New Roman"/>
          <w:i w:val="1"/>
          <w:sz w:val="24"/>
          <w:szCs w:val="24"/>
          <w:rtl w:val="0"/>
        </w:rPr>
        <w:t xml:space="preserve">Arquitectura, sitios y paisajes de Godoy Cruz. Guía de Patrimonio cultural 2023</w:t>
      </w:r>
      <w:r w:rsidDel="00000000" w:rsidR="00000000" w:rsidRPr="00000000">
        <w:rPr>
          <w:rFonts w:ascii="Times New Roman" w:cs="Times New Roman" w:eastAsia="Times New Roman" w:hAnsi="Times New Roman"/>
          <w:sz w:val="24"/>
          <w:szCs w:val="24"/>
          <w:rtl w:val="0"/>
        </w:rPr>
        <w:t xml:space="preserve">. Godoy Cruz, Municipalidad de Godoy Cruz.</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drawing>
          <wp:inline distB="114300" distT="114300" distL="114300" distR="114300">
            <wp:extent cx="5734050" cy="3590925"/>
            <wp:effectExtent b="0" l="0" r="0" t="0"/>
            <wp:docPr id="1" name="image1.png"/>
            <a:graphic>
              <a:graphicData uri="http://schemas.openxmlformats.org/drawingml/2006/picture">
                <pic:pic>
                  <pic:nvPicPr>
                    <pic:cNvPr id="0" name="image1.png"/>
                    <pic:cNvPicPr preferRelativeResize="0"/>
                  </pic:nvPicPr>
                  <pic:blipFill>
                    <a:blip r:embed="rId6"/>
                    <a:srcRect b="5464" l="0" r="0" t="25865"/>
                    <a:stretch>
                      <a:fillRect/>
                    </a:stretch>
                  </pic:blipFill>
                  <pic:spPr>
                    <a:xfrm>
                      <a:off x="0" y="0"/>
                      <a:ext cx="5734050"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i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