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Calibri" w:cs="Calibri" w:eastAsia="Calibri" w:hAnsi="Calibri"/>
          <w:b w:val="1"/>
        </w:rPr>
      </w:pPr>
      <w:r w:rsidDel="00000000" w:rsidR="00000000" w:rsidRPr="00000000">
        <w:rPr>
          <w:rFonts w:ascii="Calibri" w:cs="Calibri" w:eastAsia="Calibri" w:hAnsi="Calibri"/>
          <w:b w:val="1"/>
          <w:rtl w:val="0"/>
        </w:rPr>
        <w:t xml:space="preserve">BODEGA CREMASCHI</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rFonts w:ascii="Calibri" w:cs="Calibri" w:eastAsia="Calibri" w:hAnsi="Calibri"/>
        </w:rPr>
      </w:pPr>
      <w:r w:rsidDel="00000000" w:rsidR="00000000" w:rsidRPr="00000000">
        <w:rPr>
          <w:rFonts w:ascii="Calibri" w:cs="Calibri" w:eastAsia="Calibri" w:hAnsi="Calibri"/>
          <w:rtl w:val="0"/>
        </w:rPr>
        <w:t xml:space="preserve">Luis, nacido en Italia, llegó a Mendoza en 1886, era artesano especializado en la fabricación de toneles y se dedicó a ello cuando se radicó en la provincia. En 1895 adquirió su bodega en Godoy Cruz, en proximidad a la plaza departamental, y se introdujo en el negocio de la elaboración de vinos. Tiempo después, con el crecimiento de su empresa, sus hijos se asociaron y Luis Segundo asumió la gerencia. Además de la bodega de Godoy Cruz, pronto compraron una finca en Jocolí, Lavalle. Sus vinos recibieron medallas en distintos certámenes europeos. También incursionaron en la fabricación de alcoholes derivados de la vid. La bodega contaba con dos naves paralelas con techumbre a dos aguas y amplias galerías cubiertas integradas al patio. En el mismo predio se encontraba la casa patronal, el único edificio que aún se conserva parcialmente en la intersección de calles Las Heras y Urquiza. Luis fue vecino activo del departamento y, como tal, formó  parte de la comitiva de recepción del Príncipe de Piamonte que visitó estas tierras en 1924.</w:t>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b w:val="1"/>
          <w:rtl w:val="0"/>
        </w:rPr>
        <w:t xml:space="preserve">Fuente</w:t>
      </w:r>
      <w:r w:rsidDel="00000000" w:rsidR="00000000" w:rsidRPr="00000000">
        <w:rPr>
          <w:rFonts w:ascii="Calibri" w:cs="Calibri" w:eastAsia="Calibri" w:hAnsi="Calibri"/>
          <w:rtl w:val="0"/>
        </w:rPr>
        <w:t xml:space="preserve">:</w:t>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Álbum Los Argentinos a SAR el príncipe de Piamonte Don Umberto de Savoia, en ocasión de su visita a Mendoza, 1924.</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