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Fuente de imágenes de ARCANCO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Img 1, 2: Rodriguez, F. (3 de mayo 2017) </w:t>
      </w:r>
      <w:r w:rsidDel="00000000" w:rsidR="00000000" w:rsidRPr="00000000">
        <w:rPr>
          <w:i w:val="1"/>
          <w:rtl w:val="0"/>
        </w:rPr>
        <w:t xml:space="preserve">1920-1930: la precariedad de las trabajadoras. Agroindustrias y diversificación en Mendoza</w:t>
      </w:r>
      <w:r w:rsidDel="00000000" w:rsidR="00000000" w:rsidRPr="00000000">
        <w:rPr>
          <w:rtl w:val="0"/>
        </w:rPr>
        <w:t xml:space="preserve">.INCIHUSA. Sitio web: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https://www.mendoza.conicet.gov.ar/incihusa/2017/05/03/1920-1930-la-precariedad-de-las-trabajadoras/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Img 3: Desvío Arcanco. Proyecto Institucional: Patrimonio Cultural de Mendoza. Registro, análisis y prospectiva de bienes culturales-ambientales como recurso de desarrollo local e innovación socio-cultural En Repositorio digital del Instituto de Ciencias Humanas, Sociales y Ambientales (INCIHUSA - CONICET). Sitio Web: https://incihusa.mendoza-conicet.gob.ar/jspui/handle/9999/970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endoza.conicet.gov.ar/incihusa/2017/05/03/1920-1930-la-precariedad-de-las-trabajador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