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Lógica · Guía de patrones para el test</w:t>
      </w:r>
    </w:p>
    <w:p>
      <w:pPr>
        <w:spacing w:after="120"/>
      </w:pPr>
      <w:r>
        <w:rPr>
          <w:rFonts w:ascii="Arial" w:cs="Arial" w:eastAsia="Arial" w:hAnsi="Arial"/>
          <w:color w:val="555555"/>
          <w:sz w:val="22"/>
          <w:szCs w:val="22"/>
        </w:rPr>
        <w:t xml:space="preserve">Resumen de los esquemas que se repiten en las preguntas tipo test del documento Santo Grial (asignatura de Lógica), pensado para reconocer la respuesta correcta casi de un vistazo.</w:t>
      </w:r>
    </w:p>
    <w:p>
      <w:pPr>
        <w:spacing w:after="100"/>
      </w:pPr>
    </w:p>
    <w:p>
      <w:pPr>
        <w:pStyle w:val="Heading1"/>
      </w:pPr>
      <w:r>
        <w:t xml:space="preserve">Cómo usar esta guía</w:t>
      </w:r>
    </w:p>
    <w:p>
      <w:pPr>
        <w:spacing w:after="120"/>
      </w:pPr>
      <w:r>
        <w:rPr>
          <w:rFonts w:ascii="Arial" w:cs="Arial" w:eastAsia="Arial" w:hAnsi="Arial"/>
          <w:sz w:val="22"/>
          <w:szCs w:val="22"/>
        </w:rPr>
        <w:t xml:space="preserve">Las preguntas de examen se repiten año tras año con cambios mínimos de redacción o de letras (p, q, r). En vez de memorizar cada pregunta suelta, conviene memorizar el patrón de la pregunta: qué dos o tres conceptos suelen confundirse y cuál es la pista textual que delata la opción correcta. Cada patrón de abajo incluye la regla y un ejemplo real extraído del documento.</w:t>
      </w:r>
    </w:p>
    <w:p>
      <w:pPr>
        <w:spacing w:after="200"/>
      </w:pPr>
    </w:p>
    <w:p>
      <w:pPr>
        <w:pStyle w:val="Heading1"/>
      </w:pPr>
      <w:r>
        <w:t xml:space="preserve">Patrones de reconocimiento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1. Plano del metalenguaje</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Cuando preguntan en qué “plano” o “nivel” están las reglas de inferencia de un sistema de deducción natural, la respuesta es siempre metalenguaje (las reglas hablan sobre el lenguaje objeto, no son parte de él). Si la pregunta habla de “niveles de formalización de la lógica” en general (no de las reglas), la respuesta es sintáctica o semántica, no proposicional/predicados ni inductiva/deductiva.</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“Las reglas básicas de inferencia de un sistema de deducción natural están en el plano: ... del metalenguaje.”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2. Conjuntos adecuados de conectivas</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Memoriza la lista cerrada de conjuntos que sí son adecuados (funcionalmente completos): {¬,∧}, {¬,∨}, {¬,→}, {↓} solo, {|} (Sheffer) solo, y {¬,∧,∨}. Ningún conjunto sin negación es adecuado: descarta automáticamente {∧,∨}, {∧,→}, {→,↔}. Truco: si no aparece ¬ y no es ↓ o | en solitario, esa opción es casi siempre la incorrecta o la correcta por exclusión, según se pregunte.</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“Es un conjunto adecuado de conectivas: ... {¬,∧,∨}.” /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3. Designador, término y functor</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Ante una jerarquía de conceptos (functor, término, designador, fórmula atómica), el más general suele ser la respuesta correcta cuando la pregunta es ambigua: un término del lenguaje L se entiende como un designador, y un functor aplicado sobre un nombre es un caso particular de designador.</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“Un término del lenguaje L de la lógica de predicados se puede entender como: ... Un designador.”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4. “A menos que”, “sólo si” y condición necesaria</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Memoriza estas tres fórmulas de traducción: 'A a menos que B' equivale a ¬B → A; 'No A a menos que B' equivale a B → A; 'Sólo si B, A' (B es condición necesaria de A) equivale a A → B. La condición necesaria siempre acaba en el consecuente del condicional, nunca en el antecedente.</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“No aprobaré la asignatura de Lógica a menos que estudie” (r = estudio, s = aprobaré) se formaliza como s →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5. Insatisfacible no es “existe una interpretación falsa”</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Trampa muy repetida: decir que A es insatisfacible si existe una interpretación en la que A es falsa es FALSO. Insatisfacible significa que A es falsa en TODA interpretación (ninguna la satisface). Si ves “existe una interpretación” junto a “insatisfacible” en la misma frase, sospecha que es la opción incorrecta.</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“¿Cuál de las siguientes definiciones es falsa? ... A es insatisfacible si y sólo si existe una interpretación para la cual A es falsa en ella.” (Es la falsa: debería decir “para toda interpretación”.)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6. Satisfecha / verdadera / modelo (cuantificadores ocultos)</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Distingue el alcance exacto de cada término: A satisfecha por v en I significa que A se evalúa a V con esa valoración concreta; A verdadera en I (o I es modelo de A) significa que TODA valoración en I satisface A; A falsa en I significa que NINGUNA valoración la satisface. La palabra clave (toda / alguna / ninguna) es la que decide cuál opción es correcta.</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“Una fbf A es verdadera en I si y sólo si: A es satisfecha por todas las posibles valoraciones v en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7. Corrección frente a completitud</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Corrección (soundness): todo lo demostrable es válido — de la sintaxis a la semántica (⊢A implica ⊨A). Completitud: todo lo válido es demostrable — de la semántica a la sintaxis (⊨A implica ⊢A). Para no confundirlas: “corrección” empieza comprobando que el cálculo no se “pasa de la raya” (solo demuestra lo correcto); “completitud” asegura que el cálculo “completa”, alcanza, toda verdad semántica.</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“El teorema de la completitud para lógica de predicados establece que: ... Si una fbf es lógicamente válida entonces es teorema.”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8. Tautología, contradicción o contingencia</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No hace falta construir la tabla de verdad completa: evalúa primero con p=V, q=V; si el resultado es V, prueba después p=V, q=F. En el momento en que encuentres una fila con V y otra con F, ya es contingencia y puedes parar. Solo si las primeras pruebas coinciden conviene completar toda la tabla para confirmar tautología o contradicción.</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“Sea A ≡ ((¬p→q)↔(p→¬q)). Se cumple que: A es una contingencia.”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9. Cláusula frente a forma normal conjuntiva (FNC)</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Una cláusula es una disyunción de literales: solo hay ∨ y ¬ pegados a variables, sin paréntesis con ∧ dentro. Una FNC es una conjunción de cláusulas: varios bloques entre paréntesis (cada uno una disyunción) unidos por ∧. Si ves un único bloque con solo ∨, es cláusula; si ves varios bloques con ∧ uniéndolos, es FNC.</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Cláusula: ¬p ∨ ¬q ∨ ¬r. FNC: p ∧ (¬q ∨ s) ∧ (q ∨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10. Variable libre y variable ligada</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Una ocurrencia de variable está ligada si cae dentro del radio de acción (alcance) de un cuantificador que usa esa misma letra; si no, está libre. Para comprobarlo, localiza visualmente el paréntesis que abre el cuantificador (∀x) o (∃x) y mira si esa x concreta queda “tapada” por él.</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“Se dice que una variable está ligada cuando: aparece libre en el radio de acción de un cuantificador que la cuantifica.”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11. Sustituciones simultáneas {x/y, y/x, ...}</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Las sustituciones del tipo {x/y, y/x, w/z, z/x} se aplican todas a la vez sobre la expresión original, nunca en cascada (sustituir y después volver a sustituir el resultado). El error típico es aplicar los cambios uno tras otro, lo que produce una respuesta distinta a la correcta.</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Sustituir {x/y, y/x, w/z, z/x} en P(x,y,f(w)) da P(y,x,f(z)), no P(x,x,f(x)).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12. Decidibilidad: proposiciones sí, predicados no (en general)</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La lógica de proposiciones es decidible (existe el procedimiento finito de las tablas de verdad). La lógica de predicados de primer orden es indecidible en general, aunque existen subcasos o fragmentos decidibles. Si la pregunta no matiza “en general”, fíjate en si habla de proposiciones o de predicados antes de responder.</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“El sistema axiomático de la lógica de predicados: es indecidible en general, aunque hay casos en los que es decidible.”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Patrón 13. La trampa de “ninguna/todas las anteriores”</w:t>
            </w:r>
          </w:p>
        </w:tc>
      </w:tr>
      <w:tr>
        <w:tc>
          <w:tcPr>
            <w:tcW w:type="dxa" w:w="9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80"/>
            </w:pPr>
            <w:r>
              <w:rPr>
                <w:rFonts w:ascii="Arial" w:cs="Arial" w:eastAsia="Arial" w:hAnsi="Arial"/>
                <w:b/>
                <w:bCs/>
                <w:color w:val="1F4E79"/>
                <w:sz w:val="22"/>
                <w:szCs w:val="22"/>
              </w:rPr>
              <w:t xml:space="preserve">Regla rápida: </w:t>
            </w:r>
            <w:r>
              <w:rPr>
                <w:rFonts w:ascii="Arial" w:cs="Arial" w:eastAsia="Arial" w:hAnsi="Arial"/>
                <w:sz w:val="22"/>
                <w:szCs w:val="22"/>
              </w:rPr>
              <w:t xml:space="preserve">Cuando una pregunta presenta varias formulaciones de un mismo teorema con notación distinta (por ejemplo, tres formas de expresar la equivalencia demostrable), es frecuente que el examen busque que reconozcas que esas formulaciones SÍ son equivalentes entre sí. Si te piden la afirmación falsa y las otras tres parecen correctas pero solo difieren en notación, sospecha que la respuesta correcta es la opción “todas las anteriores son correctas” o, a la inversa, “todas las anteriores son incorrectas” si el enunciado central está mal planteado.</w:t>
            </w:r>
          </w:p>
          <w:p>
            <w:r>
              <w:rPr>
                <w:rFonts w:ascii="Arial" w:cs="Arial" w:eastAsia="Arial" w:hAnsi="Arial"/>
                <w:b/>
                <w:bCs/>
                <w:color w:val="555555"/>
                <w:sz w:val="22"/>
                <w:szCs w:val="22"/>
              </w:rPr>
              <w:t xml:space="preserve">Ejemplo del examen: </w:t>
            </w:r>
            <w:r>
              <w:rPr>
                <w:rFonts w:ascii="Arial" w:cs="Arial" w:eastAsia="Arial" w:hAnsi="Arial"/>
                <w:i/>
                <w:iCs/>
                <w:sz w:val="22"/>
                <w:szCs w:val="22"/>
              </w:rPr>
              <w:t xml:space="preserve">“Indicad cuál de las siguientes afirmaciones es falsa: ... Todas las anteriores afirmaciones son incorrectas.” (cuando las tres formulaciones de equivalencia demostrable eran, en realidad, correctas entre sí).</w:t>
            </w:r>
          </w:p>
        </w:tc>
      </w:tr>
    </w:tbl>
    <w:p>
      <w:pPr>
        <w:spacing w:after="200"/>
      </w:pPr>
    </w:p>
    <w:p>
      <w:pPr>
        <w:pStyle w:val="Heading1"/>
      </w:pPr>
      <w:r>
        <w:t xml:space="preserve">Soluciones y razonamiento de preguntas frecuentes</w:t>
      </w:r>
    </w:p>
    <w:p>
      <w:pPr>
        <w:spacing w:after="120"/>
      </w:pPr>
      <w:r>
        <w:rPr>
          <w:rFonts w:ascii="Arial" w:cs="Arial" w:eastAsia="Arial" w:hAnsi="Arial"/>
          <w:color w:val="555555"/>
          <w:sz w:val="22"/>
          <w:szCs w:val="22"/>
        </w:rPr>
        <w:t xml:space="preserve">A continuación, una selección de preguntas que aparecen repetidas casi literalmente en distintos exámenes del documento, con la solución y el porqué.</w:t>
      </w:r>
    </w:p>
    <w:p>
      <w:pPr>
        <w:spacing w:after="100"/>
      </w:pPr>
    </w:p>
    <w:p>
      <w:pPr>
        <w:pStyle w:val="Heading2"/>
      </w:pPr>
      <w:r>
        <w:t xml:space="preserve">1. Atribución veritativa vs. valoración vs. evaluación</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¿Qué es una atribución veritativa de una forma enunciativa A?</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Una aplicación α: {p1,...,pn} → {V,F}, donde {p1,...,pn} es el conjunto de variables enunciativas de A.</w:t>
      </w:r>
    </w:p>
    <w:p>
      <w:pPr>
        <w:spacing w:after="120"/>
      </w:pPr>
      <w:r>
        <w:rPr>
          <w:rFonts w:ascii="Arial" w:cs="Arial" w:eastAsia="Arial" w:hAnsi="Arial"/>
          <w:sz w:val="22"/>
          <w:szCs w:val="22"/>
        </w:rPr>
        <w:t xml:space="preserve">Por qué: la atribución veritativa asigna un valor de verdad a cada variable enunciativa (no a la fórmula completa). Cuando se aplica el proceso de evaluación a esa atribución, se obtiene la valoración de la fórmula completa. No confundir con “una de las posibles filas de la tabla de verdad”, que es otra forma (informal) de describir lo mismo y que en algunos exámenes también aparece como correcta: presta atención a qué dos opciones se ofrecen.</w:t>
      </w:r>
    </w:p>
    <w:p>
      <w:pPr>
        <w:spacing w:after="80"/>
      </w:pPr>
    </w:p>
    <w:p>
      <w:pPr>
        <w:pStyle w:val="Heading2"/>
      </w:pPr>
      <w:r>
        <w:t xml:space="preserve">2. Corrección de un sistema formal</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Un sistema formal es correcto si...</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toda fórmula demostrable mediante el cálculo deductivo es válida según la noción de verdad en la semántica.</w:t>
      </w:r>
    </w:p>
    <w:p>
      <w:pPr>
        <w:spacing w:after="120"/>
      </w:pPr>
      <w:r>
        <w:rPr>
          <w:rFonts w:ascii="Arial" w:cs="Arial" w:eastAsia="Arial" w:hAnsi="Arial"/>
          <w:sz w:val="22"/>
          <w:szCs w:val="22"/>
        </w:rPr>
        <w:t xml:space="preserve">Por qué: corrección = del cálculo (sintaxis) a la verdad (semántica). Si alguna opción dice lo contrario (toda fórmula válida es demostrable), esa describe completitud, no corrección.</w:t>
      </w:r>
    </w:p>
    <w:p>
      <w:pPr>
        <w:spacing w:after="80"/>
      </w:pPr>
    </w:p>
    <w:p>
      <w:pPr>
        <w:pStyle w:val="Heading2"/>
      </w:pPr>
      <w:r>
        <w:t xml:space="preserve">3. Principio de resolución de Robinson</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¿Con qué estrategia de prueba se combina el principio de resolución?</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Reducción al absurdo.</w:t>
      </w:r>
    </w:p>
    <w:p>
      <w:pPr>
        <w:spacing w:after="120"/>
      </w:pPr>
      <w:r>
        <w:rPr>
          <w:rFonts w:ascii="Arial" w:cs="Arial" w:eastAsia="Arial" w:hAnsi="Arial"/>
          <w:sz w:val="22"/>
          <w:szCs w:val="22"/>
        </w:rPr>
        <w:t xml:space="preserve">Por qué: la resolución refuta un conjunto de cláusulas añadiendo la negación de la conclusión; si se llega a la cláusula vacía, hay contradicción, confirmando la conclusión por absurdo.</w:t>
      </w:r>
    </w:p>
    <w:p>
      <w:pPr>
        <w:spacing w:after="80"/>
      </w:pPr>
    </w:p>
    <w:p>
      <w:pPr>
        <w:pStyle w:val="Heading2"/>
      </w:pPr>
      <w:r>
        <w:t xml:space="preserve">4. Cláusula correcta</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¿Cuál de las siguientes fórmulas es una cláusula?</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¬p ∨ ¬q ∨ ¬r (disyunción pura de literales).</w:t>
      </w:r>
    </w:p>
    <w:p>
      <w:pPr>
        <w:pStyle w:val="ListParagraph"/>
        <w:numPr>
          <w:ilvl w:val="0"/>
          <w:numId w:val="2"/>
        </w:numPr>
        <w:spacing w:after="60"/>
      </w:pPr>
      <w:r>
        <w:rPr>
          <w:rFonts w:ascii="Arial" w:cs="Arial" w:eastAsia="Arial" w:hAnsi="Arial"/>
          <w:b/>
          <w:bCs/>
          <w:color w:val="B02A2A"/>
          <w:sz w:val="22"/>
          <w:szCs w:val="22"/>
        </w:rPr>
        <w:t xml:space="preserve">Trampas habituales: </w:t>
      </w:r>
      <w:r>
        <w:rPr>
          <w:rFonts w:ascii="Arial" w:cs="Arial" w:eastAsia="Arial" w:hAnsi="Arial"/>
          <w:sz w:val="22"/>
          <w:szCs w:val="22"/>
        </w:rPr>
        <w:t xml:space="preserve">p ∧ q ∧ ¬r (es conjunción, no cláusula); (p∨¬q)∧(q∨r) (es FNC, dos cláusulas).</w:t>
      </w:r>
    </w:p>
    <w:p>
      <w:pPr>
        <w:spacing w:after="80"/>
      </w:pPr>
    </w:p>
    <w:p>
      <w:pPr>
        <w:pStyle w:val="Heading2"/>
      </w:pPr>
      <w:r>
        <w:t xml:space="preserve">5. “A menos que” con distintas letras</w:t>
      </w:r>
    </w:p>
    <w:p>
      <w:pPr>
        <w:pStyle w:val="ListParagraph"/>
        <w:numPr>
          <w:ilvl w:val="0"/>
          <w:numId w:val="2"/>
        </w:numPr>
        <w:spacing w:after="60"/>
      </w:pPr>
      <w:r>
        <w:rPr>
          <w:rFonts w:ascii="Arial" w:cs="Arial" w:eastAsia="Arial" w:hAnsi="Arial"/>
          <w:b/>
          <w:bCs/>
          <w:sz w:val="22"/>
          <w:szCs w:val="22"/>
        </w:rPr>
        <w:t xml:space="preserve">Pregunta tipo: </w:t>
      </w:r>
      <w:r>
        <w:rPr>
          <w:rFonts w:ascii="Arial" w:cs="Arial" w:eastAsia="Arial" w:hAnsi="Arial"/>
          <w:sz w:val="22"/>
          <w:szCs w:val="22"/>
        </w:rPr>
        <w:t xml:space="preserve">“Ganaré la carrera a menos que me caiga” (r = me caigo, s = ganaré).</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¬r → s (o de forma equivalente, dependiendo de cómo se asignen letras: s sucede si no ocurre r).</w:t>
      </w:r>
    </w:p>
    <w:p>
      <w:pPr>
        <w:spacing w:after="120"/>
      </w:pPr>
      <w:r>
        <w:rPr>
          <w:rFonts w:ascii="Arial" w:cs="Arial" w:eastAsia="Arial" w:hAnsi="Arial"/>
          <w:sz w:val="22"/>
          <w:szCs w:val="22"/>
        </w:rPr>
        <w:t xml:space="preserve">Por qué: “A a menos que B” es ¬B → A. Aquí A = “ganaré”(s), B = “me caigo”(r), así que la fórmula es ¬r → s.</w:t>
      </w:r>
    </w:p>
    <w:p>
      <w:pPr>
        <w:spacing w:after="80"/>
      </w:pPr>
    </w:p>
    <w:p>
      <w:pPr>
        <w:pStyle w:val="Heading2"/>
      </w:pPr>
      <w:r>
        <w:t xml:space="preserve">6. Variable ligada (formulación correcta)</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Se dice que una variable está ligada cuando...</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aparece libre en el radio de acción de un cuantificador que la cuantifica.</w:t>
      </w:r>
    </w:p>
    <w:p>
      <w:pPr>
        <w:spacing w:after="120"/>
      </w:pPr>
      <w:r>
        <w:rPr>
          <w:rFonts w:ascii="Arial" w:cs="Arial" w:eastAsia="Arial" w:hAnsi="Arial"/>
          <w:sz w:val="22"/>
          <w:szCs w:val="22"/>
        </w:rPr>
        <w:t xml:space="preserve">Nota: el enunciado suena contradictorio (“aparece libre... ligada”) pero es la forma técnica estándar: la ocurrencia era libre en la subfórmula antes de ser capturada por el cuantificador que la liga. Memoriza la frase tal cual, es literal del temario.</w:t>
      </w:r>
    </w:p>
    <w:p>
      <w:pPr>
        <w:spacing w:after="80"/>
      </w:pPr>
    </w:p>
    <w:p>
      <w:pPr>
        <w:pStyle w:val="Heading2"/>
      </w:pPr>
      <w:r>
        <w:t xml:space="preserve">7. Teorema de la deducción en lógica de predicados</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El teorema de la deducción para lógica de predicados...</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Tiene una condición que lo debilita relativa al uso del generalizador, aunque el recíproco del teorema no necesita dicha condición.</w:t>
      </w:r>
    </w:p>
    <w:p>
      <w:pPr>
        <w:spacing w:after="120"/>
      </w:pPr>
      <w:r>
        <w:rPr>
          <w:rFonts w:ascii="Arial" w:cs="Arial" w:eastAsia="Arial" w:hAnsi="Arial"/>
          <w:sz w:val="22"/>
          <w:szCs w:val="22"/>
        </w:rPr>
        <w:t xml:space="preserve">Por qué: en predicados, para aplicar el teorema de la deducción hay que controlar que la variable generalizada no dependa de un supuesto no cancelado; el recíproco (de Γ⊢A→B a Γ∪{A}⊢B) no tiene esa restricción.</w:t>
      </w:r>
    </w:p>
    <w:p>
      <w:pPr>
        <w:spacing w:after="80"/>
      </w:pPr>
    </w:p>
    <w:p>
      <w:pPr>
        <w:pStyle w:val="Heading2"/>
      </w:pPr>
      <w:r>
        <w:t xml:space="preserve">8. Sistema de Gentzen: número de reglas</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El sistema de deducción natural de tipo Gentzen para proposiciones contiene...</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Ocho reglas de inferencia básicas.</w:t>
      </w:r>
    </w:p>
    <w:p>
      <w:pPr>
        <w:spacing w:after="120"/>
      </w:pPr>
      <w:r>
        <w:rPr>
          <w:rFonts w:ascii="Arial" w:cs="Arial" w:eastAsia="Arial" w:hAnsi="Arial"/>
          <w:sz w:val="22"/>
          <w:szCs w:val="22"/>
        </w:rPr>
        <w:t xml:space="preserve">Por qué: introducción y eliminación para cada una de las cuatro conectivas principales (∧, ∨, →, ¬) dan 2×4 = 8 reglas.</w:t>
      </w:r>
    </w:p>
    <w:p>
      <w:pPr>
        <w:spacing w:after="80"/>
      </w:pPr>
    </w:p>
    <w:p>
      <w:pPr>
        <w:pStyle w:val="Heading2"/>
      </w:pPr>
      <w:r>
        <w:t xml:space="preserve">9. Sustitución sobre fbf con cuantificadores</w:t>
      </w:r>
    </w:p>
    <w:p>
      <w:pPr>
        <w:pStyle w:val="ListParagraph"/>
        <w:numPr>
          <w:ilvl w:val="0"/>
          <w:numId w:val="2"/>
        </w:numPr>
        <w:spacing w:after="60"/>
      </w:pPr>
      <w:r>
        <w:rPr>
          <w:rFonts w:ascii="Arial" w:cs="Arial" w:eastAsia="Arial" w:hAnsi="Arial"/>
          <w:b/>
          <w:bCs/>
          <w:sz w:val="22"/>
          <w:szCs w:val="22"/>
        </w:rPr>
        <w:t xml:space="preserve">Pregunta tipo: </w:t>
      </w:r>
      <w:r>
        <w:rPr>
          <w:rFonts w:ascii="Arial" w:cs="Arial" w:eastAsia="Arial" w:hAnsi="Arial"/>
          <w:sz w:val="22"/>
          <w:szCs w:val="22"/>
        </w:rPr>
        <w:t xml:space="preserve">Aplicar {y/f(a), z/g(x)} a (∀y)(P(x)∧H(y)→(∃x)R(x,z)).</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(∀y)(P(x)∧H(y)→(∃w)R(w,g(x))).</w:t>
      </w:r>
    </w:p>
    <w:p>
      <w:pPr>
        <w:spacing w:after="120"/>
      </w:pPr>
      <w:r>
        <w:rPr>
          <w:rFonts w:ascii="Arial" w:cs="Arial" w:eastAsia="Arial" w:hAnsi="Arial"/>
          <w:sz w:val="22"/>
          <w:szCs w:val="22"/>
        </w:rPr>
        <w:t xml:space="preserve">Por qué: las variables cuantificadas (y, x dentro de su propio cuantificador) no se sustituyen libremente si entrarían en conflicto; se renombra la variable ligada del cuantificador interno (x del ∃x pasa a w) para evitar captura de variables, y solo se sustituye z por g(x) en la parte libre.</w:t>
      </w:r>
    </w:p>
    <w:p>
      <w:pPr>
        <w:spacing w:after="80"/>
      </w:pPr>
    </w:p>
    <w:p>
      <w:pPr>
        <w:pStyle w:val="Heading2"/>
      </w:pPr>
      <w:r>
        <w:t xml:space="preserve">10. Conjunto de fbfs consistente</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Sea Δ un conjunto de fbf de L. Se dice que Δ es consistente si...</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existe una fbf A de L que no puede ser deducida a partir de Δ.</w:t>
      </w:r>
    </w:p>
    <w:p>
      <w:pPr>
        <w:pStyle w:val="ListParagraph"/>
        <w:numPr>
          <w:ilvl w:val="0"/>
          <w:numId w:val="2"/>
        </w:numPr>
        <w:spacing w:after="60"/>
      </w:pPr>
      <w:r>
        <w:rPr>
          <w:rFonts w:ascii="Arial" w:cs="Arial" w:eastAsia="Arial" w:hAnsi="Arial"/>
          <w:b/>
          <w:bCs/>
          <w:color w:val="B02A2A"/>
          <w:sz w:val="22"/>
          <w:szCs w:val="22"/>
        </w:rPr>
        <w:t xml:space="preserve">Trampa: </w:t>
      </w:r>
      <w:r>
        <w:rPr>
          <w:rFonts w:ascii="Arial" w:cs="Arial" w:eastAsia="Arial" w:hAnsi="Arial"/>
          <w:sz w:val="22"/>
          <w:szCs w:val="22"/>
        </w:rPr>
        <w:t xml:space="preserve">Las opciones que dicen “existe A tal que Δ⊢A y Δ⊢¬A” describen la INCONSISTENCIA, no la consistencia.</w:t>
      </w:r>
    </w:p>
    <w:p>
      <w:pPr>
        <w:spacing w:after="80"/>
      </w:pPr>
    </w:p>
    <w:p>
      <w:pPr>
        <w:pStyle w:val="Heading2"/>
      </w:pPr>
      <w:r>
        <w:t xml:space="preserve">11. Sistemas que no son simultáneamente consistentes y completos</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¿Cuál de las siguientes afirmaciones es correcta?</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Puede haber sistemas que no sean simultáneamente consistentes y completos.</w:t>
      </w:r>
    </w:p>
    <w:p>
      <w:pPr>
        <w:spacing w:after="120"/>
      </w:pPr>
      <w:r>
        <w:rPr>
          <w:rFonts w:ascii="Arial" w:cs="Arial" w:eastAsia="Arial" w:hAnsi="Arial"/>
          <w:sz w:val="22"/>
          <w:szCs w:val="22"/>
        </w:rPr>
        <w:t xml:space="preserve">Por qué: corrección, completitud, consistencia y decidibilidad son propiedades lógicamente independientes; no se implican unas a otras de forma automática.</w:t>
      </w:r>
    </w:p>
    <w:p>
      <w:pPr>
        <w:spacing w:after="80"/>
      </w:pPr>
    </w:p>
    <w:p>
      <w:pPr>
        <w:pStyle w:val="Heading2"/>
      </w:pPr>
      <w:r>
        <w:t xml:space="preserve">12. Lenguaje de segundo orden</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Un lenguaje de segundo orden alude a...</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La posibilidad de usar variables de segundo orden (que cuantifican sobre predicados o relaciones).</w:t>
      </w:r>
    </w:p>
    <w:p>
      <w:pPr>
        <w:spacing w:after="120"/>
      </w:pPr>
      <w:r>
        <w:rPr>
          <w:rFonts w:ascii="Arial" w:cs="Arial" w:eastAsia="Arial" w:hAnsi="Arial"/>
          <w:sz w:val="22"/>
          <w:szCs w:val="22"/>
        </w:rPr>
        <w:t xml:space="preserve">Por qué: lo que define el “segundo orden” no es usar más variables de individuo ni predicados binarios, sino cuantificar sobre los propios predicados/relaciones.</w:t>
      </w:r>
    </w:p>
    <w:p>
      <w:pPr>
        <w:spacing w:after="80"/>
      </w:pPr>
    </w:p>
    <w:p>
      <w:pPr>
        <w:pStyle w:val="Heading2"/>
      </w:pPr>
      <w:r>
        <w:t xml:space="preserve">13. Forma normal conjuntiva (FNC) correcta</w:t>
      </w:r>
    </w:p>
    <w:p>
      <w:pPr>
        <w:pStyle w:val="ListParagraph"/>
        <w:numPr>
          <w:ilvl w:val="0"/>
          <w:numId w:val="2"/>
        </w:numPr>
        <w:spacing w:after="60"/>
      </w:pPr>
      <w:r>
        <w:rPr>
          <w:rFonts w:ascii="Arial" w:cs="Arial" w:eastAsia="Arial" w:hAnsi="Arial"/>
          <w:b/>
          <w:bCs/>
          <w:sz w:val="22"/>
          <w:szCs w:val="22"/>
        </w:rPr>
        <w:t xml:space="preserve">Pregunta: </w:t>
      </w:r>
      <w:r>
        <w:rPr>
          <w:rFonts w:ascii="Arial" w:cs="Arial" w:eastAsia="Arial" w:hAnsi="Arial"/>
          <w:sz w:val="22"/>
          <w:szCs w:val="22"/>
        </w:rPr>
        <w:t xml:space="preserve">¿Cuál de las siguientes fórmulas es una FNC?</w:t>
      </w:r>
    </w:p>
    <w:p>
      <w:pPr>
        <w:pStyle w:val="ListParagraph"/>
        <w:numPr>
          <w:ilvl w:val="0"/>
          <w:numId w:val="2"/>
        </w:numPr>
        <w:spacing w:after="60"/>
      </w:pPr>
      <w:r>
        <w:rPr>
          <w:rFonts w:ascii="Arial" w:cs="Arial" w:eastAsia="Arial" w:hAnsi="Arial"/>
          <w:b/>
          <w:bCs/>
          <w:color w:val="1E7B34"/>
          <w:sz w:val="22"/>
          <w:szCs w:val="22"/>
        </w:rPr>
        <w:t xml:space="preserve">Respuesta correcta: </w:t>
      </w:r>
      <w:r>
        <w:rPr>
          <w:rFonts w:ascii="Arial" w:cs="Arial" w:eastAsia="Arial" w:hAnsi="Arial"/>
          <w:sz w:val="22"/>
          <w:szCs w:val="22"/>
        </w:rPr>
        <w:t xml:space="preserve">p ∧ (¬q ∨ s) ∧ (q ∨ ¬r).</w:t>
      </w:r>
    </w:p>
    <w:p>
      <w:pPr>
        <w:spacing w:after="120"/>
      </w:pPr>
      <w:r>
        <w:rPr>
          <w:rFonts w:ascii="Arial" w:cs="Arial" w:eastAsia="Arial" w:hAnsi="Arial"/>
          <w:sz w:val="22"/>
          <w:szCs w:val="22"/>
        </w:rPr>
        <w:t xml:space="preserve">Por qué: es una conjunción de tres cláusulas (cada una disyunción de literales). Las demás opciones mezclan disyunciones de conjunciones o niegan disyunciones completas, lo que rompe la forma normal.</w:t>
      </w:r>
    </w:p>
    <w:p>
      <w:pPr>
        <w:spacing w:after="200"/>
      </w:pPr>
    </w:p>
    <w:p>
      <w:pPr>
        <w:pStyle w:val="Heading1"/>
      </w:pPr>
      <w:r>
        <w:t xml:space="preserve">Tabla resumen para repaso exprés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22"/>
                <w:szCs w:val="22"/>
              </w:rPr>
              <w:t xml:space="preserve">Concepto</w:t>
            </w:r>
          </w:p>
        </w:tc>
        <w:tc>
          <w:tcPr>
            <w:tcW w:type="dxa" w:w="312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22"/>
                <w:szCs w:val="22"/>
              </w:rPr>
              <w:t xml:space="preserve">Se confunde con</w:t>
            </w:r>
          </w:p>
        </w:tc>
        <w:tc>
          <w:tcPr>
            <w:tcW w:type="dxa" w:w="312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22"/>
                <w:szCs w:val="22"/>
              </w:rPr>
              <w:t xml:space="preserve">Diferencia clave</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Corrección</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Completitud</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Demostrable→válido (corrección) frente a válido→demostrable (completitud)</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Insatisfacible</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No válida</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Falsa en TODA interpretación, no solo en alguna</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Satisfecha por v</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Verdadera en I</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Una valoración concreta frente a todas las valoraciones</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Cláusula</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FNC</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Una disyunción frente a conjunción de disyunciones</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Variable libre</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Variable ligada</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Fuera frente a dentro del radio de acción del cuantificador</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Consistente</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Inconsistente</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Existe fórmula no deducible frente a se deduce A y ¬A</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b/>
                <w:bCs/>
                <w:sz w:val="22"/>
                <w:szCs w:val="22"/>
              </w:rPr>
              <w:t xml:space="preserve">Decidible (proposiciones)</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2"/>
                <w:szCs w:val="22"/>
              </w:rPr>
              <w:t xml:space="preserve">Indecidible (predicados, en general)</w:t>
            </w:r>
          </w:p>
        </w:tc>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rFonts w:ascii="Arial" w:cs="Arial" w:eastAsia="Arial" w:hAnsi="Arial"/>
                <w:sz w:val="20"/>
                <w:szCs w:val="20"/>
              </w:rPr>
              <w:t xml:space="preserve">Tablas de verdad existen en proposiciones; no hay algoritmo general en predicados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Title">
    <w:name w:val="Title"/>
    <w:basedOn w:val="Normal"/>
    <w:next w:val="Normal"/>
    <w:qFormat/>
    <w:pPr>
      <w:spacing w:after="100"/>
    </w:pPr>
    <w:rPr>
      <w:rFonts w:ascii="Arial" w:cs="Arial" w:eastAsia="Arial" w:hAnsi="Arial"/>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2026-06-16T10:10:11.330Z</dcterms:created>
  <dcterms:modified xsi:type="dcterms:W3CDTF">2026-06-16T10:10:11.330Z</dcterms:modified>
</cp:coreProperties>
</file>

<file path=docProps/custom.xml><?xml version="1.0" encoding="utf-8"?>
<Properties xmlns="http://schemas.openxmlformats.org/officeDocument/2006/custom-properties" xmlns:vt="http://schemas.openxmlformats.org/officeDocument/2006/docPropsVTypes"/>
</file>