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1" w:name="content"/>
    <w:bookmarkStart w:id="50" w:name="Xa544df2a5d745f4964ab36e11379da6ddc2c149"/>
    <w:p>
      <w:pPr>
        <w:pStyle w:val="Heading1"/>
      </w:pPr>
      <w:r>
        <w:t xml:space="preserve">Investigación y propuesta técnica: bot de trading/arbitraje con capa agéntica</w:t>
      </w:r>
    </w:p>
    <w:bookmarkStart w:id="21" w:name="introducción"/>
    <w:p>
      <w:pPr>
        <w:pStyle w:val="Heading2"/>
      </w:pPr>
      <w:r>
        <w:t xml:space="preserve">1 Introducción</w:t>
      </w:r>
    </w:p>
    <w:p>
      <w:pPr>
        <w:pStyle w:val="FirstParagraph"/>
      </w:pPr>
      <w:r>
        <w:t xml:space="preserve">El objetivo es construir un</w:t>
      </w:r>
      <w:r>
        <w:t xml:space="preserve"> </w:t>
      </w:r>
      <w:r>
        <w:rPr>
          <w:b/>
          <w:bCs/>
        </w:rPr>
        <w:t xml:space="preserve">bot de trading/arbitraje</w:t>
      </w:r>
      <w:r>
        <w:t xml:space="preserve"> </w:t>
      </w:r>
      <w:r>
        <w:t xml:space="preserve">orientado al mercado argentino que opere principalmente a través de la API de</w:t>
      </w:r>
      <w:r>
        <w:t xml:space="preserve"> </w:t>
      </w:r>
      <w:r>
        <w:rPr>
          <w:b/>
          <w:bCs/>
        </w:rPr>
        <w:t xml:space="preserve">InvertirOnline (IOL)</w:t>
      </w:r>
      <w:r>
        <w:t xml:space="preserve">. El bot se ejecutará sobre un</w:t>
      </w:r>
      <w:r>
        <w:t xml:space="preserve"> </w:t>
      </w:r>
      <w:r>
        <w:rPr>
          <w:b/>
          <w:bCs/>
        </w:rPr>
        <w:t xml:space="preserve">núcleo de trading</w:t>
      </w:r>
      <w:r>
        <w:t xml:space="preserve"> </w:t>
      </w:r>
      <w:r>
        <w:t xml:space="preserve">que gestione señales, ejecución de órdenes, gestión de riesgo, backtesting y observabilidad. Encima de ese núcleo se añadirá una</w:t>
      </w:r>
      <w:r>
        <w:t xml:space="preserve"> </w:t>
      </w:r>
      <w:r>
        <w:rPr>
          <w:b/>
          <w:bCs/>
        </w:rPr>
        <w:t xml:space="preserve">capa agéntica</w:t>
      </w:r>
      <w:r>
        <w:t xml:space="preserve">, de modo que los usuarios puedan interactuar con el bot usando lenguaje natural (ej. “¿qué CEDEAR tiene desvío mayor al 1 σ?”) y obtener explicaciones y reportes. La capa agéntica utilizará un modelo tipo LLM con un sistema de</w:t>
      </w:r>
      <w:r>
        <w:t xml:space="preserve"> </w:t>
      </w:r>
      <w:r>
        <w:rPr>
          <w:b/>
          <w:bCs/>
        </w:rPr>
        <w:t xml:space="preserve">retrieval‑augmented generation (RAG)</w:t>
      </w:r>
      <w:r>
        <w:t xml:space="preserve"> </w:t>
      </w:r>
      <w:r>
        <w:t xml:space="preserve">para buscar información en fuentes oficiales y papers relevantes, resumirla y citarla, de modo que el bot pueda nutrirse de documentación actualizada y ofrecer explicaciones fundamentadas.</w:t>
      </w:r>
    </w:p>
    <w:bookmarkEnd w:id="21"/>
    <w:bookmarkStart w:id="25" w:name="arquitectura-endtoend"/>
    <w:p>
      <w:pPr>
        <w:pStyle w:val="Heading2"/>
      </w:pPr>
      <w:r>
        <w:t xml:space="preserve">2 Arquitectura end‑to‑end</w:t>
      </w:r>
    </w:p>
    <w:p>
      <w:pPr>
        <w:pStyle w:val="FirstParagraph"/>
      </w:pPr>
      <w:r>
        <w:t xml:space="preserve">La arquitectura propuesta está compuesta por los siguientes módulos: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Programador/Worker</w:t>
      </w:r>
      <w:r>
        <w:t xml:space="preserve">: encargado de lanzar los ciclos de consulta y generación de señales de manera periódica (por ejemplo, cada minuto u hora).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 de Datos</w:t>
      </w:r>
      <w:r>
        <w:t xml:space="preserve">: obtiene cotizaciones y datos de mercado a través de la</w:t>
      </w:r>
      <w:r>
        <w:t xml:space="preserve"> </w:t>
      </w:r>
      <w:r>
        <w:rPr>
          <w:b/>
          <w:bCs/>
        </w:rPr>
        <w:t xml:space="preserve">API de IOL</w:t>
      </w:r>
      <w:r>
        <w:t xml:space="preserve">. Para evoluciones futuras se podrá añadir un adaptador a</w:t>
      </w:r>
      <w:r>
        <w:t xml:space="preserve"> </w:t>
      </w:r>
      <w:r>
        <w:rPr>
          <w:b/>
          <w:bCs/>
        </w:rPr>
        <w:t xml:space="preserve">Primary/Matba Rofex</w:t>
      </w:r>
      <w:r>
        <w:t xml:space="preserve"> </w:t>
      </w:r>
      <w:r>
        <w:t xml:space="preserve">para trading de futuros/derivados y un adaptador a brokers internacionales (ej. IBKR) para la parte del subyacente.</w:t>
      </w:r>
      <w:r>
        <w:br/>
      </w:r>
      <w:r>
        <w:t xml:space="preserve">Las APIs de Primary incluyen un sandbox llamado</w:t>
      </w:r>
      <w:r>
        <w:t xml:space="preserve"> </w:t>
      </w:r>
      <w:r>
        <w:rPr>
          <w:b/>
          <w:bCs/>
        </w:rPr>
        <w:t xml:space="preserve">reMarkets</w:t>
      </w:r>
      <w:r>
        <w:t xml:space="preserve">, descrito como una plataforma hiper‑realista para probar APIs de trading【307925665801169†L1-L7】, y la documentación oficial se encuentra en el centro de APIs</w:t>
      </w:r>
      <w:hyperlink r:id="rId22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Motor de Señales</w:t>
      </w:r>
      <w:r>
        <w:t xml:space="preserve">: calcula la paridad teórica CEDEAR‑subyacente y otros indicadores estadísticos (por ejemplo, z‑score, cointegración). La paridad se calcula como: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Paridad esperada (ARS)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subyacente USD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ratio</m:t>
              </m:r>
            </m:num>
            <m:den>
              <m:r>
                <m:rPr>
                  <m:nor/>
                  <m:sty m:val="p"/>
                </m:rPr>
                <m:t>tipo de cambio implícito (CCL)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ratio de conversión</w:t>
      </w:r>
      <w:r>
        <w:t xml:space="preserve"> </w:t>
      </w:r>
      <w:r>
        <w:t xml:space="preserve">se obtiene de listados de Caja de Valores, bancos custodios o fuentes como BYMA; un artículo de ayuda de Bull Market explica que cada CEDEAR representa una cantidad de acciones en su mercado de origen y define ese valor como “ratio de conversión”</w:t>
      </w:r>
      <w:hyperlink r:id="rId23">
        <w:r>
          <w:rPr>
            <w:rStyle w:val="Hyperlink"/>
          </w:rPr>
          <w:t xml:space="preserve">[2]</w:t>
        </w:r>
      </w:hyperlink>
      <w:r>
        <w:t xml:space="preserve">.</w:t>
      </w:r>
      <w:r>
        <w:br/>
      </w:r>
      <w:r>
        <w:t xml:space="preserve"> </w:t>
      </w:r>
      <w:r>
        <w:rPr>
          <w:i/>
          <w:iCs/>
        </w:rPr>
        <w:t xml:space="preserve">Validador de Umbrales: evalúa si el desvío entre el precio observado y la paridad teórica supera un umbral configurable (p. ej., &gt; 1,5 desviaciones estándar).</w:t>
      </w:r>
      <w:r>
        <w:rPr>
          <w:i/>
          <w:iCs/>
        </w:rPr>
        <w:t xml:space="preserve"> </w:t>
      </w:r>
      <w:r>
        <w:rPr>
          <w:i/>
          <w:iCs/>
        </w:rPr>
        <w:t xml:space="preserve">*</w:t>
      </w:r>
      <w:r>
        <w:t xml:space="preserve"> </w:t>
      </w:r>
      <w:r>
        <w:rPr>
          <w:i/>
          <w:iCs/>
        </w:rPr>
        <w:t xml:space="preserve">Ejecutor de Órdenes: utiliza la API de IOL para enviar órdenes limitadas, con timeouts y cancel/replace. Se debe controlar el deslizamiento (slippage), fricciones y latencia.</w:t>
      </w:r>
      <w:r>
        <w:br/>
      </w:r>
      <w:r>
        <w:t xml:space="preserve"> </w:t>
      </w:r>
      <w:r>
        <w:rPr>
          <w:b/>
          <w:bCs/>
        </w:rPr>
        <w:t xml:space="preserve">Gestor de Riesgo</w:t>
      </w:r>
      <w:r>
        <w:t xml:space="preserve">: determina el tamaño de cada operación (sizing), límites diarios, “circuit breakers” y controla la exposición global.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Logger/Métricas</w:t>
      </w:r>
      <w:r>
        <w:t xml:space="preserve">: registra cada evento, error y orden ejecutada y exporta métricas a un dashboard.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Capa Agéntica (MCP/RAG)</w:t>
      </w:r>
      <w:r>
        <w:t xml:space="preserve">: orquesta herramientas (trading, búsqueda web, almacenamiento de conocimiento, generación de reportes) y permite interacción mediante lenguaje natural. El</w:t>
      </w:r>
      <w:r>
        <w:t xml:space="preserve"> </w:t>
      </w:r>
      <w:r>
        <w:rPr>
          <w:b/>
          <w:bCs/>
        </w:rPr>
        <w:t xml:space="preserve">Model Context Protocol (MCP)</w:t>
      </w:r>
      <w:r>
        <w:t xml:space="preserve"> </w:t>
      </w:r>
      <w:r>
        <w:t xml:space="preserve">está pensado como un estándar para conectar modelos con diferentes fuentes de datos; la introducción oficial lo describe como “una forma estandarizada de conectar modelos de IA a diversas fuentes de datos y herramientas”【527864853506566†L1-L3】.</w:t>
      </w:r>
      <w:r>
        <w:br/>
      </w:r>
      <w:r>
        <w:t xml:space="preserve"> </w:t>
      </w:r>
      <w:r>
        <w:rPr>
          <w:i/>
          <w:iCs/>
        </w:rPr>
        <w:t xml:space="preserve">Módulo de RAG</w:t>
      </w:r>
      <w:r>
        <w:t xml:space="preserve">*: realiza búsquedas en webs oficiales/papers, genera resúmenes, crea embeddings y construye un índice vectorial para responder preguntas de los usuarios con información citada. Un artículo de NVIDIA explica que la técnica RAG combina modelos de lenguaje con bases de conocimiento y describe los componentes de un pipeline RAG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t xml:space="preserve">El siguiente diagrama muestra el flujo general: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S[Scheduler/Worker] --&gt; D[Data: IOL API]</w:t>
      </w:r>
      <w:r>
        <w:br/>
      </w:r>
      <w:r>
        <w:rPr>
          <w:rStyle w:val="VerbatimChar"/>
        </w:rPr>
        <w:t xml:space="preserve">  D --&gt; SIG[Signal Engine: Paridad CEDEAR, z‑score, cointegración]</w:t>
      </w:r>
      <w:r>
        <w:br/>
      </w:r>
      <w:r>
        <w:rPr>
          <w:rStyle w:val="VerbatimChar"/>
        </w:rPr>
        <w:t xml:space="preserve">  SIG --&gt; G{Umbral &amp; Validaciones}</w:t>
      </w:r>
      <w:r>
        <w:br/>
      </w:r>
      <w:r>
        <w:rPr>
          <w:rStyle w:val="VerbatimChar"/>
        </w:rPr>
        <w:t xml:space="preserve">  G -- OK --&gt; EXE[Executor IOL: límite/IOC + cancel/replace]</w:t>
      </w:r>
      <w:r>
        <w:br/>
      </w:r>
      <w:r>
        <w:rPr>
          <w:rStyle w:val="VerbatimChar"/>
        </w:rPr>
        <w:t xml:space="preserve">  EXE --&gt; R[Risk Manager: sizing, límites, circuit breakers]</w:t>
      </w:r>
      <w:r>
        <w:br/>
      </w:r>
      <w:r>
        <w:rPr>
          <w:rStyle w:val="VerbatimChar"/>
        </w:rPr>
        <w:t xml:space="preserve">  D --&gt; L[Logs/Metrics]</w:t>
      </w:r>
      <w:r>
        <w:br/>
      </w:r>
      <w:r>
        <w:rPr>
          <w:rStyle w:val="VerbatimChar"/>
        </w:rPr>
        <w:t xml:space="preserve">  SIG --&gt; L</w:t>
      </w:r>
      <w:r>
        <w:br/>
      </w:r>
      <w:r>
        <w:rPr>
          <w:rStyle w:val="VerbatimChar"/>
        </w:rPr>
        <w:t xml:space="preserve">  EXE --&gt; L</w:t>
      </w:r>
      <w:r>
        <w:br/>
      </w:r>
      <w:r>
        <w:rPr>
          <w:rStyle w:val="VerbatimChar"/>
        </w:rPr>
        <w:t xml:space="preserve">  R --&gt; L</w:t>
      </w:r>
      <w:r>
        <w:br/>
      </w:r>
      <w:r>
        <w:rPr>
          <w:rStyle w:val="VerbatimChar"/>
        </w:rPr>
        <w:t xml:space="preserve">  A[Agente (MCP/RAG)] --&gt;|Comandos/Explicaciones| EXE</w:t>
      </w:r>
      <w:r>
        <w:br/>
      </w:r>
      <w:r>
        <w:rPr>
          <w:rStyle w:val="VerbatimChar"/>
        </w:rPr>
        <w:t xml:space="preserve">  A --&gt;|Búsqueda/Docs| K[Knowledge/RAG]</w:t>
      </w:r>
      <w:r>
        <w:br/>
      </w:r>
      <w:r>
        <w:rPr>
          <w:rStyle w:val="VerbatimChar"/>
        </w:rPr>
        <w:t xml:space="preserve">  K --&gt; L</w:t>
      </w:r>
    </w:p>
    <w:bookmarkEnd w:id="25"/>
    <w:bookmarkStart w:id="29" w:name="api-de-invertironline"/>
    <w:p>
      <w:pPr>
        <w:pStyle w:val="Heading2"/>
      </w:pPr>
      <w:r>
        <w:t xml:space="preserve">3 API de InvertirOnline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API de IOL</w:t>
      </w:r>
      <w:r>
        <w:t xml:space="preserve"> </w:t>
      </w:r>
      <w:r>
        <w:t xml:space="preserve">es un servicio oficial que permite a los clientes obtener datos de mercado, consultar su portafolio y enviar órdenes de compra/venta mediante HTTP REST. La documentación de la API está disponible desde la web de IOL y señala la existencia de un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para pruebas</w:t>
      </w:r>
      <w:hyperlink r:id="rId26">
        <w:r>
          <w:rPr>
            <w:rStyle w:val="Hyperlink"/>
          </w:rPr>
          <w:t xml:space="preserve">[4]</w:t>
        </w:r>
      </w:hyperlink>
      <w:r>
        <w:t xml:space="preserve">. Para utilizarla se deben cumplir requisitos de uso y activar el servicio desde la cuenta (“Requisitos para el uso de APIs”</w:t>
      </w:r>
      <w:hyperlink r:id="rId26">
        <w:r>
          <w:rPr>
            <w:rStyle w:val="Hyperlink"/>
          </w:rPr>
          <w:t xml:space="preserve">[4]</w:t>
        </w:r>
      </w:hyperlink>
      <w:r>
        <w:t xml:space="preserve">).</w:t>
      </w:r>
    </w:p>
    <w:bookmarkStart w:id="27" w:name="autenticación-y-tokens"/>
    <w:p>
      <w:pPr>
        <w:pStyle w:val="Heading3"/>
      </w:pPr>
      <w:r>
        <w:t xml:space="preserve">3.1 Autenticación y tokens</w:t>
      </w:r>
    </w:p>
    <w:p>
      <w:pPr>
        <w:pStyle w:val="FirstParagraph"/>
      </w:pPr>
      <w:r>
        <w:t xml:space="preserve">IOL emplea un flujo OAuth simplificado: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Solicitud de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/token</w:t>
      </w:r>
      <w:r>
        <w:t xml:space="preserve">) con credenciales de usuario y parámetro</w:t>
      </w:r>
      <w:r>
        <w:t xml:space="preserve"> </w:t>
      </w:r>
      <w:r>
        <w:rPr>
          <w:rStyle w:val="VerbatimChar"/>
        </w:rPr>
        <w:t xml:space="preserve">grant_type=password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El servidor devuelve un</w:t>
      </w:r>
      <w:r>
        <w:t xml:space="preserve"> </w:t>
      </w:r>
      <w:r>
        <w:rPr>
          <w:b/>
          <w:bCs/>
        </w:rPr>
        <w:t xml:space="preserve">access_token</w:t>
      </w:r>
      <w:r>
        <w:t xml:space="preserve"> </w:t>
      </w:r>
      <w:r>
        <w:t xml:space="preserve">de corta duración y un</w:t>
      </w:r>
      <w:r>
        <w:t xml:space="preserve"> </w:t>
      </w:r>
      <w:r>
        <w:rPr>
          <w:b/>
          <w:bCs/>
        </w:rPr>
        <w:t xml:space="preserve">refresh_token</w:t>
      </w:r>
      <w:r>
        <w:t xml:space="preserve"> </w:t>
      </w:r>
      <w:r>
        <w:t xml:space="preserve">que permite renovar el acceso sin reingresar credenciales.</w:t>
      </w:r>
    </w:p>
    <w:p>
      <w:pPr>
        <w:pStyle w:val="Compact"/>
        <w:numPr>
          <w:ilvl w:val="0"/>
          <w:numId w:val="1002"/>
        </w:numPr>
      </w:pPr>
      <w:r>
        <w:t xml:space="preserve">El acceso al modo</w:t>
      </w:r>
      <w:r>
        <w:t xml:space="preserve"> </w:t>
      </w:r>
      <w:r>
        <w:rPr>
          <w:b/>
          <w:bCs/>
        </w:rPr>
        <w:t xml:space="preserve">sandbox</w:t>
      </w:r>
      <w:r>
        <w:t xml:space="preserve"> </w:t>
      </w:r>
      <w:r>
        <w:t xml:space="preserve">y el modo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se controlan según el entorno base URL.</w:t>
      </w:r>
    </w:p>
    <w:p>
      <w:pPr>
        <w:pStyle w:val="FirstParagraph"/>
      </w:pPr>
      <w:r>
        <w:t xml:space="preserve">Es importante implementar un mecanismo de renovación automática del token y manejo de errores (400/401) para evitar interrupciones.</w:t>
      </w:r>
    </w:p>
    <w:bookmarkEnd w:id="27"/>
    <w:bookmarkStart w:id="28" w:name="endpoints-principales"/>
    <w:p>
      <w:pPr>
        <w:pStyle w:val="Heading3"/>
      </w:pPr>
      <w:r>
        <w:t xml:space="preserve">3.2 Endpoints principales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Cotizaciones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/api/cotizaciones/{instrument}</w:t>
      </w:r>
      <w:r>
        <w:t xml:space="preserve"> </w:t>
      </w:r>
      <w:r>
        <w:t xml:space="preserve">devuelve información de precios de CEDEARs, bonos y acciones.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Portafolio</w:t>
      </w:r>
      <w:r>
        <w:t xml:space="preserve">:</w:t>
      </w:r>
      <w:r>
        <w:t xml:space="preserve"> </w:t>
      </w:r>
      <w:r>
        <w:rPr>
          <w:rStyle w:val="VerbatimChar"/>
        </w:rPr>
        <w:t xml:space="preserve">GET /api/micuenta/miportafolio</w:t>
      </w:r>
      <w:r>
        <w:t xml:space="preserve"> </w:t>
      </w:r>
      <w:r>
        <w:t xml:space="preserve">devuelve posiciones y saldos.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Órdenes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/api/operar/acciones/{instrument}</w:t>
      </w:r>
      <w:r>
        <w:t xml:space="preserve"> </w:t>
      </w:r>
      <w:r>
        <w:t xml:space="preserve">(compra/venta) y</w:t>
      </w:r>
      <w:r>
        <w:t xml:space="preserve"> </w:t>
      </w:r>
      <w:r>
        <w:rPr>
          <w:rStyle w:val="VerbatimChar"/>
        </w:rPr>
        <w:t xml:space="preserve">DELETE /api/operar/orden/{id}</w:t>
      </w:r>
      <w:r>
        <w:t xml:space="preserve"> </w:t>
      </w:r>
      <w:r>
        <w:t xml:space="preserve">para cancelación.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Histórico de precios</w:t>
      </w:r>
      <w:r>
        <w:t xml:space="preserve"> </w:t>
      </w:r>
      <w:r>
        <w:t xml:space="preserve">(limitado):</w:t>
      </w:r>
      <w:r>
        <w:t xml:space="preserve"> </w:t>
      </w:r>
      <w:r>
        <w:rPr>
          <w:rStyle w:val="VerbatimChar"/>
        </w:rPr>
        <w:t xml:space="preserve">GET /api/cotizaciones/historico/{instrument}/{frecuencia}/{cantidad}</w:t>
      </w:r>
      <w:r>
        <w:t xml:space="preserve"> </w:t>
      </w:r>
      <w:r>
        <w:t xml:space="preserve">para obtener series diarias o intradiarias, ideal para backtesting.</w:t>
      </w:r>
    </w:p>
    <w:p>
      <w:pPr>
        <w:pStyle w:val="FirstParagraph"/>
      </w:pPr>
      <w:r>
        <w:t xml:space="preserve">Cada llamada debe incluir el token en la cabecera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bookmarkEnd w:id="28"/>
    <w:bookmarkEnd w:id="29"/>
    <w:bookmarkStart w:id="36" w:name="estrategias-y-señales"/>
    <w:p>
      <w:pPr>
        <w:pStyle w:val="Heading2"/>
      </w:pPr>
      <w:r>
        <w:t xml:space="preserve">4 Estrategias y señales</w:t>
      </w:r>
    </w:p>
    <w:bookmarkStart w:id="30" w:name="paridad-cedear-subyacente"/>
    <w:p>
      <w:pPr>
        <w:pStyle w:val="Heading3"/>
      </w:pPr>
      <w:r>
        <w:t xml:space="preserve">4.1 Paridad CEDEAR ↔ subyacente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b/>
          <w:bCs/>
        </w:rPr>
        <w:t xml:space="preserve">CEDEAR</w:t>
      </w:r>
      <w:r>
        <w:t xml:space="preserve"> </w:t>
      </w:r>
      <w:r>
        <w:t xml:space="preserve">es un certificado de depósito argentino que representa acciones extranjeras. El valor de un CEDEAR depende del precio de la acción subyacente, del</w:t>
      </w:r>
      <w:r>
        <w:t xml:space="preserve"> </w:t>
      </w:r>
      <w:r>
        <w:rPr>
          <w:b/>
          <w:bCs/>
        </w:rPr>
        <w:t xml:space="preserve">ratio de conversión</w:t>
      </w:r>
      <w:r>
        <w:t xml:space="preserve"> </w:t>
      </w:r>
      <w:r>
        <w:t xml:space="preserve">y del tipo de cambio implícito. Fuentes de ayuda explican que el ratio indica cuántos CEDEARs equivalen a una acción original</w:t>
      </w:r>
      <w:hyperlink r:id="rId23">
        <w:r>
          <w:rPr>
            <w:rStyle w:val="Hyperlink"/>
          </w:rPr>
          <w:t xml:space="preserve">[5]</w:t>
        </w:r>
      </w:hyperlink>
      <w:r>
        <w:t xml:space="preserve">. Para detectar oportunidades de arbitraje se calcula la paridad teórica (fórmula anterior) y se compara con el precio de mercado. Si la diferencia porcentual (tras descontar comisiones y el costo financiero de convertir dólares) supera un umbral, se genera una señal.</w:t>
      </w:r>
    </w:p>
    <w:bookmarkEnd w:id="30"/>
    <w:bookmarkStart w:id="33" w:name="zscore-y-cointegración"/>
    <w:p>
      <w:pPr>
        <w:pStyle w:val="Heading3"/>
      </w:pPr>
      <w:r>
        <w:t xml:space="preserve">4.2 Z‑score y cointegración</w:t>
      </w:r>
    </w:p>
    <w:p>
      <w:pPr>
        <w:pStyle w:val="FirstParagraph"/>
      </w:pPr>
      <w:r>
        <w:t xml:space="preserve">Para mejorar la robustez, se normaliza la serie de spreads mediante un</w:t>
      </w:r>
      <w:r>
        <w:t xml:space="preserve"> </w:t>
      </w:r>
      <w:r>
        <w:rPr>
          <w:b/>
          <w:bCs/>
        </w:rPr>
        <w:t xml:space="preserve">z‑score</w:t>
      </w:r>
      <w:r>
        <w:t xml:space="preserve"> </w:t>
      </w:r>
      <w:r>
        <w:t xml:space="preserve">(desviación estándar móvil) y se usa</w:t>
      </w:r>
      <w:r>
        <w:t xml:space="preserve"> </w:t>
      </w:r>
      <w:r>
        <w:rPr>
          <w:b/>
          <w:bCs/>
        </w:rPr>
        <w:t xml:space="preserve">cointegración</w:t>
      </w:r>
      <w:r>
        <w:t xml:space="preserve"> </w:t>
      </w:r>
      <w:r>
        <w:t xml:space="preserve">para validar que las series de precios (CEDEAR y subyacente) forman una relación de equilibrio a largo plazo. La prueba de Engle–Granger produce un valor p que indica si el par es cointegrado</w:t>
      </w:r>
      <w:hyperlink r:id="rId31">
        <w:r>
          <w:rPr>
            <w:rStyle w:val="Hyperlink"/>
          </w:rPr>
          <w:t xml:space="preserve">[6]</w:t>
        </w:r>
      </w:hyperlink>
      <w:r>
        <w:t xml:space="preserve">.</w:t>
      </w:r>
      <w:r>
        <w:br/>
      </w:r>
      <w:r>
        <w:t xml:space="preserve">Una guía de trading explica que el</w:t>
      </w:r>
      <w:r>
        <w:t xml:space="preserve"> </w:t>
      </w:r>
      <w:r>
        <w:rPr>
          <w:b/>
          <w:bCs/>
        </w:rPr>
        <w:t xml:space="preserve">pairs trading</w:t>
      </w:r>
      <w:r>
        <w:t xml:space="preserve"> </w:t>
      </w:r>
      <w:r>
        <w:t xml:space="preserve">es una forma de arbitraje estadístico y que consiste en tomar dos posiciones opuestas ante una oportunidad de mispricing entre dos activos altamente correlacionados</w:t>
      </w:r>
      <w:hyperlink r:id="rId32">
        <w:r>
          <w:rPr>
            <w:rStyle w:val="Hyperlink"/>
          </w:rPr>
          <w:t xml:space="preserve">[7]</w:t>
        </w:r>
      </w:hyperlink>
      <w:r>
        <w:t xml:space="preserve">. La señal se activa cuando el z‑score supera un umbral (p. ej., ±1,5 σ); la salida ocurre cuando revierte a la media o se cumple un límite temporal.</w:t>
      </w:r>
    </w:p>
    <w:bookmarkEnd w:id="33"/>
    <w:bookmarkStart w:id="35" w:name="spreads-locales-y-otros-arbitrajes"/>
    <w:p>
      <w:pPr>
        <w:pStyle w:val="Heading3"/>
      </w:pPr>
      <w:r>
        <w:t xml:space="preserve">4.3 Spreads locales y otros arbitrajes</w:t>
      </w:r>
    </w:p>
    <w:p>
      <w:pPr>
        <w:pStyle w:val="FirstParagraph"/>
      </w:pPr>
      <w:r>
        <w:t xml:space="preserve">Además de CEDEARs, el bot puede explorar: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Spreads entre bonos MEP/CCL</w:t>
      </w:r>
      <w:r>
        <w:t xml:space="preserve">: aprovechar divergencias de paridad entre bonos soberanos en pesos y en dólares.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Futuros vs. spot</w:t>
      </w:r>
      <w:r>
        <w:t xml:space="preserve">: monitorear el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entre futuros de dólar o soja en Matba Rofex y el precio spot. La conexión a Matba Rofex requiere cuenta DMA y credenciales a través de Primary; un manual indica que Matba Rofex permite a los participantes autorizados comunicarse con la plataforma tanto para ruteo de ofertas como para consumo de market data</w:t>
      </w:r>
      <w:hyperlink r:id="rId34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5"/>
    <w:bookmarkEnd w:id="36"/>
    <w:bookmarkStart w:id="40" w:name="ejecución-y-gestión-de-riesgo"/>
    <w:p>
      <w:pPr>
        <w:pStyle w:val="Heading2"/>
      </w:pPr>
      <w:r>
        <w:t xml:space="preserve">5 Ejecución y gestión de riesgo</w:t>
      </w:r>
    </w:p>
    <w:bookmarkStart w:id="37" w:name="política-de-órdenes"/>
    <w:p>
      <w:pPr>
        <w:pStyle w:val="Heading3"/>
      </w:pPr>
      <w:r>
        <w:t xml:space="preserve">5.1 Política de órdenes</w:t>
      </w:r>
    </w:p>
    <w:p>
      <w:pPr>
        <w:pStyle w:val="FirstParagraph"/>
      </w:pPr>
      <w:r>
        <w:t xml:space="preserve">Las órdenes deberían enviarse como</w:t>
      </w:r>
      <w:r>
        <w:t xml:space="preserve"> </w:t>
      </w:r>
      <w:r>
        <w:rPr>
          <w:b/>
          <w:bCs/>
        </w:rPr>
        <w:t xml:space="preserve">límite</w:t>
      </w:r>
      <w:r>
        <w:t xml:space="preserve"> </w:t>
      </w:r>
      <w:r>
        <w:t xml:space="preserve">(limit orders) con vigencia inmediata o cancelable (</w:t>
      </w:r>
      <w:r>
        <w:rPr>
          <w:rStyle w:val="VerbatimChar"/>
        </w:rPr>
        <w:t xml:space="preserve">IOC</w:t>
      </w:r>
      <w:r>
        <w:t xml:space="preserve">) para minimizar slippage. Se debe implementar una lógica de</w:t>
      </w:r>
      <w:r>
        <w:t xml:space="preserve"> </w:t>
      </w:r>
      <w:r>
        <w:rPr>
          <w:b/>
          <w:bCs/>
        </w:rPr>
        <w:t xml:space="preserve">cancel/replace</w:t>
      </w:r>
      <w:r>
        <w:t xml:space="preserve">: si la orden no ejecuta en un plazo dado, se cancela y se reenvía con un precio ajustado (por ejemplo, un tick menos favorable), respetando un margen máximo de slippage.</w:t>
      </w:r>
    </w:p>
    <w:bookmarkEnd w:id="37"/>
    <w:bookmarkStart w:id="38" w:name="sizing-y-límites"/>
    <w:p>
      <w:pPr>
        <w:pStyle w:val="Heading3"/>
      </w:pPr>
      <w:r>
        <w:t xml:space="preserve">5.2 Sizing y límites</w:t>
      </w:r>
    </w:p>
    <w:p>
      <w:pPr>
        <w:pStyle w:val="FirstParagraph"/>
      </w:pPr>
      <w:r>
        <w:t xml:space="preserve">Calcular el tamaño de posición en función del capital disponible, la volatilidad del activo y un porcentaje máximo por instrumento (p. ej., 5 % de la cartera). Definir</w:t>
      </w:r>
      <w:r>
        <w:t xml:space="preserve"> </w:t>
      </w:r>
      <w:r>
        <w:rPr>
          <w:b/>
          <w:bCs/>
        </w:rPr>
        <w:t xml:space="preserve">límites diarios</w:t>
      </w:r>
      <w:r>
        <w:t xml:space="preserve"> </w:t>
      </w:r>
      <w:r>
        <w:t xml:space="preserve">de operaciones (número de órdenes, pérdidas máximas) y</w:t>
      </w:r>
      <w:r>
        <w:t xml:space="preserve"> </w:t>
      </w:r>
      <w:r>
        <w:rPr>
          <w:b/>
          <w:bCs/>
        </w:rPr>
        <w:t xml:space="preserve">circuit breakers</w:t>
      </w:r>
      <w:r>
        <w:t xml:space="preserve"> </w:t>
      </w:r>
      <w:r>
        <w:t xml:space="preserve">para frenar la operativa si se alcanza un drawdown determinado.</w:t>
      </w:r>
    </w:p>
    <w:bookmarkEnd w:id="38"/>
    <w:bookmarkStart w:id="39" w:name="costos-y-fricciones"/>
    <w:p>
      <w:pPr>
        <w:pStyle w:val="Heading3"/>
      </w:pPr>
      <w:r>
        <w:t xml:space="preserve">5.3 Costos y fricciones</w:t>
      </w:r>
    </w:p>
    <w:p>
      <w:pPr>
        <w:pStyle w:val="FirstParagraph"/>
      </w:pPr>
      <w:r>
        <w:t xml:space="preserve">Sumar comisiones de compra/venta, spread bid‑ask y costos de transferencia (ej. canje de CEDEARs). Estos costos se restan del spread potencial para filtrar señales que no sean rentables.</w:t>
      </w:r>
    </w:p>
    <w:bookmarkEnd w:id="39"/>
    <w:bookmarkEnd w:id="40"/>
    <w:bookmarkStart w:id="42" w:name="backtesting-y-simulación"/>
    <w:p>
      <w:pPr>
        <w:pStyle w:val="Heading2"/>
      </w:pPr>
      <w:r>
        <w:t xml:space="preserve">6 Backtesting y simulación</w:t>
      </w:r>
    </w:p>
    <w:p>
      <w:pPr>
        <w:pStyle w:val="FirstParagraph"/>
      </w:pPr>
      <w:r>
        <w:t xml:space="preserve">Para evaluar las estrategias se propone usar</w:t>
      </w:r>
      <w:r>
        <w:t xml:space="preserve"> </w:t>
      </w:r>
      <w:r>
        <w:rPr>
          <w:b/>
          <w:bCs/>
        </w:rPr>
        <w:t xml:space="preserve">Backtrader</w:t>
      </w:r>
      <w:r>
        <w:t xml:space="preserve">, un framework de backtesting en Python descrito como una herramienta “rica en funcionalidades que permite concentrarse en escribir estrategias, indicadores y analizadores reutilizables”</w:t>
      </w:r>
      <w:hyperlink r:id="rId41">
        <w:r>
          <w:rPr>
            <w:rStyle w:val="Hyperlink"/>
          </w:rPr>
          <w:t xml:space="preserve">[9]</w:t>
        </w:r>
      </w:hyperlink>
      <w:r>
        <w:t xml:space="preserve">. Con Backtrader se puede:</w:t>
      </w:r>
    </w:p>
    <w:p>
      <w:pPr>
        <w:pStyle w:val="Compact"/>
        <w:numPr>
          <w:ilvl w:val="0"/>
          <w:numId w:val="1005"/>
        </w:numPr>
      </w:pPr>
      <w:r>
        <w:t xml:space="preserve">Importar datos históricos (desde IOL o fuentes externas) y normalizarlos.</w:t>
      </w:r>
    </w:p>
    <w:p>
      <w:pPr>
        <w:pStyle w:val="Compact"/>
        <w:numPr>
          <w:ilvl w:val="0"/>
          <w:numId w:val="1005"/>
        </w:numPr>
      </w:pPr>
      <w:r>
        <w:t xml:space="preserve">Implementar la estrategia de paridad/cointegración y simular ejecuciones con comisiones.</w:t>
      </w:r>
    </w:p>
    <w:p>
      <w:pPr>
        <w:pStyle w:val="Compact"/>
        <w:numPr>
          <w:ilvl w:val="0"/>
          <w:numId w:val="1005"/>
        </w:numPr>
      </w:pPr>
      <w:r>
        <w:t xml:space="preserve">Calcular métricas como retorno acumulado, drawdown máximo, ratio Sharpe, ratio de golpes (hit ratio) y turnover.</w:t>
      </w:r>
    </w:p>
    <w:p>
      <w:pPr>
        <w:pStyle w:val="Compact"/>
        <w:numPr>
          <w:ilvl w:val="0"/>
          <w:numId w:val="1005"/>
        </w:numPr>
      </w:pPr>
      <w:r>
        <w:t xml:space="preserve">Optimizar parámetros (umbral de z‑score, ventana de volatilidad) mediante búsqueda de cuadrícula o algoritmos evolutivos.</w:t>
      </w:r>
    </w:p>
    <w:p>
      <w:pPr>
        <w:pStyle w:val="FirstParagraph"/>
      </w:pPr>
      <w:r>
        <w:t xml:space="preserve">Para evitar sobreajuste se deben realizar pruebas</w:t>
      </w:r>
      <w:r>
        <w:t xml:space="preserve"> </w:t>
      </w:r>
      <w:r>
        <w:rPr>
          <w:b/>
          <w:bCs/>
        </w:rPr>
        <w:t xml:space="preserve">walk‑forward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rolling windows</w:t>
      </w:r>
      <w:r>
        <w:t xml:space="preserve">, además de analizar sensibilidad a costos y latencia.</w:t>
      </w:r>
    </w:p>
    <w:bookmarkEnd w:id="42"/>
    <w:bookmarkStart w:id="43" w:name="observabilidad-y-operación"/>
    <w:p>
      <w:pPr>
        <w:pStyle w:val="Heading2"/>
      </w:pPr>
      <w:r>
        <w:t xml:space="preserve">7 Observabilidad y operación</w:t>
      </w:r>
    </w:p>
    <w:p>
      <w:pPr>
        <w:pStyle w:val="FirstParagraph"/>
      </w:pPr>
      <w:r>
        <w:t xml:space="preserve">Se recomienda instrumentar: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Logs estructurados</w:t>
      </w:r>
      <w:r>
        <w:t xml:space="preserve"> </w:t>
      </w:r>
      <w:r>
        <w:t xml:space="preserve">con nivel (info, warning, error) que incluyan timestamp, tipo de evento, instrumento y resultados.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Métricas</w:t>
      </w:r>
      <w:r>
        <w:t xml:space="preserve"> </w:t>
      </w:r>
      <w:r>
        <w:t xml:space="preserve">(por ejemplo, número de señales generadas, tasas de ejecución, PnL, slippage promedio) exportadas a un dashboard (Grafana, Prometheus).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Alertas</w:t>
      </w:r>
      <w:r>
        <w:t xml:space="preserve"> </w:t>
      </w:r>
      <w:r>
        <w:t xml:space="preserve">configurables que se disparen ante fallos de autenticación, latencia elevada, pérdidas superiores a un umbral o desconexión de la API.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Switch DRY‑RUN/REAL</w:t>
      </w:r>
      <w:r>
        <w:t xml:space="preserve">: bandera global que indique si las órdenes se envían al entorno de sandbox (simulación) o al entorno real. Asegurar que en modo real se ejecuten únicamente después de pruebas extensas.</w:t>
      </w:r>
    </w:p>
    <w:bookmarkEnd w:id="43"/>
    <w:bookmarkStart w:id="44" w:name="capa-agéntica-mcprag"/>
    <w:p>
      <w:pPr>
        <w:pStyle w:val="Heading2"/>
      </w:pPr>
      <w:r>
        <w:t xml:space="preserve">8 Capa agéntica (MCP/RAG)</w:t>
      </w:r>
    </w:p>
    <w:p>
      <w:pPr>
        <w:pStyle w:val="FirstParagraph"/>
      </w:pPr>
      <w:r>
        <w:t xml:space="preserve">La capa agéntica se encarga de interpretar consultas del usuario, coordinar herramientas y devolver respuestas. Elementos clave: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Modelo de lenguaje</w:t>
      </w:r>
      <w:r>
        <w:t xml:space="preserve"> </w:t>
      </w:r>
      <w:r>
        <w:t xml:space="preserve">configurado con un sistema prompt claro.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Herramientas</w:t>
      </w:r>
      <w:r>
        <w:t xml:space="preserve"> </w:t>
      </w:r>
      <w:r>
        <w:t xml:space="preserve">registradas a través del protocolo MCP: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trading</w:t>
      </w:r>
      <w:r>
        <w:t xml:space="preserve">: expone los endpoints del núcleo de trading (ej. señales, órdenes, estado).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research</w:t>
      </w:r>
      <w:r>
        <w:t xml:space="preserve">: realiza búsquedas web, descarga documentos y entrega resúmenes.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knowledge</w:t>
      </w:r>
      <w:r>
        <w:t xml:space="preserve">: administra el almacén de conocimiento (archivos Markdown, notas, bibliografía).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reporting</w:t>
      </w:r>
      <w:r>
        <w:t xml:space="preserve">: genera reportes y gráficos.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Permisos</w:t>
      </w:r>
      <w:r>
        <w:t xml:space="preserve">: el agente sólo puede ejecutar órdenes cuando el modo real esté activo y se cumplan validaciones de riesgo; para los demás casos, solo leer datos o simular.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Templates de tareas</w:t>
      </w:r>
      <w:r>
        <w:t xml:space="preserve">: prompts para consultas comunes (“¿Por qué no ejecutó la señal?”, “Calcula la paridad de Apple y muestra el z‑score”).</w:t>
      </w:r>
    </w:p>
    <w:p>
      <w:pPr>
        <w:pStyle w:val="FirstParagraph"/>
      </w:pPr>
      <w:r>
        <w:t xml:space="preserve">El protocolo MCP se presenta como un estándar abierto que permite a los modelos de IA conectarse de forma segura y reutilizable a fuentes de datos y herramientas【527864853506566†L1-L3】. Al desacoplar el motor de trading de la capa agéntica se facilita la portabilidad: si en el futuro se conecta otro broker, basta con agregar un adaptador sin modificar el agente.</w:t>
      </w:r>
    </w:p>
    <w:bookmarkEnd w:id="44"/>
    <w:bookmarkStart w:id="45" w:name="retrievalaugmented-generation-rag"/>
    <w:p>
      <w:pPr>
        <w:pStyle w:val="Heading2"/>
      </w:pPr>
      <w:r>
        <w:t xml:space="preserve">9 Retrieval‑Augmented Generation (RAG)</w:t>
      </w:r>
    </w:p>
    <w:p>
      <w:pPr>
        <w:pStyle w:val="FirstParagraph"/>
      </w:pPr>
      <w:r>
        <w:t xml:space="preserve">La capa de RAG enriquecerá al agente con información reciente y fundamentada. El flujo básico consiste en: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Búsqueda</w:t>
      </w:r>
      <w:r>
        <w:t xml:space="preserve"> </w:t>
      </w:r>
      <w:r>
        <w:t xml:space="preserve">en la web de documentos relevantes (docs oficiales de IOL/Primary/BYMA, artículos sobre CEDEARs, papers de estadística).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Resumen</w:t>
      </w:r>
      <w:r>
        <w:t xml:space="preserve"> </w:t>
      </w:r>
      <w:r>
        <w:t xml:space="preserve">breve de cada fuente (1–3 líneas) guardando la fecha de acceso.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Embeddings</w:t>
      </w:r>
      <w:r>
        <w:t xml:space="preserve"> </w:t>
      </w:r>
      <w:r>
        <w:t xml:space="preserve">de los resúmenes y almacenamiento en un índice vectorial.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Generación</w:t>
      </w:r>
      <w:r>
        <w:t xml:space="preserve">: al responder al usuario, se recuperan los resúmenes más relevantes y se integran en la respuesta con citas.</w:t>
      </w:r>
    </w:p>
    <w:p>
      <w:pPr>
        <w:pStyle w:val="FirstParagraph"/>
      </w:pPr>
      <w:r>
        <w:t xml:space="preserve">Una guía de NVIDIA subraya que RAG combina modelos de lenguaje con bases de conocimiento externas y describe los componentes de un pipeline RAG</w:t>
      </w:r>
      <w:hyperlink r:id="rId24">
        <w:r>
          <w:rPr>
            <w:rStyle w:val="Hyperlink"/>
          </w:rPr>
          <w:t xml:space="preserve">[3]</w:t>
        </w:r>
      </w:hyperlink>
      <w:r>
        <w:t xml:space="preserve">, lo que justifica su adopción para mantener la documentación del bot actualizada.</w:t>
      </w:r>
    </w:p>
    <w:bookmarkEnd w:id="45"/>
    <w:bookmarkStart w:id="46" w:name="seguridad-y-cumplimiento"/>
    <w:p>
      <w:pPr>
        <w:pStyle w:val="Heading2"/>
      </w:pPr>
      <w:r>
        <w:t xml:space="preserve">10 Seguridad y cumplimiento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Gestión de secretos</w:t>
      </w:r>
      <w:r>
        <w:t xml:space="preserve">: almacenar credenciales (usuario, contraseña, tokens) en variables de entorno o un gestor de secretos.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Mínimos privilegios</w:t>
      </w:r>
      <w:r>
        <w:t xml:space="preserve">: crear usuarios específicos con acceso limitado a la API; no utilizar cuentas de uso personal para producción.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Regulación</w:t>
      </w:r>
      <w:r>
        <w:t xml:space="preserve">: cumplir con las disposiciones de la CNV y los contratos de uso de datos de BYMA/Primary; algunas APIs requieren suscripción de contratos y pago de market 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Disclaimer</w:t>
      </w:r>
      <w:r>
        <w:t xml:space="preserve">: aclarar que el bot es una herramienta de investigación y no constituye asesoramiento financiero.</w:t>
      </w:r>
    </w:p>
    <w:bookmarkEnd w:id="46"/>
    <w:bookmarkStart w:id="47" w:name="roadmap-y-escalamiento"/>
    <w:p>
      <w:pPr>
        <w:pStyle w:val="Heading2"/>
      </w:pPr>
      <w:r>
        <w:t xml:space="preserve">11 Roadmap y escalamiento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MVP con IOL</w:t>
      </w:r>
      <w:r>
        <w:t xml:space="preserve">: implementar el núcleo de trading con adaptador a IOL. Utilizar sandbox para pruebas y backtesting.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Integración de la capa agéntica</w:t>
      </w:r>
      <w:r>
        <w:t xml:space="preserve">: exponer el núcleo como herramienta MCP y configurar RAG básico para documentación viva.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Homologación con Primary</w:t>
      </w:r>
      <w:r>
        <w:t xml:space="preserve">: comenzar pruebas en reMarkets; la plataforma se describe como una simulación hiper‑realista para probar APIs de trading【307925665801169†L1-L7】; se requiere gestionar credenciales y homologar la aplicación con Primary</w:t>
      </w:r>
      <w:hyperlink r:id="rId34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Añadir IBKR/otro broker</w:t>
      </w:r>
      <w:r>
        <w:t xml:space="preserve"> </w:t>
      </w:r>
      <w:r>
        <w:t xml:space="preserve">para la parte del subyacente (acciones en EE.UU.).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oficial</w:t>
      </w:r>
      <w:r>
        <w:t xml:space="preserve">: contratar APIs de BYMA o Primary para market data tiempo real; BYMA ofrece productos de datos e índices.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Mejora de modelos</w:t>
      </w:r>
      <w:r>
        <w:t xml:space="preserve">: explorar métodos de machine learning (clustering de spreads, redes recurrentes) y cobertura de volatilidad.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Infraestructura</w:t>
      </w:r>
      <w:r>
        <w:t xml:space="preserve">: desplegar en un orquestador ligero (Airflow, n8n), añadir escalabilidad, almacenamiento de logs en base de datos y dashboards.</w:t>
      </w:r>
    </w:p>
    <w:bookmarkEnd w:id="47"/>
    <w:bookmarkStart w:id="49" w:name="bibliografía-de-referencia"/>
    <w:p>
      <w:pPr>
        <w:pStyle w:val="Heading2"/>
      </w:pPr>
      <w:r>
        <w:t xml:space="preserve">12 Bibliografía de referencia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Resumen</w:t>
            </w:r>
          </w:p>
        </w:tc>
        <w:tc>
          <w:tcPr/>
          <w:p>
            <w:pPr>
              <w:pStyle w:val="Compact"/>
            </w:pPr>
            <w:r>
              <w:t xml:space="preserve">Citas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– reMarkets</w:t>
            </w:r>
          </w:p>
        </w:tc>
        <w:tc>
          <w:tcPr/>
          <w:p>
            <w:pPr>
              <w:pStyle w:val="Compact"/>
            </w:pPr>
            <w:r>
              <w:t xml:space="preserve">Documentación oficial</w:t>
            </w:r>
          </w:p>
        </w:tc>
        <w:tc>
          <w:tcPr/>
          <w:p>
            <w:pPr>
              <w:pStyle w:val="Compact"/>
            </w:pPr>
            <w:r>
              <w:t xml:space="preserve">El portal de APIs de Primary describe reMarkets como una plataforma de simulación de mercados hiper‑realista para probar su set de APIs de trading【307925665801169†L1-L7】.</w:t>
            </w:r>
          </w:p>
        </w:tc>
        <w:tc>
          <w:tcPr/>
          <w:p>
            <w:pPr>
              <w:pStyle w:val="Compact"/>
            </w:pPr>
            <w:r>
              <w:t xml:space="preserve">【307925665801169†L1-L7】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API Trading (Postman/pyRofex)</w:t>
            </w:r>
          </w:p>
        </w:tc>
        <w:tc>
          <w:tcPr/>
          <w:p>
            <w:pPr>
              <w:pStyle w:val="Compact"/>
            </w:pPr>
            <w:r>
              <w:t xml:space="preserve">Documentación oficial</w:t>
            </w:r>
          </w:p>
        </w:tc>
        <w:tc>
          <w:tcPr/>
          <w:p>
            <w:pPr>
              <w:pStyle w:val="Compact"/>
            </w:pPr>
            <w:r>
              <w:t xml:space="preserve">La documentación de la biblioteca</w:t>
            </w:r>
            <w:r>
              <w:t xml:space="preserve"> </w:t>
            </w:r>
            <w:r>
              <w:rPr>
                <w:b/>
                <w:bCs/>
              </w:rPr>
              <w:t xml:space="preserve">pyRofex</w:t>
            </w:r>
            <w:r>
              <w:t xml:space="preserve"> </w:t>
            </w:r>
            <w:r>
              <w:t xml:space="preserve">indica que para acceder a las APIs REST y WebSocket se debe consultar el Centro de APIs de Primary</w:t>
            </w:r>
            <w:hyperlink r:id="rId22">
              <w:r>
                <w:rPr>
                  <w:rStyle w:val="Hyperlink"/>
                </w:rPr>
                <w:t xml:space="preserve">[1]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[1]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IOL API – página oficial</w:t>
            </w:r>
          </w:p>
        </w:tc>
        <w:tc>
          <w:tcPr/>
          <w:p>
            <w:pPr>
              <w:pStyle w:val="Compact"/>
            </w:pPr>
            <w:r>
              <w:t xml:space="preserve">Página oficial</w:t>
            </w:r>
          </w:p>
        </w:tc>
        <w:tc>
          <w:tcPr/>
          <w:p>
            <w:pPr>
              <w:pStyle w:val="Compact"/>
            </w:pPr>
            <w:r>
              <w:t xml:space="preserve">La sección “Documentación API” de IOL señala que existe un sandbox para probar los endpoints y menciona que se deben cumplir requisitos para utilizar las APIs</w:t>
            </w:r>
            <w:hyperlink r:id="rId26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Ayuda sobre ratio de conversión de CEDEARs</w:t>
            </w:r>
          </w:p>
        </w:tc>
        <w:tc>
          <w:tcPr/>
          <w:p>
            <w:pPr>
              <w:pStyle w:val="Compact"/>
            </w:pPr>
            <w:r>
              <w:t xml:space="preserve">Guía de ayuda (Bull Market)</w:t>
            </w:r>
          </w:p>
        </w:tc>
        <w:tc>
          <w:tcPr/>
          <w:p>
            <w:pPr>
              <w:pStyle w:val="Compact"/>
            </w:pPr>
            <w:r>
              <w:t xml:space="preserve">Explica que cada CEDEAR representa una cantidad de acciones del subyacente y que esa relación se llama “ratio de conversión”</w:t>
            </w:r>
            <w:hyperlink r:id="rId23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[2]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CEDEAR ratio en medios financieros</w:t>
            </w:r>
          </w:p>
        </w:tc>
        <w:tc>
          <w:tcPr/>
          <w:p>
            <w:pPr>
              <w:pStyle w:val="Compact"/>
            </w:pPr>
            <w:r>
              <w:t xml:space="preserve">Artículo de finanzas</w:t>
            </w:r>
          </w:p>
        </w:tc>
        <w:tc>
          <w:tcPr/>
          <w:p>
            <w:pPr>
              <w:pStyle w:val="Compact"/>
            </w:pPr>
            <w:r>
              <w:t xml:space="preserve">Subraya que el ratio de conversión indica cuántos CEDEARs equivalen a una acción original y proporciona ejemplos como MSTR con ratio 20:1</w:t>
            </w:r>
            <w:hyperlink r:id="rId48">
              <w:r>
                <w:rPr>
                  <w:rStyle w:val="Hyperlink"/>
                </w:rPr>
                <w:t xml:space="preserve">[10]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[10]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Pairs trading guía</w:t>
            </w:r>
          </w:p>
        </w:tc>
        <w:tc>
          <w:tcPr/>
          <w:p>
            <w:pPr>
              <w:pStyle w:val="Compact"/>
            </w:pPr>
            <w:r>
              <w:t xml:space="preserve">Artículo de arbitraje</w:t>
            </w:r>
          </w:p>
        </w:tc>
        <w:tc>
          <w:tcPr/>
          <w:p>
            <w:pPr>
              <w:pStyle w:val="Compact"/>
            </w:pPr>
            <w:r>
              <w:t xml:space="preserve">Define que el pairs trading es una forma de arbitraje estadístico en la que se toman posiciones opuestas ante un mispricing de dos activos altamente correlacionados</w:t>
            </w:r>
            <w:hyperlink r:id="rId32">
              <w:r>
                <w:rPr>
                  <w:rStyle w:val="Hyperlink"/>
                </w:rPr>
                <w:t xml:space="preserve">[7]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[7]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Engle–Granger y cointegración</w:t>
            </w:r>
          </w:p>
        </w:tc>
        <w:tc>
          <w:tcPr/>
          <w:p>
            <w:pPr>
              <w:pStyle w:val="Compact"/>
            </w:pPr>
            <w:r>
              <w:t xml:space="preserve">Blog técnico</w:t>
            </w:r>
          </w:p>
        </w:tc>
        <w:tc>
          <w:tcPr/>
          <w:p>
            <w:pPr>
              <w:pStyle w:val="Compact"/>
            </w:pPr>
            <w:r>
              <w:t xml:space="preserve">Señala que la prueba de Engle–Granger produce un p‑valor que indica si dos series están cointegradas y que se busca un p‑valor bajo para seleccionar pares</w:t>
            </w:r>
            <w:hyperlink r:id="rId31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Backtrader</w:t>
            </w:r>
          </w:p>
        </w:tc>
        <w:tc>
          <w:tcPr/>
          <w:p>
            <w:pPr>
              <w:pStyle w:val="Compact"/>
            </w:pPr>
            <w:r>
              <w:t xml:space="preserve">Sitio web oficial</w:t>
            </w:r>
          </w:p>
        </w:tc>
        <w:tc>
          <w:tcPr/>
          <w:p>
            <w:pPr>
              <w:pStyle w:val="Compact"/>
            </w:pPr>
            <w:r>
              <w:t xml:space="preserve">Describe backtrader como un framework Python con muchas funcionalidades que permite enfocarse en escribir estrategias, indicadores y analizadores reutilizables</w:t>
            </w:r>
            <w:hyperlink r:id="rId41">
              <w:r>
                <w:rPr>
                  <w:rStyle w:val="Hyperlink"/>
                </w:rPr>
                <w:t xml:space="preserve">[9]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Model Context Protocol (MCP)</w:t>
            </w:r>
          </w:p>
        </w:tc>
        <w:tc>
          <w:tcPr/>
          <w:p>
            <w:pPr>
              <w:pStyle w:val="Compact"/>
            </w:pPr>
            <w:r>
              <w:t xml:space="preserve">Sitio oficial / Introducción</w:t>
            </w:r>
          </w:p>
        </w:tc>
        <w:tc>
          <w:tcPr/>
          <w:p>
            <w:pPr>
              <w:pStyle w:val="Compact"/>
            </w:pPr>
            <w:r>
              <w:t xml:space="preserve">El sitio oficial presenta MCP como una forma estandarizada de conectar modelos de IA a diferentes fuentes de datos y herramientas, facilitando la construcción de aplicaciones seguras y reutilizables【527864853506566†L1-L3】.</w:t>
            </w:r>
          </w:p>
        </w:tc>
        <w:tc>
          <w:tcPr/>
          <w:p>
            <w:pPr>
              <w:pStyle w:val="Compact"/>
            </w:pPr>
            <w:r>
              <w:t xml:space="preserve">【527864853506566†L1-L3】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101 (NVIDIA)</w:t>
            </w:r>
          </w:p>
        </w:tc>
        <w:tc>
          <w:tcPr/>
          <w:p>
            <w:pPr>
              <w:pStyle w:val="Compact"/>
            </w:pPr>
            <w: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Explica los beneficios de la técnica RAG al combinar modelos de lenguaje con bases de conocimiento externas y describe los componentes de un pipeline RAG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[3]</w:t>
              </w:r>
            </w:hyperlink>
          </w:p>
        </w:tc>
      </w:tr>
    </w:tbl>
    <w:bookmarkEnd w:id="49"/>
    <w:bookmarkEnd w:id="50"/>
    <w:bookmarkEnd w:id="51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matbarofex/pyRofex: Python library to connect with Matba Rofex's ...</w:t>
      </w:r>
    </w:p>
    <w:p>
      <w:pPr>
        <w:pStyle w:val="BodyText"/>
      </w:pPr>
      <w:hyperlink r:id="rId52">
        <w:r>
          <w:rPr>
            <w:rStyle w:val="Hyperlink"/>
          </w:rPr>
          <w:t xml:space="preserve">https://github.com/matbarofex/pyRofex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Más oportunidades para invertir en CEDEAR - Guía de Ayuda - Inicio</w:t>
      </w:r>
    </w:p>
    <w:p>
      <w:pPr>
        <w:pStyle w:val="BodyText"/>
      </w:pPr>
      <w:hyperlink r:id="rId53">
        <w:r>
          <w:rPr>
            <w:rStyle w:val="Hyperlink"/>
          </w:rPr>
          <w:t xml:space="preserve">https://help.bullmarketbrokers.com/faq/nuevos-ratios-de-conversion/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RAG 101: Demystifying Retrieval-Augmented Generation Pipelines</w:t>
      </w:r>
    </w:p>
    <w:p>
      <w:pPr>
        <w:pStyle w:val="BodyText"/>
      </w:pPr>
      <w:hyperlink r:id="rId54">
        <w:r>
          <w:rPr>
            <w:rStyle w:val="Hyperlink"/>
          </w:rPr>
          <w:t xml:space="preserve">https://developer.nvidia.com/blog/rag-101-demystifying-retrieval-augmented-generation-pipelines/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Documentación API | IOL invertironline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https://www.invertironline.com/documentacion-api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Constructing Your Strategy with Logs, Hedge Ratios, and Z-Scores</w:t>
      </w:r>
    </w:p>
    <w:p>
      <w:pPr>
        <w:pStyle w:val="BodyText"/>
      </w:pPr>
      <w:hyperlink r:id="rId56">
        <w:r>
          <w:rPr>
            <w:rStyle w:val="Hyperlink"/>
          </w:rPr>
          <w:t xml:space="preserve">https://blog.amberdata.io/constructing-your-strategy-with-logs-hedge-ratios-and-z-scores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Getting Started with Statistical Arbitrage: A Comprehensive Guide to ...</w:t>
      </w:r>
    </w:p>
    <w:p>
      <w:pPr>
        <w:pStyle w:val="BodyText"/>
      </w:pPr>
      <w:hyperlink r:id="rId57">
        <w:r>
          <w:rPr>
            <w:rStyle w:val="Hyperlink"/>
          </w:rPr>
          <w:t xml:space="preserve">https://medium.com/algocraft/getting-started-with-statistical-arbitrage-a-comprehensive-guide-to-pairs-trading-in-python-d303b0f8415d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[PDF] Manual de Conectividad A3- V2.2024.06.25</w:t>
      </w:r>
    </w:p>
    <w:p>
      <w:pPr>
        <w:pStyle w:val="BodyText"/>
      </w:pPr>
      <w:hyperlink r:id="rId58">
        <w:r>
          <w:rPr>
            <w:rStyle w:val="Hyperlink"/>
          </w:rPr>
          <w:t xml:space="preserve">https://a3mercados.com.ar/wp-content/uploads/2025/04/Manual-de-Conectividad-A3-v2.2024.06.25.pdf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Backtrader: Welcome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https://www.backtrader.com/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MSTR CEDEAR: splits, ratio de conversión y lo que tenés que saber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https://www.rankia.com.ar/blog/cedear/6789054-mstr-cedear-splits-ratio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8" Target="https://a3mercados.com.ar/wp-content/uploads/2025/04/Manual-de-Conectividad-A3-v2.2024.06.25.pdf" TargetMode="External" /><Relationship Type="http://schemas.openxmlformats.org/officeDocument/2006/relationships/hyperlink" Id="rId34" Target="https://a3mercados.com.ar/wp-content/uploads/2025/04/Manual-de-Conectividad-A3-v2.2024.06.25.pdf#:~:text=Matba%20Rofex%20permite%20que%20sus,consumo%20de%20market%20data%2C" TargetMode="External" /><Relationship Type="http://schemas.openxmlformats.org/officeDocument/2006/relationships/hyperlink" Id="rId56" Target="https://blog.amberdata.io/constructing-your-strategy-with-logs-hedge-ratios-and-z-scores" TargetMode="External" /><Relationship Type="http://schemas.openxmlformats.org/officeDocument/2006/relationships/hyperlink" Id="rId31" Target="https://blog.amberdata.io/constructing-your-strategy-with-logs-hedge-ratios-and-z-scores#:~:text=Constructing%20Your%20Strategy%20with%20Logs%2C,below%20a%20chosen%20significance" TargetMode="External" /><Relationship Type="http://schemas.openxmlformats.org/officeDocument/2006/relationships/hyperlink" Id="rId54" Target="https://developer.nvidia.com/blog/rag-101-demystifying-retrieval-augmented-generation-pipelines/" TargetMode="External" /><Relationship Type="http://schemas.openxmlformats.org/officeDocument/2006/relationships/hyperlink" Id="rId24" Target="https://developer.nvidia.com/blog/rag-101-demystifying-retrieval-augmented-generation-pipelines/#:~:text=RAG%20101%3A%20Demystifying%20Retrieval,components%20of%20a%20RAG%20pipeline" TargetMode="External" /><Relationship Type="http://schemas.openxmlformats.org/officeDocument/2006/relationships/hyperlink" Id="rId52" Target="https://github.com/matbarofex/pyRofex" TargetMode="External" /><Relationship Type="http://schemas.openxmlformats.org/officeDocument/2006/relationships/hyperlink" Id="rId22" Target="https://github.com/matbarofex/pyRofex#:~:text=Official%20API%20Documentation,Acknowledgements" TargetMode="External" /><Relationship Type="http://schemas.openxmlformats.org/officeDocument/2006/relationships/hyperlink" Id="rId53" Target="https://help.bullmarketbrokers.com/faq/nuevos-ratios-de-conversion/" TargetMode="External" /><Relationship Type="http://schemas.openxmlformats.org/officeDocument/2006/relationships/hyperlink" Id="rId23" Target="https://help.bullmarketbrokers.com/faq/nuevos-ratios-de-conversion/#:~:text=M%C3%A1s%20oportunidades%20para%20invertir%20en,el%20llamado%20%E2%80%9Cratio%20de" TargetMode="External" /><Relationship Type="http://schemas.openxmlformats.org/officeDocument/2006/relationships/hyperlink" Id="rId57" Target="https://medium.com/algocraft/getting-started-with-statistical-arbitrage-a-comprehensive-guide-to-pairs-trading-in-python-d303b0f8415d" TargetMode="External" /><Relationship Type="http://schemas.openxmlformats.org/officeDocument/2006/relationships/hyperlink" Id="rId32" Target="https://medium.com/algocraft/getting-started-with-statistical-arbitrage-a-comprehensive-guide-to-pairs-trading-in-python-d303b0f8415d#:~:text=Getting%20Started%20with%20Statistical%20Arbitrage%3A,mispricing%20of%20highly%20correlated" TargetMode="External" /><Relationship Type="http://schemas.openxmlformats.org/officeDocument/2006/relationships/hyperlink" Id="rId59" Target="https://www.backtrader.com/" TargetMode="External" /><Relationship Type="http://schemas.openxmlformats.org/officeDocument/2006/relationships/hyperlink" Id="rId41" Target="https://www.backtrader.com/#:~:text=Backtrader%3A%20Welcome%20A%20feature,trading%20strategies%2C%20indicators%20and%20analyzers" TargetMode="External" /><Relationship Type="http://schemas.openxmlformats.org/officeDocument/2006/relationships/hyperlink" Id="rId55" Target="https://www.invertironline.com/documentacion-api" TargetMode="External" /><Relationship Type="http://schemas.openxmlformats.org/officeDocument/2006/relationships/hyperlink" Id="rId26" Target="https://www.invertironline.com/documentacion-api#:~:text=Documentaci%C3%B3n%20API%20,IOL" TargetMode="External" /><Relationship Type="http://schemas.openxmlformats.org/officeDocument/2006/relationships/hyperlink" Id="rId60" Target="https://www.rankia.com.ar/blog/cedear/6789054-mstr-cedear-splits-ratio" TargetMode="External" /><Relationship Type="http://schemas.openxmlformats.org/officeDocument/2006/relationships/hyperlink" Id="rId48" Target="https://www.rankia.com.ar/blog/cedear/6789054-mstr-cedear-splits-ratio#:~:text=saber%20www,ratio%20es%20de%2020%3A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a3mercados.com.ar/wp-content/uploads/2025/04/Manual-de-Conectividad-A3-v2.2024.06.25.pdf" TargetMode="External" /><Relationship Type="http://schemas.openxmlformats.org/officeDocument/2006/relationships/hyperlink" Id="rId34" Target="https://a3mercados.com.ar/wp-content/uploads/2025/04/Manual-de-Conectividad-A3-v2.2024.06.25.pdf#:~:text=Matba%20Rofex%20permite%20que%20sus,consumo%20de%20market%20data%2C" TargetMode="External" /><Relationship Type="http://schemas.openxmlformats.org/officeDocument/2006/relationships/hyperlink" Id="rId56" Target="https://blog.amberdata.io/constructing-your-strategy-with-logs-hedge-ratios-and-z-scores" TargetMode="External" /><Relationship Type="http://schemas.openxmlformats.org/officeDocument/2006/relationships/hyperlink" Id="rId31" Target="https://blog.amberdata.io/constructing-your-strategy-with-logs-hedge-ratios-and-z-scores#:~:text=Constructing%20Your%20Strategy%20with%20Logs%2C,below%20a%20chosen%20significance" TargetMode="External" /><Relationship Type="http://schemas.openxmlformats.org/officeDocument/2006/relationships/hyperlink" Id="rId54" Target="https://developer.nvidia.com/blog/rag-101-demystifying-retrieval-augmented-generation-pipelines/" TargetMode="External" /><Relationship Type="http://schemas.openxmlformats.org/officeDocument/2006/relationships/hyperlink" Id="rId24" Target="https://developer.nvidia.com/blog/rag-101-demystifying-retrieval-augmented-generation-pipelines/#:~:text=RAG%20101%3A%20Demystifying%20Retrieval,components%20of%20a%20RAG%20pipeline" TargetMode="External" /><Relationship Type="http://schemas.openxmlformats.org/officeDocument/2006/relationships/hyperlink" Id="rId52" Target="https://github.com/matbarofex/pyRofex" TargetMode="External" /><Relationship Type="http://schemas.openxmlformats.org/officeDocument/2006/relationships/hyperlink" Id="rId22" Target="https://github.com/matbarofex/pyRofex#:~:text=Official%20API%20Documentation,Acknowledgements" TargetMode="External" /><Relationship Type="http://schemas.openxmlformats.org/officeDocument/2006/relationships/hyperlink" Id="rId53" Target="https://help.bullmarketbrokers.com/faq/nuevos-ratios-de-conversion/" TargetMode="External" /><Relationship Type="http://schemas.openxmlformats.org/officeDocument/2006/relationships/hyperlink" Id="rId23" Target="https://help.bullmarketbrokers.com/faq/nuevos-ratios-de-conversion/#:~:text=M%C3%A1s%20oportunidades%20para%20invertir%20en,el%20llamado%20%E2%80%9Cratio%20de" TargetMode="External" /><Relationship Type="http://schemas.openxmlformats.org/officeDocument/2006/relationships/hyperlink" Id="rId57" Target="https://medium.com/algocraft/getting-started-with-statistical-arbitrage-a-comprehensive-guide-to-pairs-trading-in-python-d303b0f8415d" TargetMode="External" /><Relationship Type="http://schemas.openxmlformats.org/officeDocument/2006/relationships/hyperlink" Id="rId32" Target="https://medium.com/algocraft/getting-started-with-statistical-arbitrage-a-comprehensive-guide-to-pairs-trading-in-python-d303b0f8415d#:~:text=Getting%20Started%20with%20Statistical%20Arbitrage%3A,mispricing%20of%20highly%20correlated" TargetMode="External" /><Relationship Type="http://schemas.openxmlformats.org/officeDocument/2006/relationships/hyperlink" Id="rId59" Target="https://www.backtrader.com/" TargetMode="External" /><Relationship Type="http://schemas.openxmlformats.org/officeDocument/2006/relationships/hyperlink" Id="rId41" Target="https://www.backtrader.com/#:~:text=Backtrader%3A%20Welcome%20A%20feature,trading%20strategies%2C%20indicators%20and%20analyzers" TargetMode="External" /><Relationship Type="http://schemas.openxmlformats.org/officeDocument/2006/relationships/hyperlink" Id="rId55" Target="https://www.invertironline.com/documentacion-api" TargetMode="External" /><Relationship Type="http://schemas.openxmlformats.org/officeDocument/2006/relationships/hyperlink" Id="rId26" Target="https://www.invertironline.com/documentacion-api#:~:text=Documentaci%C3%B3n%20API%20,IOL" TargetMode="External" /><Relationship Type="http://schemas.openxmlformats.org/officeDocument/2006/relationships/hyperlink" Id="rId60" Target="https://www.rankia.com.ar/blog/cedear/6789054-mstr-cedear-splits-ratio" TargetMode="External" /><Relationship Type="http://schemas.openxmlformats.org/officeDocument/2006/relationships/hyperlink" Id="rId48" Target="https://www.rankia.com.ar/blog/cedear/6789054-mstr-cedear-splits-ratio#:~:text=saber%20www,ratio%20es%20de%2020%3A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2025-08-14T01:45:57Z</dcterms:created>
  <dcterms:modified xsi:type="dcterms:W3CDTF">2025-08-14T01:45:57Z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