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A9B" w:rsidRDefault="00CB1589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A04A9B" w:rsidRDefault="00CB1589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01-FUNDAÇÕES-ESTÁTICA-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A04A9B" w:rsidRDefault="00CB1589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Documentação de Fundações, Regras de Negócio e Dicionário de </w:t>
      </w:r>
      <w:proofErr w:type="gramStart"/>
      <w:r>
        <w:rPr>
          <w:i/>
          <w:iCs/>
          <w:color w:val="555555"/>
          <w:sz w:val="21"/>
          <w:szCs w:val="21"/>
        </w:rPr>
        <w:t>Dados</w:t>
      </w:r>
      <w:proofErr w:type="gramEnd"/>
    </w:p>
    <w:p w:rsidR="00A04A9B" w:rsidRDefault="00CB1589" w:rsidP="00C4358E">
      <w:pPr>
        <w:spacing w:before="60" w:after="0" w:line="240" w:lineRule="auto"/>
        <w:jc w:val="center"/>
      </w:pPr>
      <w:r>
        <w:rPr>
          <w:color w:val="9E9E9E"/>
          <w:sz w:val="18"/>
          <w:szCs w:val="18"/>
        </w:rPr>
        <w:t>12 de maio de 2026</w:t>
      </w:r>
    </w:p>
    <w:p w:rsidR="00A04A9B" w:rsidRDefault="00A04A9B" w:rsidP="00C4358E">
      <w:pPr>
        <w:pBdr>
          <w:bottom w:val="single" w:sz="6" w:space="0" w:color="CCCCCC"/>
        </w:pBdr>
        <w:spacing w:after="0" w:line="240" w:lineRule="auto"/>
      </w:pPr>
    </w:p>
    <w:p w:rsidR="00A04A9B" w:rsidRDefault="00CB1589" w:rsidP="00C4358E">
      <w:pPr>
        <w:pStyle w:val="Heading2"/>
        <w:spacing w:before="120"/>
      </w:pPr>
      <w:r>
        <w:t>01-FUNDAÇÕES-ESTÁTICA-</w:t>
      </w:r>
      <w:proofErr w:type="gramStart"/>
      <w:r>
        <w:t>V3.</w:t>
      </w:r>
      <w:proofErr w:type="gramEnd"/>
      <w:r>
        <w:t>0</w:t>
      </w:r>
    </w:p>
    <w:p w:rsidR="00A04A9B" w:rsidRDefault="00CB1589">
      <w:pPr>
        <w:spacing w:before="60"/>
        <w:jc w:val="both"/>
      </w:pPr>
      <w:r>
        <w:t xml:space="preserve">Este documento consolida as bases estruturais do sistema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, abrangendo as decisões arquiteturais críticas, as regras de negócio que regem os processos de seleção, o glossário de termos técnicos e o dicionário de dados das principais entidades. Esta versão 3.0 reflete a maturidade do projeto e serve como alicerce para a </w:t>
      </w:r>
      <w:proofErr w:type="spellStart"/>
      <w:r>
        <w:t>manutenibilidade</w:t>
      </w:r>
      <w:proofErr w:type="spellEnd"/>
      <w:r>
        <w:t xml:space="preserve"> e evolução do código.</w:t>
      </w:r>
    </w:p>
    <w:p w:rsidR="00A04A9B" w:rsidRDefault="00CB1589">
      <w:pPr>
        <w:pStyle w:val="Heading3"/>
      </w:pPr>
      <w:r>
        <w:t>1. Registros de Decisões Arquiteturais (</w:t>
      </w:r>
      <w:proofErr w:type="spellStart"/>
      <w:r>
        <w:t>ADRs</w:t>
      </w:r>
      <w:proofErr w:type="spellEnd"/>
      <w:r>
        <w:t>)</w:t>
      </w:r>
    </w:p>
    <w:p w:rsidR="00A04A9B" w:rsidRDefault="00CB1589">
      <w:pPr>
        <w:spacing w:before="60"/>
        <w:jc w:val="both"/>
      </w:pPr>
      <w:r>
        <w:t>A tabela abaixo detalha as decisões técnicas fundamentais tomadas durante o desenvolvimento, fornecendo o contexto necessário para futuras manutenções e auditorias.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Decisão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Contexto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CPF identificador único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Validação segura e integração com sistemas municipais.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Field </w:t>
            </w:r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Conformidade com a LGPD para proteção de dados sensíveis (CPF/NIS).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Isolamento de lógica de negócio complexa fora das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PostgreSQL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JSONB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Flexibilidade para armazenamento de dados dinâmicos e metadados.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ADR-005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Axes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Proteção contra ataques de força bruta (bloqueio de 30min após </w:t>
            </w: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tentativas).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CSP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Implementação</w:t>
            </w:r>
            <w:proofErr w:type="gram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para mitigação de ataques XSS.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ADR-007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ERP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Utilização do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nativo customizado como interface principal de gestão.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ADR-008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pytest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Framework de testes focado em </w:t>
            </w:r>
            <w:proofErr w:type="spellStart"/>
            <w:r>
              <w:rPr>
                <w:sz w:val="20"/>
                <w:szCs w:val="20"/>
              </w:rPr>
              <w:t>fixtures</w:t>
            </w:r>
            <w:proofErr w:type="spellEnd"/>
            <w:r>
              <w:rPr>
                <w:sz w:val="20"/>
                <w:szCs w:val="20"/>
              </w:rPr>
              <w:t xml:space="preserve"> e legibilidade do código.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LGPD </w:t>
            </w:r>
            <w:proofErr w:type="spellStart"/>
            <w:r>
              <w:rPr>
                <w:sz w:val="20"/>
                <w:szCs w:val="20"/>
              </w:rPr>
              <w:t>anonymization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Garantia do direito ao esquecimento através da </w:t>
            </w: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de registros.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ADR-010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Email </w:t>
            </w:r>
            <w:proofErr w:type="spellStart"/>
            <w:proofErr w:type="gramStart"/>
            <w:r>
              <w:rPr>
                <w:sz w:val="20"/>
                <w:szCs w:val="20"/>
              </w:rPr>
              <w:t>DataCenter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Integração direta com o </w:t>
            </w:r>
            <w:proofErr w:type="spellStart"/>
            <w:proofErr w:type="gramStart"/>
            <w:r>
              <w:rPr>
                <w:sz w:val="20"/>
                <w:szCs w:val="20"/>
              </w:rPr>
              <w:t>DataCenter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municipal para comunicações oficiais.</w:t>
            </w:r>
          </w:p>
        </w:tc>
      </w:tr>
    </w:tbl>
    <w:p w:rsidR="00A04A9B" w:rsidRDefault="00CB1589">
      <w:pPr>
        <w:pStyle w:val="Heading3"/>
      </w:pPr>
      <w:r>
        <w:lastRenderedPageBreak/>
        <w:t>2. Regras de Negócio</w:t>
      </w:r>
    </w:p>
    <w:p w:rsidR="00A04A9B" w:rsidRDefault="00CB1589">
      <w:pPr>
        <w:spacing w:before="60"/>
        <w:jc w:val="both"/>
      </w:pPr>
      <w:r>
        <w:t>As regras de negócio definem o comportamento esperado do sistema em relação aos processos de elegibilidade, classificação e certificação dos interessados.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Elegibilidade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CPF único por evento; o NIS é obrigatório para candidatos em regime de cotas.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Ordenação por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DESC; desempate por </w:t>
            </w:r>
            <w:proofErr w:type="spellStart"/>
            <w:r>
              <w:rPr>
                <w:sz w:val="20"/>
                <w:szCs w:val="20"/>
              </w:rPr>
              <w:t>data_inscricao</w:t>
            </w:r>
            <w:proofErr w:type="spellEnd"/>
            <w:r>
              <w:rPr>
                <w:sz w:val="20"/>
                <w:szCs w:val="20"/>
              </w:rPr>
              <w:t xml:space="preserve"> com precisão de milissegundos ASC.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Sujeita à revisão do staff; respeita o limite de vagas e gera notificação automática.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Aprovação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Exige nota final igual ou superior a </w:t>
            </w:r>
            <w:r>
              <w:rPr>
                <w:b/>
                <w:bCs/>
                <w:sz w:val="20"/>
                <w:szCs w:val="20"/>
              </w:rPr>
              <w:t>7.0</w:t>
            </w:r>
            <w:r>
              <w:rPr>
                <w:sz w:val="20"/>
                <w:szCs w:val="20"/>
              </w:rPr>
              <w:t xml:space="preserve"> e frequência mínima de </w:t>
            </w:r>
            <w:r>
              <w:rPr>
                <w:b/>
                <w:bCs/>
                <w:sz w:val="20"/>
                <w:szCs w:val="20"/>
              </w:rPr>
              <w:t>75%</w:t>
            </w:r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Certificação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Disponível apenas para aprovados; inclui código de autenticidade verificável.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LGPD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O direito ao esquecimento é atendido via processo de </w:t>
            </w: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irreversível.</w:t>
            </w:r>
          </w:p>
        </w:tc>
      </w:tr>
    </w:tbl>
    <w:p w:rsidR="007160D8" w:rsidRDefault="007160D8">
      <w:pPr>
        <w:pStyle w:val="Heading3"/>
      </w:pPr>
    </w:p>
    <w:p w:rsidR="00A04A9B" w:rsidRDefault="00CB1589">
      <w:pPr>
        <w:pStyle w:val="Heading3"/>
      </w:pPr>
      <w:r>
        <w:t>3. Glossário de Termos</w:t>
      </w:r>
    </w:p>
    <w:p w:rsidR="00A04A9B" w:rsidRDefault="00CB1589">
      <w:pPr>
        <w:spacing w:before="60"/>
        <w:jc w:val="both"/>
      </w:pPr>
      <w:r>
        <w:t>Definições padronizadas para garantir o alinhamento entre desenvolvedores, analistas e usuários do sistema.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845"/>
        <w:gridCol w:w="7955"/>
      </w:tblGrid>
      <w:tr w:rsidR="00A04A9B" w:rsidTr="00C4358E"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Termo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Definição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Interessado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Entidade que representa o usuário externo/candidato. </w:t>
            </w:r>
          </w:p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Cidadão registrado no sistema para participação em processos seletivos.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Identificador primário e único do cidadão, armazenado de forma criptografada.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NIS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Número de Inscrição Social, utilizado como critério de prioridade em programas sociais.</w:t>
            </w:r>
          </w:p>
        </w:tc>
      </w:tr>
      <w:tr w:rsidR="00F15C4F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F15C4F" w:rsidRPr="009A3844" w:rsidRDefault="00F15C4F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Fototipo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F15C4F" w:rsidRPr="00C4358E" w:rsidRDefault="00F15C4F" w:rsidP="00F15C4F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F15C4F">
              <w:rPr>
                <w:sz w:val="20"/>
                <w:szCs w:val="20"/>
              </w:rPr>
              <w:t>lassificação dermatológica que categoriza a pele humana</w:t>
            </w:r>
            <w:r>
              <w:rPr>
                <w:sz w:val="20"/>
                <w:szCs w:val="20"/>
              </w:rPr>
              <w:t xml:space="preserve">. Neste sistema usamos a definição </w:t>
            </w:r>
            <w:proofErr w:type="gramStart"/>
            <w:r>
              <w:rPr>
                <w:sz w:val="20"/>
                <w:szCs w:val="20"/>
              </w:rPr>
              <w:t>AutoDeclarada</w:t>
            </w:r>
            <w:proofErr w:type="gramEnd"/>
            <w:r>
              <w:rPr>
                <w:sz w:val="20"/>
                <w:szCs w:val="20"/>
              </w:rPr>
              <w:t xml:space="preserve"> de Cor/Raça do IBGE (Preto, Pardo, Branco, Amarelo, Indígena).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Entidade que define o curso ou atividade oferecida.</w:t>
            </w:r>
          </w:p>
        </w:tc>
      </w:tr>
      <w:tr w:rsidR="001F7880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9A3844" w:rsidRDefault="001F7880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Vaga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C4358E" w:rsidRDefault="001F7880" w:rsidP="001F788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1F7880">
              <w:rPr>
                <w:sz w:val="20"/>
                <w:szCs w:val="20"/>
              </w:rPr>
              <w:t>efere-se ao número total de postos disponíveis em um determinado curso</w:t>
            </w:r>
            <w:r>
              <w:rPr>
                <w:sz w:val="20"/>
                <w:szCs w:val="20"/>
              </w:rPr>
              <w:t xml:space="preserve"> ou evento.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Instância específica de um evento com </w:t>
            </w:r>
            <w:proofErr w:type="gramStart"/>
            <w:r w:rsidRPr="00C4358E">
              <w:rPr>
                <w:sz w:val="20"/>
                <w:szCs w:val="20"/>
              </w:rPr>
              <w:t>horários e local definidos</w:t>
            </w:r>
            <w:proofErr w:type="gramEnd"/>
            <w:r w:rsidRPr="00C4358E">
              <w:rPr>
                <w:sz w:val="20"/>
                <w:szCs w:val="20"/>
              </w:rPr>
              <w:t>.</w:t>
            </w:r>
          </w:p>
        </w:tc>
      </w:tr>
      <w:tr w:rsidR="001F7880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9A3844" w:rsidRDefault="001F7880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Lista de Espera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C4358E" w:rsidRDefault="001F7880" w:rsidP="00C4358E">
            <w:pPr>
              <w:spacing w:before="60" w:after="60"/>
              <w:rPr>
                <w:sz w:val="20"/>
                <w:szCs w:val="20"/>
              </w:rPr>
            </w:pPr>
            <w:r w:rsidRPr="001F7880">
              <w:rPr>
                <w:sz w:val="20"/>
                <w:szCs w:val="20"/>
              </w:rPr>
              <w:t>Candidatos que não se enquadram no número de vagas imediatas (</w:t>
            </w:r>
            <w:proofErr w:type="spellStart"/>
            <w:r w:rsidRPr="001F7880">
              <w:rPr>
                <w:sz w:val="20"/>
                <w:szCs w:val="20"/>
              </w:rPr>
              <w:t>total_vagas</w:t>
            </w:r>
            <w:proofErr w:type="spellEnd"/>
            <w:r w:rsidRPr="001F7880">
              <w:rPr>
                <w:sz w:val="20"/>
                <w:szCs w:val="20"/>
              </w:rPr>
              <w:t>) são automaticamente movidos para a lista de espera, mantendo sua posição relativa conforme o ranking calculado. A promoção de candidatos da lista de espera para vagas efetivas ocorre mediante desistência ou desclassificação de candidatos superiores.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Inscrição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Vínculo formal estabelecido entre um Interessado e um Evento específico.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Processo lógico de ordenação de candidatos gerando um ranking automaticamente com base nos critérios de pontuação e desempate.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7160D8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Critério</w:t>
            </w:r>
            <w:r w:rsidR="007160D8">
              <w:rPr>
                <w:b/>
                <w:bCs/>
                <w:sz w:val="20"/>
                <w:szCs w:val="20"/>
              </w:rPr>
              <w:t xml:space="preserve"> de Pontuação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7160D8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Parâmetro </w:t>
            </w:r>
            <w:proofErr w:type="spellStart"/>
            <w:r w:rsidRPr="00C4358E">
              <w:rPr>
                <w:sz w:val="20"/>
                <w:szCs w:val="20"/>
              </w:rPr>
              <w:t>pontuável</w:t>
            </w:r>
            <w:proofErr w:type="spellEnd"/>
            <w:r w:rsidRPr="00C4358E">
              <w:rPr>
                <w:sz w:val="20"/>
                <w:szCs w:val="20"/>
              </w:rPr>
              <w:t xml:space="preserve"> </w:t>
            </w:r>
            <w:r w:rsidR="007160D8">
              <w:rPr>
                <w:sz w:val="20"/>
                <w:szCs w:val="20"/>
              </w:rPr>
              <w:t xml:space="preserve">estabelecido para avaliar, comparar e </w:t>
            </w:r>
            <w:proofErr w:type="spellStart"/>
            <w:r w:rsidR="007160D8">
              <w:rPr>
                <w:sz w:val="20"/>
                <w:szCs w:val="20"/>
              </w:rPr>
              <w:t>rankear</w:t>
            </w:r>
            <w:proofErr w:type="spellEnd"/>
            <w:r w:rsidR="007160D8">
              <w:rPr>
                <w:sz w:val="20"/>
                <w:szCs w:val="20"/>
              </w:rPr>
              <w:t xml:space="preserve"> os candidatos</w:t>
            </w:r>
            <w:r w:rsidRPr="00C4358E">
              <w:rPr>
                <w:sz w:val="20"/>
                <w:szCs w:val="20"/>
              </w:rPr>
              <w:t xml:space="preserve"> (ex: </w:t>
            </w:r>
            <w:r w:rsidR="007160D8">
              <w:rPr>
                <w:sz w:val="20"/>
                <w:szCs w:val="20"/>
              </w:rPr>
              <w:t xml:space="preserve">Programa Social, </w:t>
            </w:r>
            <w:proofErr w:type="spellStart"/>
            <w:r w:rsidR="007160D8">
              <w:rPr>
                <w:sz w:val="20"/>
                <w:szCs w:val="20"/>
              </w:rPr>
              <w:t>Fototipo</w:t>
            </w:r>
            <w:proofErr w:type="spellEnd"/>
            <w:r w:rsidR="007160D8">
              <w:rPr>
                <w:sz w:val="20"/>
                <w:szCs w:val="20"/>
              </w:rPr>
              <w:t>, etc.</w:t>
            </w:r>
            <w:r w:rsidRPr="00C4358E">
              <w:rPr>
                <w:sz w:val="20"/>
                <w:szCs w:val="20"/>
              </w:rPr>
              <w:t>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Desempate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Regra aplicada quando dois candidatos possuem a mesma pontuação (prioridade para inscrição mais antiga).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Etapa de confirmação da ocupação da vaga pelo candidato classificado.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Registro do desempenho acadêmico e de frequência durante a execução do curso.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Certificação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Documento digital emitido para os candidatos que atingiram os critérios de aprovação.</w:t>
            </w:r>
          </w:p>
        </w:tc>
      </w:tr>
      <w:tr w:rsidR="00E17F12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E17F12" w:rsidRPr="009A3844" w:rsidRDefault="00E17F12" w:rsidP="00E17F12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Taxa de Aprovação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E17F12" w:rsidRPr="00C4358E" w:rsidRDefault="00E17F12" w:rsidP="00C4358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Percentual de aprovados por evento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LGPD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Conjunto de práticas de privacidade, focadas na </w:t>
            </w:r>
            <w:proofErr w:type="spellStart"/>
            <w:r w:rsidRPr="00C4358E">
              <w:rPr>
                <w:sz w:val="20"/>
                <w:szCs w:val="20"/>
              </w:rPr>
              <w:t>anonimização</w:t>
            </w:r>
            <w:proofErr w:type="spellEnd"/>
            <w:r w:rsidRPr="00C4358E">
              <w:rPr>
                <w:sz w:val="20"/>
                <w:szCs w:val="20"/>
              </w:rPr>
              <w:t xml:space="preserve"> de dados sensíveis.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A3844">
              <w:rPr>
                <w:b/>
                <w:bCs/>
                <w:sz w:val="20"/>
                <w:szCs w:val="20"/>
              </w:rPr>
              <w:t>ClassificadorService</w:t>
            </w:r>
            <w:proofErr w:type="spellEnd"/>
            <w:proofErr w:type="gram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Classe </w:t>
            </w:r>
            <w:proofErr w:type="spellStart"/>
            <w:r w:rsidRPr="00C4358E">
              <w:rPr>
                <w:sz w:val="20"/>
                <w:szCs w:val="20"/>
              </w:rPr>
              <w:t>Python</w:t>
            </w:r>
            <w:proofErr w:type="spellEnd"/>
            <w:r w:rsidRPr="00C4358E">
              <w:rPr>
                <w:sz w:val="20"/>
                <w:szCs w:val="20"/>
              </w:rPr>
              <w:t xml:space="preserve"> que encapsula o algoritmo de ranking.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Service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Camada de abstração para lógicas que não pertencem exclusivamente ao </w:t>
            </w:r>
            <w:proofErr w:type="spellStart"/>
            <w:r w:rsidRPr="00C4358E">
              <w:rPr>
                <w:sz w:val="20"/>
                <w:szCs w:val="20"/>
              </w:rPr>
              <w:t>Model</w:t>
            </w:r>
            <w:proofErr w:type="spellEnd"/>
            <w:r w:rsidRPr="00C4358E">
              <w:rPr>
                <w:sz w:val="20"/>
                <w:szCs w:val="20"/>
              </w:rPr>
              <w:t xml:space="preserve"> ou à </w:t>
            </w:r>
            <w:proofErr w:type="spellStart"/>
            <w:r w:rsidRPr="00C4358E">
              <w:rPr>
                <w:sz w:val="20"/>
                <w:szCs w:val="20"/>
              </w:rPr>
              <w:t>View</w:t>
            </w:r>
            <w:proofErr w:type="spellEnd"/>
            <w:r w:rsidRPr="00C4358E">
              <w:rPr>
                <w:sz w:val="20"/>
                <w:szCs w:val="20"/>
              </w:rPr>
              <w:t>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Admin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 xml:space="preserve"> Customizado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Extensão do </w:t>
            </w:r>
            <w:proofErr w:type="spellStart"/>
            <w:r w:rsidRPr="00C4358E">
              <w:rPr>
                <w:sz w:val="20"/>
                <w:szCs w:val="20"/>
              </w:rPr>
              <w:t>Django</w:t>
            </w:r>
            <w:proofErr w:type="spellEnd"/>
            <w:r w:rsidRPr="00C4358E">
              <w:rPr>
                <w:sz w:val="20"/>
                <w:szCs w:val="20"/>
              </w:rPr>
              <w:t xml:space="preserve"> </w:t>
            </w:r>
            <w:proofErr w:type="spellStart"/>
            <w:r w:rsidRPr="00C4358E">
              <w:rPr>
                <w:sz w:val="20"/>
                <w:szCs w:val="20"/>
              </w:rPr>
              <w:t>Admin</w:t>
            </w:r>
            <w:proofErr w:type="spellEnd"/>
            <w:r w:rsidRPr="00C4358E">
              <w:rPr>
                <w:sz w:val="20"/>
                <w:szCs w:val="20"/>
              </w:rPr>
              <w:t xml:space="preserve"> para fluxos de trabalho específicos do Staff municipal.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Restrição de tentativas de </w:t>
            </w:r>
            <w:proofErr w:type="spellStart"/>
            <w:r w:rsidRPr="00C4358E">
              <w:rPr>
                <w:sz w:val="20"/>
                <w:szCs w:val="20"/>
              </w:rPr>
              <w:t>login</w:t>
            </w:r>
            <w:proofErr w:type="spellEnd"/>
            <w:r w:rsidRPr="00C4358E">
              <w:rPr>
                <w:sz w:val="20"/>
                <w:szCs w:val="20"/>
              </w:rPr>
              <w:t xml:space="preserve"> (</w:t>
            </w:r>
            <w:proofErr w:type="gramStart"/>
            <w:r w:rsidRPr="00C4358E">
              <w:rPr>
                <w:sz w:val="20"/>
                <w:szCs w:val="20"/>
              </w:rPr>
              <w:t>5</w:t>
            </w:r>
            <w:proofErr w:type="gramEnd"/>
            <w:r w:rsidRPr="00C4358E">
              <w:rPr>
                <w:sz w:val="20"/>
                <w:szCs w:val="20"/>
              </w:rPr>
              <w:t xml:space="preserve"> falhas bloqueiam o IP por 30 minutos).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CSP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Cabeçalhos HTTP que impedem a execução de scripts não autorizados.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Middleware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Componentes que processam a requisição globalmente (</w:t>
            </w:r>
            <w:proofErr w:type="gramStart"/>
            <w:r w:rsidRPr="00C4358E">
              <w:rPr>
                <w:sz w:val="20"/>
                <w:szCs w:val="20"/>
              </w:rPr>
              <w:t>ex :</w:t>
            </w:r>
            <w:proofErr w:type="gramEnd"/>
            <w:r w:rsidRPr="00C4358E">
              <w:rPr>
                <w:sz w:val="20"/>
                <w:szCs w:val="20"/>
              </w:rPr>
              <w:t xml:space="preserve"> </w:t>
            </w:r>
            <w:proofErr w:type="spellStart"/>
            <w:r w:rsidRPr="00C4358E">
              <w:rPr>
                <w:sz w:val="20"/>
                <w:szCs w:val="20"/>
              </w:rPr>
              <w:t>TrocarSenhaObrigatorio</w:t>
            </w:r>
            <w:proofErr w:type="spellEnd"/>
            <w:r w:rsidRPr="00C4358E">
              <w:rPr>
                <w:sz w:val="20"/>
                <w:szCs w:val="20"/>
              </w:rPr>
              <w:t>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Fixture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Arquivos YAML/JSON ou funções </w:t>
            </w:r>
            <w:proofErr w:type="spellStart"/>
            <w:r w:rsidRPr="00C4358E">
              <w:rPr>
                <w:sz w:val="20"/>
                <w:szCs w:val="20"/>
              </w:rPr>
              <w:t>pytest</w:t>
            </w:r>
            <w:proofErr w:type="spellEnd"/>
            <w:r w:rsidRPr="00C4358E">
              <w:rPr>
                <w:sz w:val="20"/>
                <w:szCs w:val="20"/>
              </w:rPr>
              <w:t xml:space="preserve"> que </w:t>
            </w:r>
            <w:proofErr w:type="spellStart"/>
            <w:r w:rsidRPr="00C4358E">
              <w:rPr>
                <w:sz w:val="20"/>
                <w:szCs w:val="20"/>
              </w:rPr>
              <w:t>populam</w:t>
            </w:r>
            <w:proofErr w:type="spellEnd"/>
            <w:r w:rsidRPr="00C4358E">
              <w:rPr>
                <w:sz w:val="20"/>
                <w:szCs w:val="20"/>
              </w:rPr>
              <w:t xml:space="preserve"> o banco para testes.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Camada de abstração de banco de dados do </w:t>
            </w:r>
            <w:proofErr w:type="spellStart"/>
            <w:r w:rsidRPr="00C4358E">
              <w:rPr>
                <w:sz w:val="20"/>
                <w:szCs w:val="20"/>
              </w:rPr>
              <w:t>Django</w:t>
            </w:r>
            <w:proofErr w:type="spellEnd"/>
            <w:r w:rsidRPr="00C4358E">
              <w:rPr>
                <w:sz w:val="20"/>
                <w:szCs w:val="20"/>
              </w:rPr>
              <w:t>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Sinal (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Signal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Gatilhos automáticos disparados após eventos de banco (</w:t>
            </w:r>
            <w:proofErr w:type="spellStart"/>
            <w:r w:rsidRPr="00C4358E">
              <w:rPr>
                <w:sz w:val="20"/>
                <w:szCs w:val="20"/>
              </w:rPr>
              <w:t>post_save</w:t>
            </w:r>
            <w:proofErr w:type="spellEnd"/>
            <w:r w:rsidRPr="00C4358E">
              <w:rPr>
                <w:sz w:val="20"/>
                <w:szCs w:val="20"/>
              </w:rPr>
              <w:t xml:space="preserve">, </w:t>
            </w:r>
            <w:proofErr w:type="spellStart"/>
            <w:r w:rsidRPr="00C4358E">
              <w:rPr>
                <w:sz w:val="20"/>
                <w:szCs w:val="20"/>
              </w:rPr>
              <w:t>post_delete</w:t>
            </w:r>
            <w:proofErr w:type="spellEnd"/>
            <w:r w:rsidRPr="00C4358E">
              <w:rPr>
                <w:sz w:val="20"/>
                <w:szCs w:val="20"/>
              </w:rPr>
              <w:t>).</w:t>
            </w:r>
          </w:p>
        </w:tc>
      </w:tr>
    </w:tbl>
    <w:p w:rsidR="00C4358E" w:rsidRDefault="00C4358E">
      <w:pPr>
        <w:pStyle w:val="Heading3"/>
      </w:pPr>
    </w:p>
    <w:p w:rsidR="00A04A9B" w:rsidRDefault="00CB1589">
      <w:pPr>
        <w:pStyle w:val="Heading3"/>
      </w:pPr>
      <w:r>
        <w:lastRenderedPageBreak/>
        <w:t xml:space="preserve">4. Dicionário de Dados — </w:t>
      </w:r>
      <w:proofErr w:type="spellStart"/>
      <w:r>
        <w:t>interessados_interessado</w:t>
      </w:r>
      <w:proofErr w:type="spellEnd"/>
    </w:p>
    <w:p w:rsidR="00A04A9B" w:rsidRDefault="00CB1589">
      <w:pPr>
        <w:spacing w:before="60"/>
        <w:jc w:val="both"/>
      </w:pPr>
      <w:r>
        <w:t>Mapeamento técnico da entidade principal de armazenamento de dados dos cidadãos.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700"/>
        <w:gridCol w:w="2700"/>
        <w:gridCol w:w="2700"/>
        <w:gridCol w:w="2700"/>
      </w:tblGrid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Chave primária (PK).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cpf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Criptografado (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>), deve ser único no sistema.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nis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Indexado para buscas de prioridade.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nome_completo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Limite máximo de 150 caracteres.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Formato de e-mail válido e único.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consentimento_lgpd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bool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indicativa de aceite dos termos de privacidade.</w:t>
            </w:r>
          </w:p>
        </w:tc>
      </w:tr>
    </w:tbl>
    <w:p w:rsidR="00A04A9B" w:rsidRDefault="00CB1589">
      <w:pPr>
        <w:pStyle w:val="Heading3"/>
      </w:pPr>
      <w:r>
        <w:t xml:space="preserve">5. Dicionário de Dados — </w:t>
      </w:r>
      <w:proofErr w:type="spellStart"/>
      <w:r>
        <w:t>selecao_inscricao</w:t>
      </w:r>
      <w:proofErr w:type="spellEnd"/>
    </w:p>
    <w:p w:rsidR="00A04A9B" w:rsidRDefault="00CB1589">
      <w:pPr>
        <w:spacing w:before="60"/>
        <w:jc w:val="both"/>
      </w:pPr>
      <w:r>
        <w:t>Estrutura de dados que registra a participação dos interessados nos eventos de seleção.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700"/>
        <w:gridCol w:w="2700"/>
        <w:gridCol w:w="2700"/>
        <w:gridCol w:w="2700"/>
      </w:tblGrid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FK / Referência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Chave primária (PK).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interessado_id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FK para </w:t>
            </w:r>
            <w:proofErr w:type="spellStart"/>
            <w:r>
              <w:rPr>
                <w:sz w:val="20"/>
                <w:szCs w:val="20"/>
              </w:rPr>
              <w:t>interessados_interessado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FK para </w:t>
            </w:r>
            <w:proofErr w:type="spellStart"/>
            <w:r>
              <w:rPr>
                <w:sz w:val="20"/>
                <w:szCs w:val="20"/>
              </w:rPr>
              <w:t>eventos_evento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data_inscricao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timestampz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Indexado para critérios de desempate.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Pendente, Classificado, Confirmado ou Desistente.</w:t>
            </w:r>
          </w:p>
        </w:tc>
      </w:tr>
    </w:tbl>
    <w:p w:rsidR="008B74A6" w:rsidRDefault="008B74A6">
      <w:pPr>
        <w:pStyle w:val="Heading3"/>
      </w:pPr>
    </w:p>
    <w:p w:rsidR="008B74A6" w:rsidRDefault="008B74A6">
      <w:pPr>
        <w:rPr>
          <w:b/>
          <w:bCs/>
          <w:sz w:val="28"/>
          <w:szCs w:val="28"/>
        </w:rPr>
      </w:pPr>
      <w:r>
        <w:br w:type="page"/>
      </w:r>
    </w:p>
    <w:p w:rsidR="008B74A6" w:rsidRDefault="008B74A6" w:rsidP="008B74A6">
      <w:pPr>
        <w:pStyle w:val="Heading3"/>
      </w:pPr>
      <w:r>
        <w:lastRenderedPageBreak/>
        <w:t>5. Diagrama de Entidades e Relacionamentos</w:t>
      </w:r>
    </w:p>
    <w:p w:rsidR="00E17F12" w:rsidRDefault="00E17F12" w:rsidP="00E17F12">
      <w:pPr>
        <w:jc w:val="center"/>
      </w:pPr>
      <w:r>
        <w:rPr>
          <w:noProof/>
        </w:rPr>
        <w:drawing>
          <wp:inline distT="0" distB="0" distL="0" distR="0">
            <wp:extent cx="6645910" cy="8383905"/>
            <wp:effectExtent l="38100" t="19050" r="21590" b="17145"/>
            <wp:docPr id="1" name="Imagem 0" descr="Diagrama ER - bdmetareciclagem - 27-04-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ER - bdmetareciclagem - 27-04-202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39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alpha val="64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proofErr w:type="spellStart"/>
      <w:r>
        <w:t>Diagrama-ER</w:t>
      </w:r>
      <w:proofErr w:type="spellEnd"/>
      <w:r>
        <w:t>---</w:t>
      </w:r>
      <w:proofErr w:type="spellStart"/>
      <w:r>
        <w:t>bdmetareciclagem</w:t>
      </w:r>
      <w:proofErr w:type="spellEnd"/>
      <w:r>
        <w:t>---27-04-2026.</w:t>
      </w:r>
      <w:proofErr w:type="spellStart"/>
      <w:r>
        <w:t>png</w:t>
      </w:r>
      <w:proofErr w:type="spellEnd"/>
    </w:p>
    <w:p w:rsidR="00C4358E" w:rsidRDefault="00C4358E" w:rsidP="00E17F12">
      <w:pPr>
        <w:jc w:val="center"/>
        <w:rPr>
          <w:b/>
          <w:bCs/>
          <w:sz w:val="28"/>
          <w:szCs w:val="28"/>
        </w:rPr>
      </w:pPr>
      <w:r>
        <w:br w:type="page"/>
      </w:r>
    </w:p>
    <w:p w:rsidR="00A04A9B" w:rsidRDefault="00CB1589">
      <w:pPr>
        <w:pStyle w:val="Heading3"/>
      </w:pPr>
      <w:r>
        <w:lastRenderedPageBreak/>
        <w:t xml:space="preserve">6. Dicionário de Dados — </w:t>
      </w:r>
      <w:proofErr w:type="spellStart"/>
      <w:r>
        <w:t>selecao_classificacao</w:t>
      </w:r>
      <w:proofErr w:type="spellEnd"/>
    </w:p>
    <w:p w:rsidR="00A04A9B" w:rsidRDefault="00CB1589">
      <w:pPr>
        <w:spacing w:before="60"/>
        <w:jc w:val="both"/>
      </w:pPr>
      <w:r>
        <w:t>Entidade responsável por armazenar o resultado do processamento do ranking.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inscricao_id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posicao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data_processamento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timestampz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</w:tbl>
    <w:p w:rsidR="00A04A9B" w:rsidRDefault="00A04A9B">
      <w:pPr>
        <w:pBdr>
          <w:bottom w:val="single" w:sz="6" w:space="0" w:color="CCCCCC"/>
        </w:pBdr>
        <w:spacing w:before="200" w:after="200"/>
      </w:pPr>
    </w:p>
    <w:p w:rsidR="00A04A9B" w:rsidRDefault="00CB1589">
      <w:pPr>
        <w:spacing w:before="60"/>
        <w:jc w:val="center"/>
      </w:pPr>
      <w:r>
        <w:rPr>
          <w:color w:val="757575"/>
          <w:sz w:val="18"/>
          <w:szCs w:val="18"/>
        </w:rPr>
        <w:t>Documento elaborado em 12 de maio de 2026. As informações contidas são de responsabilidade do solicitante.</w:t>
      </w:r>
    </w:p>
    <w:sectPr w:rsidR="00A04A9B" w:rsidSect="00A04A9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45559"/>
    <w:multiLevelType w:val="hybridMultilevel"/>
    <w:tmpl w:val="009E17FC"/>
    <w:lvl w:ilvl="0" w:tplc="9080039C">
      <w:start w:val="1"/>
      <w:numFmt w:val="bullet"/>
      <w:lvlText w:val="●"/>
      <w:lvlJc w:val="left"/>
      <w:pPr>
        <w:ind w:left="720" w:hanging="360"/>
      </w:pPr>
    </w:lvl>
    <w:lvl w:ilvl="1" w:tplc="E0E69C8A">
      <w:start w:val="1"/>
      <w:numFmt w:val="bullet"/>
      <w:lvlText w:val="○"/>
      <w:lvlJc w:val="left"/>
      <w:pPr>
        <w:ind w:left="1440" w:hanging="360"/>
      </w:pPr>
    </w:lvl>
    <w:lvl w:ilvl="2" w:tplc="F894F8AE">
      <w:start w:val="1"/>
      <w:numFmt w:val="bullet"/>
      <w:lvlText w:val="■"/>
      <w:lvlJc w:val="left"/>
      <w:pPr>
        <w:ind w:left="2160" w:hanging="360"/>
      </w:pPr>
    </w:lvl>
    <w:lvl w:ilvl="3" w:tplc="E0C8E49C">
      <w:start w:val="1"/>
      <w:numFmt w:val="bullet"/>
      <w:lvlText w:val="●"/>
      <w:lvlJc w:val="left"/>
      <w:pPr>
        <w:ind w:left="2880" w:hanging="360"/>
      </w:pPr>
    </w:lvl>
    <w:lvl w:ilvl="4" w:tplc="D1BEDC1E">
      <w:start w:val="1"/>
      <w:numFmt w:val="bullet"/>
      <w:lvlText w:val="○"/>
      <w:lvlJc w:val="left"/>
      <w:pPr>
        <w:ind w:left="3600" w:hanging="360"/>
      </w:pPr>
    </w:lvl>
    <w:lvl w:ilvl="5" w:tplc="185028A0">
      <w:start w:val="1"/>
      <w:numFmt w:val="bullet"/>
      <w:lvlText w:val="■"/>
      <w:lvlJc w:val="left"/>
      <w:pPr>
        <w:ind w:left="4320" w:hanging="360"/>
      </w:pPr>
    </w:lvl>
    <w:lvl w:ilvl="6" w:tplc="018485F0">
      <w:start w:val="1"/>
      <w:numFmt w:val="bullet"/>
      <w:lvlText w:val="●"/>
      <w:lvlJc w:val="left"/>
      <w:pPr>
        <w:ind w:left="5040" w:hanging="360"/>
      </w:pPr>
    </w:lvl>
    <w:lvl w:ilvl="7" w:tplc="B4D603E0">
      <w:start w:val="1"/>
      <w:numFmt w:val="bullet"/>
      <w:lvlText w:val="●"/>
      <w:lvlJc w:val="left"/>
      <w:pPr>
        <w:ind w:left="5760" w:hanging="360"/>
      </w:pPr>
    </w:lvl>
    <w:lvl w:ilvl="8" w:tplc="EA36AC6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3B91688"/>
    <w:multiLevelType w:val="hybridMultilevel"/>
    <w:tmpl w:val="0F80FD38"/>
    <w:lvl w:ilvl="0" w:tplc="06368598">
      <w:start w:val="1"/>
      <w:numFmt w:val="decimal"/>
      <w:lvlText w:val="%1."/>
      <w:lvlJc w:val="left"/>
      <w:pPr>
        <w:ind w:left="720" w:hanging="360"/>
      </w:pPr>
    </w:lvl>
    <w:lvl w:ilvl="1" w:tplc="95C40A80">
      <w:numFmt w:val="decimal"/>
      <w:lvlText w:val=""/>
      <w:lvlJc w:val="left"/>
    </w:lvl>
    <w:lvl w:ilvl="2" w:tplc="4FFAAF5E">
      <w:numFmt w:val="decimal"/>
      <w:lvlText w:val=""/>
      <w:lvlJc w:val="left"/>
    </w:lvl>
    <w:lvl w:ilvl="3" w:tplc="5470DF3E">
      <w:numFmt w:val="decimal"/>
      <w:lvlText w:val=""/>
      <w:lvlJc w:val="left"/>
    </w:lvl>
    <w:lvl w:ilvl="4" w:tplc="FE9E7978">
      <w:numFmt w:val="decimal"/>
      <w:lvlText w:val=""/>
      <w:lvlJc w:val="left"/>
    </w:lvl>
    <w:lvl w:ilvl="5" w:tplc="8446184C">
      <w:numFmt w:val="decimal"/>
      <w:lvlText w:val=""/>
      <w:lvlJc w:val="left"/>
    </w:lvl>
    <w:lvl w:ilvl="6" w:tplc="933C0DC6">
      <w:numFmt w:val="decimal"/>
      <w:lvlText w:val=""/>
      <w:lvlJc w:val="left"/>
    </w:lvl>
    <w:lvl w:ilvl="7" w:tplc="C9823574">
      <w:numFmt w:val="decimal"/>
      <w:lvlText w:val=""/>
      <w:lvlJc w:val="left"/>
    </w:lvl>
    <w:lvl w:ilvl="8" w:tplc="2A5423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A04A9B"/>
    <w:rsid w:val="00051AE5"/>
    <w:rsid w:val="001F7880"/>
    <w:rsid w:val="007160D8"/>
    <w:rsid w:val="008B74A6"/>
    <w:rsid w:val="00A04A9B"/>
    <w:rsid w:val="00C4358E"/>
    <w:rsid w:val="00CB1589"/>
    <w:rsid w:val="00E17F12"/>
    <w:rsid w:val="00F15C4F"/>
    <w:rsid w:val="00F34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4A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A04A9B"/>
    <w:rPr>
      <w:sz w:val="56"/>
      <w:szCs w:val="56"/>
    </w:rPr>
  </w:style>
  <w:style w:type="paragraph" w:customStyle="1" w:styleId="Heading1">
    <w:name w:val="Heading 1"/>
    <w:qFormat/>
    <w:rsid w:val="00A04A9B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A04A9B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A04A9B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A04A9B"/>
    <w:rPr>
      <w:i/>
      <w:iCs/>
      <w:color w:val="2E74B5"/>
    </w:rPr>
  </w:style>
  <w:style w:type="paragraph" w:customStyle="1" w:styleId="Heading5">
    <w:name w:val="Heading 5"/>
    <w:qFormat/>
    <w:rsid w:val="00A04A9B"/>
    <w:rPr>
      <w:color w:val="2E74B5"/>
    </w:rPr>
  </w:style>
  <w:style w:type="paragraph" w:customStyle="1" w:styleId="Heading6">
    <w:name w:val="Heading 6"/>
    <w:qFormat/>
    <w:rsid w:val="00A04A9B"/>
    <w:rPr>
      <w:color w:val="1F4D78"/>
    </w:rPr>
  </w:style>
  <w:style w:type="paragraph" w:customStyle="1" w:styleId="Forte1">
    <w:name w:val="Forte1"/>
    <w:qFormat/>
    <w:rsid w:val="00A04A9B"/>
    <w:rPr>
      <w:b/>
      <w:bCs/>
    </w:rPr>
  </w:style>
  <w:style w:type="paragraph" w:styleId="PargrafodaLista">
    <w:name w:val="List Paragraph"/>
    <w:qFormat/>
    <w:rsid w:val="00A04A9B"/>
  </w:style>
  <w:style w:type="character" w:styleId="Hyperlink">
    <w:name w:val="Hyperlink"/>
    <w:uiPriority w:val="99"/>
    <w:unhideWhenUsed/>
    <w:rsid w:val="00A04A9B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A04A9B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A04A9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A04A9B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7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7F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1053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6</cp:revision>
  <dcterms:created xsi:type="dcterms:W3CDTF">2026-05-12T16:00:00Z</dcterms:created>
  <dcterms:modified xsi:type="dcterms:W3CDTF">2026-05-13T14:17:00Z</dcterms:modified>
</cp:coreProperties>
</file>