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Guia de Design do Barber-App</w:t>
      </w:r>
    </w:p>
    <w:p>
      <w:pPr>
        <w:jc w:val="center"/>
      </w:pPr>
      <w:r>
        <w:t>Versão 1.0 — Setembro/2025</w:t>
      </w:r>
    </w:p>
    <w:p/>
    <w:p>
      <w:pPr>
        <w:pStyle w:val="Heading1"/>
      </w:pPr>
      <w:r>
        <w:t>1. Visão Geral</w:t>
      </w:r>
    </w:p>
    <w:p>
      <w:r>
        <w:t>Este documento consolida a identidade visual, diretrizes de UI/UX, componentes, fluxos e padrões de comunicação do Barber-App — um sistema de gestão, agendamento e operação para barbearias. O stakeholder primário é o barbeiro (autônomo ou equipe), com foco em eficiência operacional, redução de no-show e aumento de ocupação.</w:t>
      </w:r>
    </w:p>
    <w:p>
      <w:pPr>
        <w:pStyle w:val="Heading1"/>
      </w:pPr>
      <w:r>
        <w:t>2. Essência da Marca</w:t>
      </w:r>
    </w:p>
    <w:p>
      <w:r>
        <w:t>Personalidade: confiável, moderna, eficiente, parceira do barbeiro.</w:t>
      </w:r>
    </w:p>
    <w:p>
      <w:r>
        <w:t>Promessa: agenda inteligente + gestão simples + dados acionáveis.</w:t>
      </w:r>
    </w:p>
    <w:p>
      <w:r>
        <w:t>Pilares: tradição (barbearia), tecnologia (nuvem/IA), resultado (ocupação e fidelização).</w:t>
      </w:r>
    </w:p>
    <w:p>
      <w:pPr>
        <w:pStyle w:val="Heading1"/>
      </w:pPr>
      <w:r>
        <w:t>3. Logo (Conceito e Uso)</w:t>
      </w:r>
    </w:p>
    <w:p>
      <w:r>
        <w:t>Conceito: combinação de tesoura estilizada com símbolo digital (nuvem/pixel) dentro de uma forma circular que remete a um espelho de barbearia. Versões: Completa (símbolo + logotipo) e Ícone (aplicativos e favicon).</w:t>
      </w:r>
    </w:p>
    <w:p>
      <w:r>
        <w:t>Clear space: altura mínima do ‘B’ ao redor do conjunto.</w:t>
      </w:r>
    </w:p>
    <w:p>
      <w:r>
        <w:t>Mínimo digital: 24px (ícone); 120px (logotipo horizontal).</w:t>
      </w:r>
    </w:p>
    <w:p>
      <w:r>
        <w:t>Fundos: preferir fundo claro (#F2F2F2) ou escuro (#1C1C1C); evitar baixo contraste.</w:t>
      </w:r>
    </w:p>
    <w:p>
      <w:pPr>
        <w:pStyle w:val="Heading1"/>
      </w:pPr>
      <w:r>
        <w:t>4. Paleta de Cores</w:t>
      </w:r>
    </w:p>
    <w:p>
      <w:r>
        <w:t>Códigos e usos recomendados. A coluna ‘Amostra’ representa a cor aplicada.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Amostra</w:t>
            </w:r>
          </w:p>
        </w:tc>
        <w:tc>
          <w:tcPr>
            <w:tcW w:type="dxa" w:w="2160"/>
          </w:tcPr>
          <w:p>
            <w:r>
              <w:t>Nome</w:t>
            </w:r>
          </w:p>
        </w:tc>
        <w:tc>
          <w:tcPr>
            <w:tcW w:type="dxa" w:w="2160"/>
          </w:tcPr>
          <w:p>
            <w:r>
              <w:t>HEX</w:t>
            </w:r>
          </w:p>
        </w:tc>
        <w:tc>
          <w:tcPr>
            <w:tcW w:type="dxa" w:w="2160"/>
          </w:tcPr>
          <w:p>
            <w:r>
              <w:t>Uso</w:t>
            </w:r>
          </w:p>
        </w:tc>
      </w:tr>
      <w:tr>
        <w:tc>
          <w:tcPr>
            <w:tcW w:type="dxa" w:w="2160"/>
            <w:shd w:fill="1C1C1C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Preto Grafite</w:t>
            </w:r>
          </w:p>
        </w:tc>
        <w:tc>
          <w:tcPr>
            <w:tcW w:type="dxa" w:w="2160"/>
          </w:tcPr>
          <w:p>
            <w:r>
              <w:t>#1C1C1C</w:t>
            </w:r>
          </w:p>
        </w:tc>
        <w:tc>
          <w:tcPr>
            <w:tcW w:type="dxa" w:w="2160"/>
          </w:tcPr>
          <w:p>
            <w:r>
              <w:t>Background escuro, cabeçalhos, textos sobre fundos claros</w:t>
            </w:r>
          </w:p>
        </w:tc>
      </w:tr>
      <w:tr>
        <w:tc>
          <w:tcPr>
            <w:tcW w:type="dxa" w:w="2160"/>
            <w:shd w:fill="D4AF37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Dourado Premium</w:t>
            </w:r>
          </w:p>
        </w:tc>
        <w:tc>
          <w:tcPr>
            <w:tcW w:type="dxa" w:w="2160"/>
          </w:tcPr>
          <w:p>
            <w:r>
              <w:t>#D4AF37</w:t>
            </w:r>
          </w:p>
        </w:tc>
        <w:tc>
          <w:tcPr>
            <w:tcW w:type="dxa" w:w="2160"/>
          </w:tcPr>
          <w:p>
            <w:r>
              <w:t>Destaques, pontos/fidelidade, CTAs premium</w:t>
            </w:r>
          </w:p>
        </w:tc>
      </w:tr>
      <w:tr>
        <w:tc>
          <w:tcPr>
            <w:tcW w:type="dxa" w:w="2160"/>
            <w:shd w:fill="F2F2F2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Cinza Claro</w:t>
            </w:r>
          </w:p>
        </w:tc>
        <w:tc>
          <w:tcPr>
            <w:tcW w:type="dxa" w:w="2160"/>
          </w:tcPr>
          <w:p>
            <w:r>
              <w:t>#F2F2F2</w:t>
            </w:r>
          </w:p>
        </w:tc>
        <w:tc>
          <w:tcPr>
            <w:tcW w:type="dxa" w:w="2160"/>
          </w:tcPr>
          <w:p>
            <w:r>
              <w:t>Background claro, cartões, divisores</w:t>
            </w:r>
          </w:p>
        </w:tc>
      </w:tr>
      <w:tr>
        <w:tc>
          <w:tcPr>
            <w:tcW w:type="dxa" w:w="2160"/>
            <w:shd w:fill="1DB954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Verde Sucesso</w:t>
            </w:r>
          </w:p>
        </w:tc>
        <w:tc>
          <w:tcPr>
            <w:tcW w:type="dxa" w:w="2160"/>
          </w:tcPr>
          <w:p>
            <w:r>
              <w:t>#1DB954</w:t>
            </w:r>
          </w:p>
        </w:tc>
        <w:tc>
          <w:tcPr>
            <w:tcW w:type="dxa" w:w="2160"/>
          </w:tcPr>
          <w:p>
            <w:r>
              <w:t>Confirmações, status “Pago/Confirmado”</w:t>
            </w:r>
          </w:p>
        </w:tc>
      </w:tr>
      <w:tr>
        <w:tc>
          <w:tcPr>
            <w:tcW w:type="dxa" w:w="2160"/>
            <w:shd w:fill="E63946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Vermelho Alerta</w:t>
            </w:r>
          </w:p>
        </w:tc>
        <w:tc>
          <w:tcPr>
            <w:tcW w:type="dxa" w:w="2160"/>
          </w:tcPr>
          <w:p>
            <w:r>
              <w:t>#E63946</w:t>
            </w:r>
          </w:p>
        </w:tc>
        <w:tc>
          <w:tcPr>
            <w:tcW w:type="dxa" w:w="2160"/>
          </w:tcPr>
          <w:p>
            <w:r>
              <w:t>Erros, cancelamentos, avisos críticos</w:t>
            </w:r>
          </w:p>
        </w:tc>
      </w:tr>
    </w:tbl>
    <w:p/>
    <w:p>
      <w:pPr>
        <w:pStyle w:val="Heading1"/>
      </w:pPr>
      <w:r>
        <w:t>5. Tipografia</w:t>
      </w:r>
    </w:p>
    <w:p>
      <w:r>
        <w:t>Títulos/Logo: Montserrat (Bold/Medium).</w:t>
      </w:r>
    </w:p>
    <w:p>
      <w:r>
        <w:t>Texto corrido e UI: Inter (Regular/SemiBold).</w:t>
      </w:r>
    </w:p>
    <w:p>
      <w:r>
        <w:t>Numéricos e dados: Roboto Mono (Regular).</w:t>
      </w:r>
    </w:p>
    <w:p>
      <w:r>
        <w:t>Tamanhos sugeridos (base 16px):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Elemento</w:t>
            </w:r>
          </w:p>
        </w:tc>
        <w:tc>
          <w:tcPr>
            <w:tcW w:type="dxa" w:w="2880"/>
          </w:tcPr>
          <w:p>
            <w:r>
              <w:t>Peso</w:t>
            </w:r>
          </w:p>
        </w:tc>
        <w:tc>
          <w:tcPr>
            <w:tcW w:type="dxa" w:w="2880"/>
          </w:tcPr>
          <w:p>
            <w:r>
              <w:t>Tamanho</w:t>
            </w:r>
          </w:p>
        </w:tc>
      </w:tr>
      <w:tr>
        <w:tc>
          <w:tcPr>
            <w:tcW w:type="dxa" w:w="2880"/>
          </w:tcPr>
          <w:p>
            <w:r>
              <w:t>H1</w:t>
            </w:r>
          </w:p>
        </w:tc>
        <w:tc>
          <w:tcPr>
            <w:tcW w:type="dxa" w:w="2880"/>
          </w:tcPr>
          <w:p>
            <w:r>
              <w:t>Bold</w:t>
            </w:r>
          </w:p>
        </w:tc>
        <w:tc>
          <w:tcPr>
            <w:tcW w:type="dxa" w:w="2880"/>
          </w:tcPr>
          <w:p>
            <w:r>
              <w:t>28–32px</w:t>
            </w:r>
          </w:p>
        </w:tc>
      </w:tr>
      <w:tr>
        <w:tc>
          <w:tcPr>
            <w:tcW w:type="dxa" w:w="2880"/>
          </w:tcPr>
          <w:p>
            <w:r>
              <w:t>H2</w:t>
            </w:r>
          </w:p>
        </w:tc>
        <w:tc>
          <w:tcPr>
            <w:tcW w:type="dxa" w:w="2880"/>
          </w:tcPr>
          <w:p>
            <w:r>
              <w:t>SemiBold</w:t>
            </w:r>
          </w:p>
        </w:tc>
        <w:tc>
          <w:tcPr>
            <w:tcW w:type="dxa" w:w="2880"/>
          </w:tcPr>
          <w:p>
            <w:r>
              <w:t>22–24px</w:t>
            </w:r>
          </w:p>
        </w:tc>
      </w:tr>
      <w:tr>
        <w:tc>
          <w:tcPr>
            <w:tcW w:type="dxa" w:w="2880"/>
          </w:tcPr>
          <w:p>
            <w:r>
              <w:t>H3</w:t>
            </w:r>
          </w:p>
        </w:tc>
        <w:tc>
          <w:tcPr>
            <w:tcW w:type="dxa" w:w="2880"/>
          </w:tcPr>
          <w:p>
            <w:r>
              <w:t>SemiBold</w:t>
            </w:r>
          </w:p>
        </w:tc>
        <w:tc>
          <w:tcPr>
            <w:tcW w:type="dxa" w:w="2880"/>
          </w:tcPr>
          <w:p>
            <w:r>
              <w:t>18–20px</w:t>
            </w:r>
          </w:p>
        </w:tc>
      </w:tr>
      <w:tr>
        <w:tc>
          <w:tcPr>
            <w:tcW w:type="dxa" w:w="2880"/>
          </w:tcPr>
          <w:p>
            <w:r>
              <w:t>Body</w:t>
            </w:r>
          </w:p>
        </w:tc>
        <w:tc>
          <w:tcPr>
            <w:tcW w:type="dxa" w:w="2880"/>
          </w:tcPr>
          <w:p>
            <w:r>
              <w:t>Regular</w:t>
            </w:r>
          </w:p>
        </w:tc>
        <w:tc>
          <w:tcPr>
            <w:tcW w:type="dxa" w:w="2880"/>
          </w:tcPr>
          <w:p>
            <w:r>
              <w:t>14–16px</w:t>
            </w:r>
          </w:p>
        </w:tc>
      </w:tr>
      <w:tr>
        <w:tc>
          <w:tcPr>
            <w:tcW w:type="dxa" w:w="2880"/>
          </w:tcPr>
          <w:p>
            <w:r>
              <w:t>Caption/Meta</w:t>
            </w:r>
          </w:p>
        </w:tc>
        <w:tc>
          <w:tcPr>
            <w:tcW w:type="dxa" w:w="2880"/>
          </w:tcPr>
          <w:p>
            <w:r>
              <w:t>Regular</w:t>
            </w:r>
          </w:p>
        </w:tc>
        <w:tc>
          <w:tcPr>
            <w:tcW w:type="dxa" w:w="2880"/>
          </w:tcPr>
          <w:p>
            <w:r>
              <w:t>12–13px</w:t>
            </w:r>
          </w:p>
        </w:tc>
      </w:tr>
      <w:tr>
        <w:tc>
          <w:tcPr>
            <w:tcW w:type="dxa" w:w="2880"/>
          </w:tcPr>
          <w:p>
            <w:r>
              <w:t>Números/KPIs</w:t>
            </w:r>
          </w:p>
        </w:tc>
        <w:tc>
          <w:tcPr>
            <w:tcW w:type="dxa" w:w="2880"/>
          </w:tcPr>
          <w:p>
            <w:r>
              <w:t>Regular</w:t>
            </w:r>
          </w:p>
        </w:tc>
        <w:tc>
          <w:tcPr>
            <w:tcW w:type="dxa" w:w="2880"/>
          </w:tcPr>
          <w:p>
            <w:r>
              <w:t>16–20px (monoespaçada)</w:t>
            </w:r>
          </w:p>
        </w:tc>
      </w:tr>
    </w:tbl>
    <w:p/>
    <w:p>
      <w:pPr>
        <w:pStyle w:val="Heading1"/>
      </w:pPr>
      <w:r>
        <w:t>6. Layout, Grid e Espaçamentos</w:t>
      </w:r>
    </w:p>
    <w:p>
      <w:r>
        <w:t>Grid: 8pt (múltiplos de 8 para padding/margens); cards com 12–16px internos.</w:t>
      </w:r>
    </w:p>
    <w:p>
      <w:r>
        <w:t>Raios: 12–16px (cartões e inputs) para estética moderna; botões 20–24px.</w:t>
      </w:r>
    </w:p>
    <w:p>
      <w:r>
        <w:t>Sombras: suaves (elevations de 2 a 8) apenas em elementos interativos.</w:t>
      </w:r>
    </w:p>
    <w:p>
      <w:r>
        <w:t>Dark mode recomendado usando Grafite como base e Dourado/Verde como acento.</w:t>
      </w:r>
    </w:p>
    <w:p>
      <w:pPr>
        <w:pStyle w:val="Heading1"/>
      </w:pPr>
      <w:r>
        <w:t>7. Tokens de UI (Design System)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Token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  <w:tc>
          <w:tcPr>
            <w:tcW w:type="dxa" w:w="2880"/>
          </w:tcPr>
          <w:p>
            <w:r>
              <w:t>Descrição</w:t>
            </w:r>
          </w:p>
        </w:tc>
      </w:tr>
      <w:tr>
        <w:tc>
          <w:tcPr>
            <w:tcW w:type="dxa" w:w="2880"/>
          </w:tcPr>
          <w:p>
            <w:r>
              <w:t>--radius-md</w:t>
            </w:r>
          </w:p>
        </w:tc>
        <w:tc>
          <w:tcPr>
            <w:tcW w:type="dxa" w:w="2880"/>
          </w:tcPr>
          <w:p>
            <w:r>
              <w:t>12px</w:t>
            </w:r>
          </w:p>
        </w:tc>
        <w:tc>
          <w:tcPr>
            <w:tcW w:type="dxa" w:w="2880"/>
          </w:tcPr>
          <w:p>
            <w:r>
              <w:t>Raio padrão de cartões</w:t>
            </w:r>
          </w:p>
        </w:tc>
      </w:tr>
      <w:tr>
        <w:tc>
          <w:tcPr>
            <w:tcW w:type="dxa" w:w="2880"/>
          </w:tcPr>
          <w:p>
            <w:r>
              <w:t>--radius-lg</w:t>
            </w:r>
          </w:p>
        </w:tc>
        <w:tc>
          <w:tcPr>
            <w:tcW w:type="dxa" w:w="2880"/>
          </w:tcPr>
          <w:p>
            <w:r>
              <w:t>16px</w:t>
            </w:r>
          </w:p>
        </w:tc>
        <w:tc>
          <w:tcPr>
            <w:tcW w:type="dxa" w:w="2880"/>
          </w:tcPr>
          <w:p>
            <w:r>
              <w:t>Raio para modais e painéis</w:t>
            </w:r>
          </w:p>
        </w:tc>
      </w:tr>
      <w:tr>
        <w:tc>
          <w:tcPr>
            <w:tcW w:type="dxa" w:w="2880"/>
          </w:tcPr>
          <w:p>
            <w:r>
              <w:t>--space-sm</w:t>
            </w:r>
          </w:p>
        </w:tc>
        <w:tc>
          <w:tcPr>
            <w:tcW w:type="dxa" w:w="2880"/>
          </w:tcPr>
          <w:p>
            <w:r>
              <w:t>8px</w:t>
            </w:r>
          </w:p>
        </w:tc>
        <w:tc>
          <w:tcPr>
            <w:tcW w:type="dxa" w:w="2880"/>
          </w:tcPr>
          <w:p>
            <w:r>
              <w:t>Padding pequeno</w:t>
            </w:r>
          </w:p>
        </w:tc>
      </w:tr>
      <w:tr>
        <w:tc>
          <w:tcPr>
            <w:tcW w:type="dxa" w:w="2880"/>
          </w:tcPr>
          <w:p>
            <w:r>
              <w:t>--space-md</w:t>
            </w:r>
          </w:p>
        </w:tc>
        <w:tc>
          <w:tcPr>
            <w:tcW w:type="dxa" w:w="2880"/>
          </w:tcPr>
          <w:p>
            <w:r>
              <w:t>16px</w:t>
            </w:r>
          </w:p>
        </w:tc>
        <w:tc>
          <w:tcPr>
            <w:tcW w:type="dxa" w:w="2880"/>
          </w:tcPr>
          <w:p>
            <w:r>
              <w:t>Padding padrão</w:t>
            </w:r>
          </w:p>
        </w:tc>
      </w:tr>
      <w:tr>
        <w:tc>
          <w:tcPr>
            <w:tcW w:type="dxa" w:w="2880"/>
          </w:tcPr>
          <w:p>
            <w:r>
              <w:t>--space-lg</w:t>
            </w:r>
          </w:p>
        </w:tc>
        <w:tc>
          <w:tcPr>
            <w:tcW w:type="dxa" w:w="2880"/>
          </w:tcPr>
          <w:p>
            <w:r>
              <w:t>24px</w:t>
            </w:r>
          </w:p>
        </w:tc>
        <w:tc>
          <w:tcPr>
            <w:tcW w:type="dxa" w:w="2880"/>
          </w:tcPr>
          <w:p>
            <w:r>
              <w:t>Seções e containers</w:t>
            </w:r>
          </w:p>
        </w:tc>
      </w:tr>
      <w:tr>
        <w:tc>
          <w:tcPr>
            <w:tcW w:type="dxa" w:w="2880"/>
          </w:tcPr>
          <w:p>
            <w:r>
              <w:t>--border</w:t>
            </w:r>
          </w:p>
        </w:tc>
        <w:tc>
          <w:tcPr>
            <w:tcW w:type="dxa" w:w="2880"/>
          </w:tcPr>
          <w:p>
            <w:r>
              <w:t>1px #E0E0E0</w:t>
            </w:r>
          </w:p>
        </w:tc>
        <w:tc>
          <w:tcPr>
            <w:tcW w:type="dxa" w:w="2880"/>
          </w:tcPr>
          <w:p>
            <w:r>
              <w:t>Bordas e divisores claros</w:t>
            </w:r>
          </w:p>
        </w:tc>
      </w:tr>
      <w:tr>
        <w:tc>
          <w:tcPr>
            <w:tcW w:type="dxa" w:w="2880"/>
          </w:tcPr>
          <w:p>
            <w:r>
              <w:t>--focus</w:t>
            </w:r>
          </w:p>
        </w:tc>
        <w:tc>
          <w:tcPr>
            <w:tcW w:type="dxa" w:w="2880"/>
          </w:tcPr>
          <w:p>
            <w:r>
              <w:t>2px outline #1DB954</w:t>
            </w:r>
          </w:p>
        </w:tc>
        <w:tc>
          <w:tcPr>
            <w:tcW w:type="dxa" w:w="2880"/>
          </w:tcPr>
          <w:p>
            <w:r>
              <w:t>Acessibilidade foco</w:t>
            </w:r>
          </w:p>
        </w:tc>
      </w:tr>
    </w:tbl>
    <w:p>
      <w:pPr>
        <w:pStyle w:val="Heading1"/>
      </w:pPr>
      <w:r>
        <w:t>8. Componentes (Estados e Comportamentos)</w:t>
      </w:r>
    </w:p>
    <w:p>
      <w:r>
        <w:t>Botões: Primário (Dourado), Secundário (Grafite com texto claro), Tertiário (texto). Estados: normal, hover, pressed, disabled.</w:t>
      </w:r>
    </w:p>
    <w:p>
      <w:r>
        <w:t>Inputs: label acima, placeholder descritivo, ajuda/erro em vermelho suave.</w:t>
      </w:r>
    </w:p>
    <w:p>
      <w:r>
        <w:t>Chips/Tags: status de agendamento (Pendente, Confirmado, Cancelado, No-show).</w:t>
      </w:r>
    </w:p>
    <w:p>
      <w:r>
        <w:t>Cards: agendamento (hora, cliente, serviço, status e ações rápidas).</w:t>
      </w:r>
    </w:p>
    <w:p>
      <w:r>
        <w:t>Toasts/Feedback: sucesso (Verde), erro (Vermelho), info (Grafite).</w:t>
      </w:r>
    </w:p>
    <w:p>
      <w:pPr>
        <w:pStyle w:val="Heading1"/>
      </w:pPr>
      <w:r>
        <w:t>9. Acessibilidade</w:t>
      </w:r>
    </w:p>
    <w:p>
      <w:r>
        <w:t>Contraste mínimo WCAG AA; tamanho mínimo 14px; navegação por teclado; áreas de toque ≥ 44px; rótulos claros.</w:t>
      </w:r>
    </w:p>
    <w:p>
      <w:r>
        <w:t>Ícones sempre com texto alternativo; não usar cor como única forma de sinalização.</w:t>
      </w:r>
    </w:p>
    <w:p>
      <w:pPr>
        <w:pStyle w:val="Heading1"/>
      </w:pPr>
      <w:r>
        <w:t>10. Voz e Tom</w:t>
      </w:r>
    </w:p>
    <w:p>
      <w:r>
        <w:t>Tom: direto e parceiro. Microcópias focadas em resultado e clareza (ex: “Seu horário está confirmado!”).</w:t>
      </w:r>
    </w:p>
    <w:p>
      <w:r>
        <w:t>Evitar jargões técnicos com clientes; com barbeiros, permitir termos operacionais (encaixes, no-show, ticket médio).</w:t>
      </w:r>
    </w:p>
    <w:p>
      <w:pPr>
        <w:pStyle w:val="Heading1"/>
      </w:pPr>
      <w:r>
        <w:t>11. Fluxos Principais</w:t>
      </w:r>
    </w:p>
    <w:p>
      <w:r>
        <w:t>11.1 Agendamento (Cliente): selecionar barbearia → serviço → barbeiro → data/hora → confirmar → Pix → recibo/notificação.</w:t>
      </w:r>
    </w:p>
    <w:p>
      <w:r>
        <w:t>11.2 Agenda (Barbeiro): ver dia/semana → abrir card → confirmar/ajustar → enviar lembrete → marcar concluído.</w:t>
      </w:r>
    </w:p>
    <w:p>
      <w:r>
        <w:t>11.3 Financeiro: registrar pagamentos → conciliar Pix/taxas → fechar caixa → relatórios.</w:t>
      </w:r>
    </w:p>
    <w:p>
      <w:r>
        <w:t>11.4 Campanhas/Notícias: criar segmento → compor mensagem → agendar → enviar → medir leitura/conversão.</w:t>
      </w:r>
    </w:p>
    <w:p>
      <w:r>
        <w:t>11.5 Fidelidade: acumular pontos → ver extrato → resgatar serviços/pacotes.</w:t>
      </w:r>
    </w:p>
    <w:p>
      <w:pPr>
        <w:pStyle w:val="Heading1"/>
      </w:pPr>
      <w:r>
        <w:t>12. Wireframes (descrição)</w:t>
      </w:r>
    </w:p>
    <w:p>
      <w:r>
        <w:t>Login/Registro: logo central, botões para Cliente/Barbeiro, social login (Google/Apple).</w:t>
      </w:r>
    </w:p>
    <w:p>
      <w:r>
        <w:t>Dashboard Barbeiro: agenda do dia, KPIs rápidos (ocupação, no-show, receita), atalhos a Relatórios/Financeiro/Campanhas.</w:t>
      </w:r>
    </w:p>
    <w:p>
      <w:r>
        <w:t>Agendamento Cliente: calendário, lista de serviços, barbeiros, tempo e preço estimados, confirmação e QR Pix.</w:t>
      </w:r>
    </w:p>
    <w:p>
      <w:r>
        <w:t>Relatórios: gráficos de ocupação por semana/mês, ticket médio, no-show; filtros por barbeiro/serviço.</w:t>
      </w:r>
    </w:p>
    <w:p>
      <w:r>
        <w:t>Fidelidade: saldo de pontos, benefícios disponíveis, regras de resgate, CTA para resgatar.</w:t>
      </w:r>
    </w:p>
    <w:p>
      <w:r>
        <w:t>Notificações: preferências (push, e-mail, SMS), lembretes automáticos antes do horário e no dia anterior.</w:t>
      </w:r>
    </w:p>
    <w:p>
      <w:pPr>
        <w:pStyle w:val="Heading1"/>
      </w:pPr>
      <w:r>
        <w:t>13. Notificações e Lembretes</w:t>
      </w:r>
    </w:p>
    <w:p>
      <w:r>
        <w:t>Regras padrão: T-24h e T-2h; confirmação ativa do cliente; reenvio em caso de silêncio após 1h.</w:t>
      </w:r>
    </w:p>
    <w:p>
      <w:r>
        <w:t>Mensagens de aniversário com cupom; campanhas com medição de leitura e clique.</w:t>
      </w:r>
    </w:p>
    <w:p>
      <w:pPr>
        <w:pStyle w:val="Heading1"/>
      </w:pPr>
      <w:r>
        <w:t>14. Privacidade e LGPD</w:t>
      </w:r>
    </w:p>
    <w:p>
      <w:r>
        <w:t xml:space="preserve">Coleta mínima de dados pessoais; consentimento claro para comunicações; relatórios com dados agregados; </w:t>
      </w:r>
    </w:p>
    <w:p>
      <w:r>
        <w:t>políticas para retenção/anonimização; DPO e canal de atendimento ao titular dos dados.</w:t>
      </w:r>
    </w:p>
    <w:p>
      <w:pPr>
        <w:pStyle w:val="Heading1"/>
      </w:pPr>
      <w:r>
        <w:t>15. Exemplos de Composição Visual</w:t>
      </w:r>
    </w:p>
    <w:p>
      <w:r>
        <w:t>Cards de agendamento usam Grafite como título, Cinza Claro de fundo e chips de status coloridos.</w:t>
      </w:r>
    </w:p>
    <w:p>
      <w:r>
        <w:t>CTAs primários em Dourado; ações destrutivas em Vermelho; confirmações em Verde.</w:t>
      </w:r>
    </w:p>
    <w:p>
      <w:pPr>
        <w:pStyle w:val="Heading1"/>
      </w:pPr>
      <w:r>
        <w:t>16. Roadmap de Protótipos (Figma)</w:t>
      </w:r>
    </w:p>
    <w:p>
      <w:r>
        <w:t>Entrega Fase 1: Login, Agenda Barbeiro (semana/dia), Agendamento Cliente, Fidelidade.</w:t>
      </w:r>
    </w:p>
    <w:p>
      <w:r>
        <w:t>Entrega Fase 2: Financeiro (fluxo de caixa), Relatórios (KPIs), Campanhas.</w:t>
      </w:r>
    </w:p>
    <w:p>
      <w:r>
        <w:t>Entrega Fase 3: Dark mode e componentes avançados (drag-and-drop na agenda).</w:t>
      </w:r>
    </w:p>
    <w:p>
      <w:pPr>
        <w:pStyle w:val="Heading1"/>
      </w:pPr>
      <w:r>
        <w:t>Anexo A — Checklist de Implementação de Marca</w:t>
      </w:r>
    </w:p>
    <w:p>
      <w:r>
        <w:t>• Logotipo (horizontal e ícone) exportado em SVG/PNG (1x,2x,3x).</w:t>
      </w:r>
    </w:p>
    <w:p>
      <w:r>
        <w:t>• Paleta aplicada ao tema claro/escuro.</w:t>
      </w:r>
    </w:p>
    <w:p>
      <w:r>
        <w:t>• Tokens de UI integrados no design system.</w:t>
      </w:r>
    </w:p>
    <w:p>
      <w:r>
        <w:t>• Componentes básicos com estados (botões, inputs, cards, chips).</w:t>
      </w:r>
    </w:p>
    <w:p>
      <w:r>
        <w:t>• Diretrizes de acessibilidade validadas (contraste/teclado).</w:t>
      </w:r>
    </w:p>
    <w:p>
      <w:r>
        <w:t>• Textos de sistema revisados (voz e tom).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