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8DD2" w14:textId="77777777" w:rsidR="00FD35EF" w:rsidRDefault="00FD35EF" w:rsidP="00FD35EF">
      <w:pPr>
        <w:spacing w:after="200" w:line="360" w:lineRule="auto"/>
        <w:jc w:val="center"/>
        <w:rPr>
          <w:rFonts w:ascii="Times New Roman" w:eastAsia="Calibri" w:hAnsi="Times New Roman" w:cs="Times New Roman"/>
          <w:b/>
          <w:kern w:val="0"/>
          <w14:ligatures w14:val="none"/>
        </w:rPr>
      </w:pPr>
    </w:p>
    <w:p w14:paraId="7F8AB456" w14:textId="77777777" w:rsidR="00FD35EF" w:rsidRDefault="00FD35EF" w:rsidP="00FD35EF">
      <w:pPr>
        <w:spacing w:after="200" w:line="360" w:lineRule="auto"/>
        <w:jc w:val="center"/>
        <w:rPr>
          <w:rFonts w:ascii="Times New Roman" w:eastAsia="Calibri" w:hAnsi="Times New Roman" w:cs="Times New Roman"/>
          <w:b/>
          <w:kern w:val="0"/>
          <w14:ligatures w14:val="none"/>
        </w:rPr>
      </w:pPr>
    </w:p>
    <w:p w14:paraId="07353B9C" w14:textId="77777777" w:rsidR="00FD35EF" w:rsidRPr="00FD35EF" w:rsidRDefault="00FD35EF" w:rsidP="00FD35EF">
      <w:pPr>
        <w:spacing w:after="200" w:line="360" w:lineRule="auto"/>
        <w:jc w:val="center"/>
        <w:rPr>
          <w:rFonts w:ascii="Times New Roman" w:eastAsia="Calibri" w:hAnsi="Times New Roman" w:cs="Times New Roman"/>
          <w:b/>
          <w:kern w:val="0"/>
          <w14:ligatures w14:val="none"/>
        </w:rPr>
      </w:pPr>
      <w:r w:rsidRPr="00FD35EF">
        <w:rPr>
          <w:rFonts w:ascii="Times New Roman" w:eastAsia="Calibri" w:hAnsi="Times New Roman" w:cs="Times New Roman"/>
          <w:b/>
          <w:kern w:val="0"/>
          <w14:ligatures w14:val="none"/>
        </w:rPr>
        <w:t>INSTITUTO TECNOLÓGICO DE COSTA RICA</w:t>
      </w:r>
    </w:p>
    <w:p w14:paraId="203C8699" w14:textId="77777777" w:rsidR="00FD35EF" w:rsidRPr="00FD35EF" w:rsidRDefault="00FD35EF" w:rsidP="00FD35EF">
      <w:pPr>
        <w:spacing w:after="200" w:line="360" w:lineRule="auto"/>
        <w:jc w:val="center"/>
        <w:rPr>
          <w:rFonts w:ascii="Times New Roman" w:eastAsia="Calibri" w:hAnsi="Times New Roman" w:cs="Times New Roman"/>
          <w:b/>
          <w:kern w:val="0"/>
          <w14:ligatures w14:val="none"/>
        </w:rPr>
      </w:pPr>
      <w:r w:rsidRPr="00FD35EF">
        <w:rPr>
          <w:rFonts w:ascii="Times New Roman" w:eastAsia="Calibri" w:hAnsi="Times New Roman" w:cs="Times New Roman"/>
          <w:b/>
          <w:kern w:val="0"/>
          <w14:ligatures w14:val="none"/>
        </w:rPr>
        <w:t>Escuela de Ingeniería en Computación</w:t>
      </w:r>
    </w:p>
    <w:p w14:paraId="4D045487" w14:textId="77777777" w:rsidR="00FD35EF" w:rsidRPr="00FD35EF" w:rsidRDefault="00FD35EF" w:rsidP="00FD35EF">
      <w:pPr>
        <w:spacing w:after="200" w:line="360" w:lineRule="auto"/>
        <w:jc w:val="center"/>
        <w:rPr>
          <w:rFonts w:ascii="Times New Roman" w:eastAsia="Calibri" w:hAnsi="Times New Roman" w:cs="Times New Roman"/>
          <w:b/>
          <w:kern w:val="0"/>
          <w14:ligatures w14:val="none"/>
        </w:rPr>
      </w:pPr>
      <w:r w:rsidRPr="00FD35EF">
        <w:rPr>
          <w:rFonts w:ascii="Times New Roman" w:eastAsia="Calibri" w:hAnsi="Times New Roman" w:cs="Times New Roman"/>
          <w:b/>
          <w:kern w:val="0"/>
          <w14:ligatures w14:val="none"/>
        </w:rPr>
        <w:t>Seguridad del Software</w:t>
      </w:r>
    </w:p>
    <w:p w14:paraId="3A2B9AAE"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35D9E4AC"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03265DB3"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71E54CE1"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04C33E11" w14:textId="77777777" w:rsidR="00FD35EF" w:rsidRP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Tarea 1 Legislación: "El Contrato Roto"</w:t>
      </w:r>
    </w:p>
    <w:p w14:paraId="5130D2FD" w14:textId="77777777" w:rsidR="00FD35EF" w:rsidRPr="00FD35EF" w:rsidRDefault="00FD35EF" w:rsidP="00FD35EF">
      <w:pPr>
        <w:spacing w:after="200" w:line="360" w:lineRule="auto"/>
        <w:jc w:val="center"/>
        <w:rPr>
          <w:rFonts w:ascii="Times New Roman" w:eastAsia="Calibri" w:hAnsi="Times New Roman" w:cs="Times New Roman"/>
          <w:i/>
          <w:kern w:val="0"/>
          <w14:ligatures w14:val="none"/>
        </w:rPr>
      </w:pPr>
      <w:r w:rsidRPr="00FD35EF">
        <w:rPr>
          <w:rFonts w:ascii="Times New Roman" w:eastAsia="Calibri" w:hAnsi="Times New Roman" w:cs="Times New Roman"/>
          <w:i/>
          <w:kern w:val="0"/>
          <w14:ligatures w14:val="none"/>
        </w:rPr>
        <w:t xml:space="preserve">Caso </w:t>
      </w:r>
      <w:proofErr w:type="spellStart"/>
      <w:r w:rsidRPr="00FD35EF">
        <w:rPr>
          <w:rFonts w:ascii="Times New Roman" w:eastAsia="Calibri" w:hAnsi="Times New Roman" w:cs="Times New Roman"/>
          <w:i/>
          <w:kern w:val="0"/>
          <w14:ligatures w14:val="none"/>
        </w:rPr>
        <w:t>MediSync</w:t>
      </w:r>
      <w:proofErr w:type="spellEnd"/>
      <w:r w:rsidRPr="00FD35EF">
        <w:rPr>
          <w:rFonts w:ascii="Times New Roman" w:eastAsia="Calibri" w:hAnsi="Times New Roman" w:cs="Times New Roman"/>
          <w:i/>
          <w:kern w:val="0"/>
          <w14:ligatures w14:val="none"/>
        </w:rPr>
        <w:t xml:space="preserve"> CR</w:t>
      </w:r>
    </w:p>
    <w:p w14:paraId="591B1252" w14:textId="77777777" w:rsidR="00FD35EF" w:rsidRP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i/>
          <w:kern w:val="0"/>
          <w14:ligatures w14:val="none"/>
        </w:rPr>
        <w:t xml:space="preserve">Rol: The </w:t>
      </w:r>
      <w:proofErr w:type="spellStart"/>
      <w:r w:rsidRPr="00FD35EF">
        <w:rPr>
          <w:rFonts w:ascii="Times New Roman" w:eastAsia="Calibri" w:hAnsi="Times New Roman" w:cs="Times New Roman"/>
          <w:i/>
          <w:kern w:val="0"/>
          <w14:ligatures w14:val="none"/>
        </w:rPr>
        <w:t>Devs</w:t>
      </w:r>
      <w:proofErr w:type="spellEnd"/>
      <w:r w:rsidRPr="00FD35EF">
        <w:rPr>
          <w:rFonts w:ascii="Times New Roman" w:eastAsia="Calibri" w:hAnsi="Times New Roman" w:cs="Times New Roman"/>
          <w:i/>
          <w:kern w:val="0"/>
          <w14:ligatures w14:val="none"/>
        </w:rPr>
        <w:t xml:space="preserve"> (La Defensa)</w:t>
      </w:r>
    </w:p>
    <w:p w14:paraId="7E9AA888"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0E4053F5" w14:textId="77777777" w:rsidR="00FD35EF" w:rsidRPr="00FD35EF" w:rsidRDefault="00FD35EF" w:rsidP="00FD35EF">
      <w:pPr>
        <w:spacing w:after="200" w:line="360" w:lineRule="auto"/>
        <w:rPr>
          <w:rFonts w:ascii="Times New Roman" w:eastAsia="Calibri" w:hAnsi="Times New Roman" w:cs="Times New Roman"/>
          <w:kern w:val="0"/>
          <w14:ligatures w14:val="none"/>
        </w:rPr>
      </w:pPr>
    </w:p>
    <w:p w14:paraId="54E19CDE" w14:textId="77777777" w:rsidR="00FD35EF" w:rsidRP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Estudiante: </w:t>
      </w:r>
      <w:r w:rsidRPr="00FD35EF">
        <w:rPr>
          <w:rFonts w:ascii="Times New Roman" w:eastAsia="Calibri" w:hAnsi="Times New Roman" w:cs="Times New Roman"/>
          <w:kern w:val="0"/>
          <w14:ligatures w14:val="none"/>
        </w:rPr>
        <w:t>Marcos Zamora Sánchez</w:t>
      </w:r>
    </w:p>
    <w:p w14:paraId="6E4BD9B2" w14:textId="77777777" w:rsidR="00FD35EF" w:rsidRP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Profesora: </w:t>
      </w:r>
      <w:r w:rsidRPr="00FD35EF">
        <w:rPr>
          <w:rFonts w:ascii="Times New Roman" w:eastAsia="Calibri" w:hAnsi="Times New Roman" w:cs="Times New Roman"/>
          <w:kern w:val="0"/>
          <w14:ligatures w14:val="none"/>
        </w:rPr>
        <w:t>Adriana Rojas Chavarría</w:t>
      </w:r>
    </w:p>
    <w:p w14:paraId="6EEB74D4" w14:textId="77777777" w:rsidR="00FD35EF" w:rsidRP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Grupo: </w:t>
      </w:r>
      <w:r w:rsidRPr="00FD35EF">
        <w:rPr>
          <w:rFonts w:ascii="Times New Roman" w:eastAsia="Calibri" w:hAnsi="Times New Roman" w:cs="Times New Roman"/>
          <w:kern w:val="0"/>
          <w14:ligatures w14:val="none"/>
        </w:rPr>
        <w:t>50</w:t>
      </w:r>
    </w:p>
    <w:p w14:paraId="59EDC9E6" w14:textId="77777777" w:rsidR="00FD35EF" w:rsidRDefault="00FD35EF" w:rsidP="00FD35EF">
      <w:pPr>
        <w:spacing w:after="200" w:line="360" w:lineRule="auto"/>
        <w:jc w:val="center"/>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Fecha de entrega: </w:t>
      </w:r>
      <w:r w:rsidRPr="00FD35EF">
        <w:rPr>
          <w:rFonts w:ascii="Times New Roman" w:eastAsia="Calibri" w:hAnsi="Times New Roman" w:cs="Times New Roman"/>
          <w:kern w:val="0"/>
          <w14:ligatures w14:val="none"/>
        </w:rPr>
        <w:t>1 de setiembre de 2026</w:t>
      </w:r>
    </w:p>
    <w:p w14:paraId="12675127" w14:textId="77777777" w:rsidR="00FD35EF" w:rsidRDefault="00FD35EF">
      <w:pPr>
        <w:rPr>
          <w:rFonts w:ascii="Times New Roman" w:eastAsia="Calibri" w:hAnsi="Times New Roman" w:cs="Times New Roman"/>
          <w:kern w:val="0"/>
          <w14:ligatures w14:val="none"/>
        </w:rPr>
      </w:pPr>
      <w:r>
        <w:rPr>
          <w:rFonts w:ascii="Times New Roman" w:eastAsia="Calibri" w:hAnsi="Times New Roman" w:cs="Times New Roman"/>
          <w:kern w:val="0"/>
          <w14:ligatures w14:val="none"/>
        </w:rPr>
        <w:br w:type="page"/>
      </w:r>
    </w:p>
    <w:p w14:paraId="20A0FB6B"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lastRenderedPageBreak/>
        <w:t>Introducción</w:t>
      </w:r>
    </w:p>
    <w:p w14:paraId="5AD9FED4" w14:textId="77777777"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CR sostiene que su operación cumple los marcos legales costarricenses aplicables al tratamiento de datos personales, la protección de su propiedad intelectual y la prevención de delitos informáticos. El presente escrito responde a los tres señalamientos de la denuncia (1) supuesto intercambio de historiales clínicos con aseguradoras sin consentimiento explícito, (2) replicación del algoritmo de diagnóstico por un competidor, y (3) acceso remoto de un </w:t>
      </w:r>
      <w:proofErr w:type="spellStart"/>
      <w:r w:rsidRPr="00FD35EF">
        <w:rPr>
          <w:rFonts w:ascii="Times New Roman" w:eastAsia="Calibri" w:hAnsi="Times New Roman" w:cs="Times New Roman"/>
          <w:kern w:val="0"/>
          <w14:ligatures w14:val="none"/>
        </w:rPr>
        <w:t>ex-empleado</w:t>
      </w:r>
      <w:proofErr w:type="spellEnd"/>
      <w:r w:rsidRPr="00FD35EF">
        <w:rPr>
          <w:rFonts w:ascii="Times New Roman" w:eastAsia="Calibri" w:hAnsi="Times New Roman" w:cs="Times New Roman"/>
          <w:kern w:val="0"/>
          <w14:ligatures w14:val="none"/>
        </w:rPr>
        <w:t xml:space="preserve"> tras su despido con fundamento en la Ley </w:t>
      </w:r>
      <w:proofErr w:type="spellStart"/>
      <w:r w:rsidRPr="00FD35EF">
        <w:rPr>
          <w:rFonts w:ascii="Times New Roman" w:eastAsia="Calibri" w:hAnsi="Times New Roman" w:cs="Times New Roman"/>
          <w:kern w:val="0"/>
          <w14:ligatures w14:val="none"/>
        </w:rPr>
        <w:t>N.°</w:t>
      </w:r>
      <w:proofErr w:type="spellEnd"/>
      <w:r w:rsidRPr="00FD35EF">
        <w:rPr>
          <w:rFonts w:ascii="Times New Roman" w:eastAsia="Calibri" w:hAnsi="Times New Roman" w:cs="Times New Roman"/>
          <w:kern w:val="0"/>
          <w14:ligatures w14:val="none"/>
        </w:rPr>
        <w:t xml:space="preserve"> 8968, su Reglamento, la Ley </w:t>
      </w:r>
      <w:proofErr w:type="spellStart"/>
      <w:r w:rsidRPr="00FD35EF">
        <w:rPr>
          <w:rFonts w:ascii="Times New Roman" w:eastAsia="Calibri" w:hAnsi="Times New Roman" w:cs="Times New Roman"/>
          <w:kern w:val="0"/>
          <w14:ligatures w14:val="none"/>
        </w:rPr>
        <w:t>N.°</w:t>
      </w:r>
      <w:proofErr w:type="spellEnd"/>
      <w:r w:rsidRPr="00FD35EF">
        <w:rPr>
          <w:rFonts w:ascii="Times New Roman" w:eastAsia="Calibri" w:hAnsi="Times New Roman" w:cs="Times New Roman"/>
          <w:kern w:val="0"/>
          <w14:ligatures w14:val="none"/>
        </w:rPr>
        <w:t xml:space="preserve"> 7975, la Ley </w:t>
      </w:r>
      <w:proofErr w:type="spellStart"/>
      <w:r w:rsidRPr="00FD35EF">
        <w:rPr>
          <w:rFonts w:ascii="Times New Roman" w:eastAsia="Calibri" w:hAnsi="Times New Roman" w:cs="Times New Roman"/>
          <w:kern w:val="0"/>
          <w14:ligatures w14:val="none"/>
        </w:rPr>
        <w:t>N.°</w:t>
      </w:r>
      <w:proofErr w:type="spellEnd"/>
      <w:r w:rsidRPr="00FD35EF">
        <w:rPr>
          <w:rFonts w:ascii="Times New Roman" w:eastAsia="Calibri" w:hAnsi="Times New Roman" w:cs="Times New Roman"/>
          <w:kern w:val="0"/>
          <w14:ligatures w14:val="none"/>
        </w:rPr>
        <w:t xml:space="preserve"> 6683 y la Ley </w:t>
      </w:r>
      <w:proofErr w:type="spellStart"/>
      <w:r w:rsidRPr="00FD35EF">
        <w:rPr>
          <w:rFonts w:ascii="Times New Roman" w:eastAsia="Calibri" w:hAnsi="Times New Roman" w:cs="Times New Roman"/>
          <w:kern w:val="0"/>
          <w14:ligatures w14:val="none"/>
        </w:rPr>
        <w:t>N.°</w:t>
      </w:r>
      <w:proofErr w:type="spellEnd"/>
      <w:r w:rsidRPr="00FD35EF">
        <w:rPr>
          <w:rFonts w:ascii="Times New Roman" w:eastAsia="Calibri" w:hAnsi="Times New Roman" w:cs="Times New Roman"/>
          <w:kern w:val="0"/>
          <w14:ligatures w14:val="none"/>
        </w:rPr>
        <w:t xml:space="preserve"> 9048.</w:t>
      </w:r>
    </w:p>
    <w:p w14:paraId="7811E560"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t>I. Ley aplicable a cada dato recolectado</w:t>
      </w:r>
    </w:p>
    <w:tbl>
      <w:tblPr>
        <w:tblStyle w:val="Tablaconcuadrcula"/>
        <w:tblW w:w="0" w:type="auto"/>
        <w:jc w:val="center"/>
        <w:tblInd w:w="0" w:type="dxa"/>
        <w:tblLook w:val="04A0" w:firstRow="1" w:lastRow="0" w:firstColumn="1" w:lastColumn="0" w:noHBand="0" w:noVBand="1"/>
      </w:tblPr>
      <w:tblGrid>
        <w:gridCol w:w="2961"/>
        <w:gridCol w:w="2929"/>
        <w:gridCol w:w="2938"/>
      </w:tblGrid>
      <w:tr w:rsidR="00FD35EF" w:rsidRPr="00FD35EF" w14:paraId="07908FF8" w14:textId="77777777" w:rsidTr="00FD35EF">
        <w:trPr>
          <w:jc w:val="center"/>
        </w:trPr>
        <w:tc>
          <w:tcPr>
            <w:tcW w:w="3135" w:type="dxa"/>
            <w:tcBorders>
              <w:top w:val="single" w:sz="4" w:space="0" w:color="auto"/>
              <w:left w:val="single" w:sz="4" w:space="0" w:color="auto"/>
              <w:bottom w:val="single" w:sz="4" w:space="0" w:color="auto"/>
              <w:right w:val="single" w:sz="4" w:space="0" w:color="auto"/>
            </w:tcBorders>
            <w:shd w:val="clear" w:color="auto" w:fill="D99594"/>
            <w:hideMark/>
          </w:tcPr>
          <w:p w14:paraId="61999653"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b/>
                <w:color w:val="FFFFFF"/>
              </w:rPr>
              <w:t xml:space="preserve">Dato </w:t>
            </w:r>
            <w:proofErr w:type="spellStart"/>
            <w:r w:rsidRPr="00FD35EF">
              <w:rPr>
                <w:rFonts w:ascii="Times New Roman" w:eastAsia="Calibri" w:hAnsi="Times New Roman"/>
                <w:b/>
                <w:color w:val="FFFFFF"/>
              </w:rPr>
              <w:t>recolectado</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D99594"/>
            <w:hideMark/>
          </w:tcPr>
          <w:p w14:paraId="5C28D122" w14:textId="77777777" w:rsidR="00FD35EF" w:rsidRPr="00FD35EF" w:rsidRDefault="00FD35EF" w:rsidP="00FD35EF">
            <w:pPr>
              <w:spacing w:line="360" w:lineRule="auto"/>
              <w:rPr>
                <w:rFonts w:ascii="Times New Roman" w:eastAsia="Calibri" w:hAnsi="Times New Roman"/>
              </w:rPr>
            </w:pPr>
            <w:proofErr w:type="spellStart"/>
            <w:r w:rsidRPr="00FD35EF">
              <w:rPr>
                <w:rFonts w:ascii="Times New Roman" w:eastAsia="Calibri" w:hAnsi="Times New Roman"/>
                <w:b/>
                <w:color w:val="FFFFFF"/>
              </w:rPr>
              <w:t>Naturaleza</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D99594"/>
            <w:hideMark/>
          </w:tcPr>
          <w:p w14:paraId="24EBDD2B"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b/>
                <w:color w:val="FFFFFF"/>
              </w:rPr>
              <w:t xml:space="preserve">Ley </w:t>
            </w:r>
            <w:proofErr w:type="spellStart"/>
            <w:r w:rsidRPr="00FD35EF">
              <w:rPr>
                <w:rFonts w:ascii="Times New Roman" w:eastAsia="Calibri" w:hAnsi="Times New Roman"/>
                <w:b/>
                <w:color w:val="FFFFFF"/>
              </w:rPr>
              <w:t>aplicable</w:t>
            </w:r>
            <w:proofErr w:type="spellEnd"/>
          </w:p>
        </w:tc>
      </w:tr>
      <w:tr w:rsidR="00FD35EF" w:rsidRPr="00FD35EF" w14:paraId="452682E5"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FEFCC4C" w14:textId="77777777" w:rsidR="00FD35EF" w:rsidRPr="00FD35EF" w:rsidRDefault="00FD35EF" w:rsidP="00FD35EF">
            <w:pPr>
              <w:spacing w:line="360" w:lineRule="auto"/>
              <w:rPr>
                <w:rFonts w:ascii="Times New Roman" w:eastAsia="Calibri" w:hAnsi="Times New Roman"/>
                <w:lang w:val="es-CR"/>
              </w:rPr>
            </w:pPr>
            <w:r w:rsidRPr="00FD35EF">
              <w:rPr>
                <w:rFonts w:ascii="Times New Roman" w:eastAsia="Calibri" w:hAnsi="Times New Roman"/>
                <w:lang w:val="es-CR"/>
              </w:rPr>
              <w:t>Nombre, cédula, fecha de nacimiento</w:t>
            </w:r>
          </w:p>
        </w:tc>
        <w:tc>
          <w:tcPr>
            <w:tcW w:w="3135" w:type="dxa"/>
            <w:tcBorders>
              <w:top w:val="single" w:sz="4" w:space="0" w:color="auto"/>
              <w:left w:val="single" w:sz="4" w:space="0" w:color="auto"/>
              <w:bottom w:val="single" w:sz="4" w:space="0" w:color="auto"/>
              <w:right w:val="single" w:sz="4" w:space="0" w:color="auto"/>
            </w:tcBorders>
            <w:hideMark/>
          </w:tcPr>
          <w:p w14:paraId="3D7D6A15"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Dato personal</w:t>
            </w:r>
          </w:p>
        </w:tc>
        <w:tc>
          <w:tcPr>
            <w:tcW w:w="3135" w:type="dxa"/>
            <w:tcBorders>
              <w:top w:val="single" w:sz="4" w:space="0" w:color="auto"/>
              <w:left w:val="single" w:sz="4" w:space="0" w:color="auto"/>
              <w:bottom w:val="single" w:sz="4" w:space="0" w:color="auto"/>
              <w:right w:val="single" w:sz="4" w:space="0" w:color="auto"/>
            </w:tcBorders>
            <w:hideMark/>
          </w:tcPr>
          <w:p w14:paraId="0F5B85BE"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Ley 8968 (</w:t>
            </w:r>
            <w:proofErr w:type="spellStart"/>
            <w:r w:rsidRPr="00FD35EF">
              <w:rPr>
                <w:rFonts w:ascii="Times New Roman" w:eastAsia="Calibri" w:hAnsi="Times New Roman"/>
              </w:rPr>
              <w:t>dato</w:t>
            </w:r>
            <w:proofErr w:type="spellEnd"/>
            <w:r w:rsidRPr="00FD35EF">
              <w:rPr>
                <w:rFonts w:ascii="Times New Roman" w:eastAsia="Calibri" w:hAnsi="Times New Roman"/>
              </w:rPr>
              <w:t xml:space="preserve"> personal </w:t>
            </w:r>
            <w:proofErr w:type="spellStart"/>
            <w:r w:rsidRPr="00FD35EF">
              <w:rPr>
                <w:rFonts w:ascii="Times New Roman" w:eastAsia="Calibri" w:hAnsi="Times New Roman"/>
              </w:rPr>
              <w:t>ordinario</w:t>
            </w:r>
            <w:proofErr w:type="spellEnd"/>
            <w:r w:rsidRPr="00FD35EF">
              <w:rPr>
                <w:rFonts w:ascii="Times New Roman" w:eastAsia="Calibri" w:hAnsi="Times New Roman"/>
              </w:rPr>
              <w:t>)</w:t>
            </w:r>
          </w:p>
        </w:tc>
      </w:tr>
      <w:tr w:rsidR="00FD35EF" w:rsidRPr="00FD35EF" w14:paraId="5E7EB6A2"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71785FDC" w14:textId="77777777" w:rsidR="00FD35EF" w:rsidRPr="00FD35EF" w:rsidRDefault="00FD35EF" w:rsidP="00FD35EF">
            <w:pPr>
              <w:spacing w:line="360" w:lineRule="auto"/>
              <w:rPr>
                <w:rFonts w:ascii="Times New Roman" w:eastAsia="Calibri" w:hAnsi="Times New Roman"/>
                <w:lang w:val="es-CR"/>
              </w:rPr>
            </w:pPr>
            <w:r w:rsidRPr="00FD35EF">
              <w:rPr>
                <w:rFonts w:ascii="Times New Roman" w:eastAsia="Calibri" w:hAnsi="Times New Roman"/>
                <w:lang w:val="es-CR"/>
              </w:rPr>
              <w:t>Historial clínico, diagnósticos, medicamentos, imágenes médicas</w:t>
            </w:r>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32025E81"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Dato sensible (</w:t>
            </w:r>
            <w:proofErr w:type="spellStart"/>
            <w:r w:rsidRPr="00FD35EF">
              <w:rPr>
                <w:rFonts w:ascii="Times New Roman" w:eastAsia="Calibri" w:hAnsi="Times New Roman"/>
              </w:rPr>
              <w:t>salud</w:t>
            </w:r>
            <w:proofErr w:type="spellEnd"/>
            <w:r w:rsidRPr="00FD35EF">
              <w:rPr>
                <w:rFonts w:ascii="Times New Roman" w:eastAsia="Calibri" w:hAnsi="Times New Roman"/>
              </w:rPr>
              <w:t>)</w:t>
            </w:r>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1FF03DC7" w14:textId="77777777" w:rsidR="00FD35EF" w:rsidRPr="00FD35EF" w:rsidRDefault="00FD35EF" w:rsidP="00FD35EF">
            <w:pPr>
              <w:spacing w:line="360" w:lineRule="auto"/>
              <w:rPr>
                <w:rFonts w:ascii="Times New Roman" w:eastAsia="Calibri" w:hAnsi="Times New Roman"/>
                <w:lang w:val="es-CR"/>
              </w:rPr>
            </w:pPr>
            <w:r w:rsidRPr="00FD35EF">
              <w:rPr>
                <w:rFonts w:ascii="Times New Roman" w:eastAsia="Calibri" w:hAnsi="Times New Roman"/>
                <w:lang w:val="es-CR"/>
              </w:rPr>
              <w:t>Ley 8968 + Reglamento, nivel Alto; Art. 24 Constitución</w:t>
            </w:r>
          </w:p>
        </w:tc>
      </w:tr>
      <w:tr w:rsidR="00FD35EF" w:rsidRPr="00FD35EF" w14:paraId="292A9647"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E315FA9" w14:textId="77777777" w:rsidR="00FD35EF" w:rsidRPr="00FD35EF" w:rsidRDefault="00FD35EF" w:rsidP="00FD35EF">
            <w:pPr>
              <w:spacing w:line="360" w:lineRule="auto"/>
              <w:rPr>
                <w:rFonts w:ascii="Times New Roman" w:eastAsia="Calibri" w:hAnsi="Times New Roman"/>
              </w:rPr>
            </w:pPr>
            <w:proofErr w:type="spellStart"/>
            <w:r w:rsidRPr="00FD35EF">
              <w:rPr>
                <w:rFonts w:ascii="Times New Roman" w:eastAsia="Calibri" w:hAnsi="Times New Roman"/>
              </w:rPr>
              <w:t>Ubicación</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72FA513"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Dato personal</w:t>
            </w:r>
          </w:p>
        </w:tc>
        <w:tc>
          <w:tcPr>
            <w:tcW w:w="3135" w:type="dxa"/>
            <w:tcBorders>
              <w:top w:val="single" w:sz="4" w:space="0" w:color="auto"/>
              <w:left w:val="single" w:sz="4" w:space="0" w:color="auto"/>
              <w:bottom w:val="single" w:sz="4" w:space="0" w:color="auto"/>
              <w:right w:val="single" w:sz="4" w:space="0" w:color="auto"/>
            </w:tcBorders>
            <w:hideMark/>
          </w:tcPr>
          <w:p w14:paraId="49DC72BD"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Ley 8968</w:t>
            </w:r>
          </w:p>
        </w:tc>
      </w:tr>
      <w:tr w:rsidR="00FD35EF" w:rsidRPr="00FD35EF" w14:paraId="5AC42717"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61D3DE8F"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 xml:space="preserve">Datos de </w:t>
            </w:r>
            <w:proofErr w:type="spellStart"/>
            <w:r w:rsidRPr="00FD35EF">
              <w:rPr>
                <w:rFonts w:ascii="Times New Roman" w:eastAsia="Calibri" w:hAnsi="Times New Roman"/>
              </w:rPr>
              <w:t>pago</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180DF9B4"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Dato personal (</w:t>
            </w:r>
            <w:proofErr w:type="spellStart"/>
            <w:r w:rsidRPr="00FD35EF">
              <w:rPr>
                <w:rFonts w:ascii="Times New Roman" w:eastAsia="Calibri" w:hAnsi="Times New Roman"/>
              </w:rPr>
              <w:t>financiero</w:t>
            </w:r>
            <w:proofErr w:type="spellEnd"/>
            <w:r w:rsidRPr="00FD35EF">
              <w:rPr>
                <w:rFonts w:ascii="Times New Roman" w:eastAsia="Calibri" w:hAnsi="Times New Roman"/>
              </w:rPr>
              <w:t>)</w:t>
            </w:r>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6B313B7D"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Ley 8968</w:t>
            </w:r>
          </w:p>
        </w:tc>
      </w:tr>
      <w:tr w:rsidR="00FD35EF" w:rsidRPr="00FD35EF" w14:paraId="4A38B988"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21C80C9" w14:textId="77777777" w:rsidR="00FD35EF" w:rsidRPr="00FD35EF" w:rsidRDefault="00FD35EF" w:rsidP="00FD35EF">
            <w:pPr>
              <w:spacing w:line="360" w:lineRule="auto"/>
              <w:rPr>
                <w:rFonts w:ascii="Times New Roman" w:eastAsia="Calibri" w:hAnsi="Times New Roman"/>
                <w:lang w:val="es-CR"/>
              </w:rPr>
            </w:pPr>
            <w:r w:rsidRPr="00FD35EF">
              <w:rPr>
                <w:rFonts w:ascii="Times New Roman" w:eastAsia="Calibri" w:hAnsi="Times New Roman"/>
                <w:lang w:val="es-CR"/>
              </w:rPr>
              <w:t>Algoritmo de diagnóstico asistido por IA</w:t>
            </w:r>
          </w:p>
        </w:tc>
        <w:tc>
          <w:tcPr>
            <w:tcW w:w="3135" w:type="dxa"/>
            <w:tcBorders>
              <w:top w:val="single" w:sz="4" w:space="0" w:color="auto"/>
              <w:left w:val="single" w:sz="4" w:space="0" w:color="auto"/>
              <w:bottom w:val="single" w:sz="4" w:space="0" w:color="auto"/>
              <w:right w:val="single" w:sz="4" w:space="0" w:color="auto"/>
            </w:tcBorders>
            <w:hideMark/>
          </w:tcPr>
          <w:p w14:paraId="0A857A49" w14:textId="77777777" w:rsidR="00FD35EF" w:rsidRPr="00FD35EF" w:rsidRDefault="00FD35EF" w:rsidP="00FD35EF">
            <w:pPr>
              <w:spacing w:line="360" w:lineRule="auto"/>
              <w:rPr>
                <w:rFonts w:ascii="Times New Roman" w:eastAsia="Calibri" w:hAnsi="Times New Roman"/>
              </w:rPr>
            </w:pPr>
            <w:proofErr w:type="spellStart"/>
            <w:r w:rsidRPr="00FD35EF">
              <w:rPr>
                <w:rFonts w:ascii="Times New Roman" w:eastAsia="Calibri" w:hAnsi="Times New Roman"/>
              </w:rPr>
              <w:t>Propiedad</w:t>
            </w:r>
            <w:proofErr w:type="spellEnd"/>
            <w:r w:rsidRPr="00FD35EF">
              <w:rPr>
                <w:rFonts w:ascii="Times New Roman" w:eastAsia="Calibri" w:hAnsi="Times New Roman"/>
              </w:rPr>
              <w:t xml:space="preserve"> </w:t>
            </w:r>
            <w:proofErr w:type="spellStart"/>
            <w:r w:rsidRPr="00FD35EF">
              <w:rPr>
                <w:rFonts w:ascii="Times New Roman" w:eastAsia="Calibri" w:hAnsi="Times New Roman"/>
              </w:rPr>
              <w:t>intelectual</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DB0FF23"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Ley 7975 (</w:t>
            </w:r>
            <w:proofErr w:type="spellStart"/>
            <w:r w:rsidRPr="00FD35EF">
              <w:rPr>
                <w:rFonts w:ascii="Times New Roman" w:eastAsia="Calibri" w:hAnsi="Times New Roman"/>
              </w:rPr>
              <w:t>secreto</w:t>
            </w:r>
            <w:proofErr w:type="spellEnd"/>
            <w:r w:rsidRPr="00FD35EF">
              <w:rPr>
                <w:rFonts w:ascii="Times New Roman" w:eastAsia="Calibri" w:hAnsi="Times New Roman"/>
              </w:rPr>
              <w:t xml:space="preserve"> </w:t>
            </w:r>
            <w:proofErr w:type="spellStart"/>
            <w:r w:rsidRPr="00FD35EF">
              <w:rPr>
                <w:rFonts w:ascii="Times New Roman" w:eastAsia="Calibri" w:hAnsi="Times New Roman"/>
              </w:rPr>
              <w:t>comercial</w:t>
            </w:r>
            <w:proofErr w:type="spellEnd"/>
            <w:r w:rsidRPr="00FD35EF">
              <w:rPr>
                <w:rFonts w:ascii="Times New Roman" w:eastAsia="Calibri" w:hAnsi="Times New Roman"/>
              </w:rPr>
              <w:t>) + Ley 6683</w:t>
            </w:r>
          </w:p>
        </w:tc>
      </w:tr>
      <w:tr w:rsidR="00FD35EF" w:rsidRPr="00AF4A0F" w14:paraId="61EA9867"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7D326BBF" w14:textId="77777777" w:rsidR="00FD35EF" w:rsidRPr="00FD35EF" w:rsidRDefault="00FD35EF" w:rsidP="00FD35EF">
            <w:pPr>
              <w:spacing w:line="360" w:lineRule="auto"/>
              <w:rPr>
                <w:rFonts w:ascii="Times New Roman" w:eastAsia="Calibri" w:hAnsi="Times New Roman"/>
                <w:lang w:val="es-CR"/>
              </w:rPr>
            </w:pPr>
            <w:r w:rsidRPr="00FD35EF">
              <w:rPr>
                <w:rFonts w:ascii="Times New Roman" w:eastAsia="Calibri" w:hAnsi="Times New Roman"/>
                <w:lang w:val="es-CR"/>
              </w:rPr>
              <w:t>Código fuente de la plataforma</w:t>
            </w:r>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125C7A52"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 xml:space="preserve">Obra </w:t>
            </w:r>
            <w:proofErr w:type="spellStart"/>
            <w:r w:rsidRPr="00FD35EF">
              <w:rPr>
                <w:rFonts w:ascii="Times New Roman" w:eastAsia="Calibri" w:hAnsi="Times New Roman"/>
              </w:rPr>
              <w:t>intelectual</w:t>
            </w:r>
            <w:proofErr w:type="spellEnd"/>
          </w:p>
        </w:tc>
        <w:tc>
          <w:tcPr>
            <w:tcW w:w="3135" w:type="dxa"/>
            <w:tcBorders>
              <w:top w:val="single" w:sz="4" w:space="0" w:color="auto"/>
              <w:left w:val="single" w:sz="4" w:space="0" w:color="auto"/>
              <w:bottom w:val="single" w:sz="4" w:space="0" w:color="auto"/>
              <w:right w:val="single" w:sz="4" w:space="0" w:color="auto"/>
            </w:tcBorders>
            <w:shd w:val="clear" w:color="auto" w:fill="F2F2F2"/>
            <w:hideMark/>
          </w:tcPr>
          <w:p w14:paraId="00CD600E" w14:textId="77777777" w:rsidR="00FD35EF" w:rsidRPr="00FD35EF" w:rsidRDefault="00FD35EF" w:rsidP="00FD35EF">
            <w:pPr>
              <w:spacing w:line="360" w:lineRule="auto"/>
              <w:rPr>
                <w:rFonts w:ascii="Times New Roman" w:eastAsia="Calibri" w:hAnsi="Times New Roman"/>
              </w:rPr>
            </w:pPr>
            <w:r w:rsidRPr="00FD35EF">
              <w:rPr>
                <w:rFonts w:ascii="Times New Roman" w:eastAsia="Calibri" w:hAnsi="Times New Roman"/>
              </w:rPr>
              <w:t xml:space="preserve">Ley 6683, Art. 4 </w:t>
            </w:r>
            <w:proofErr w:type="spellStart"/>
            <w:r w:rsidRPr="00FD35EF">
              <w:rPr>
                <w:rFonts w:ascii="Times New Roman" w:eastAsia="Calibri" w:hAnsi="Times New Roman"/>
              </w:rPr>
              <w:t>inciso</w:t>
            </w:r>
            <w:proofErr w:type="spellEnd"/>
            <w:r w:rsidRPr="00FD35EF">
              <w:rPr>
                <w:rFonts w:ascii="Times New Roman" w:eastAsia="Calibri" w:hAnsi="Times New Roman"/>
              </w:rPr>
              <w:t xml:space="preserve"> ñ) y Art. 40</w:t>
            </w:r>
          </w:p>
        </w:tc>
      </w:tr>
    </w:tbl>
    <w:p w14:paraId="7FE5A4C5" w14:textId="77777777" w:rsidR="00FD35EF" w:rsidRPr="00FD35EF" w:rsidRDefault="00FD35EF" w:rsidP="00FD35EF">
      <w:pPr>
        <w:spacing w:after="200" w:line="360" w:lineRule="auto"/>
        <w:rPr>
          <w:rFonts w:ascii="Times New Roman" w:eastAsia="Calibri" w:hAnsi="Times New Roman" w:cs="Times New Roman"/>
          <w:kern w:val="0"/>
          <w:lang w:val="en-US"/>
          <w14:ligatures w14:val="none"/>
        </w:rPr>
      </w:pPr>
    </w:p>
    <w:p w14:paraId="27EF20D0" w14:textId="77777777"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 xml:space="preserve">Todo dato de salud recolectado por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se clasifica como dato sensible bajo el Art. 3 de la Ley 8968, por lo que su tratamiento exige consentimiento informado, expreso y por escrito, y obliga a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como </w:t>
      </w:r>
      <w:proofErr w:type="gramStart"/>
      <w:r w:rsidRPr="00FD35EF">
        <w:rPr>
          <w:rFonts w:ascii="Times New Roman" w:eastAsia="Calibri" w:hAnsi="Times New Roman" w:cs="Times New Roman"/>
          <w:kern w:val="0"/>
          <w14:ligatures w14:val="none"/>
        </w:rPr>
        <w:t>Responsable</w:t>
      </w:r>
      <w:proofErr w:type="gramEnd"/>
      <w:r w:rsidRPr="00FD35EF">
        <w:rPr>
          <w:rFonts w:ascii="Times New Roman" w:eastAsia="Calibri" w:hAnsi="Times New Roman" w:cs="Times New Roman"/>
          <w:kern w:val="0"/>
          <w14:ligatures w14:val="none"/>
        </w:rPr>
        <w:t xml:space="preserve"> de la Base de Datos a aplicar el nivel de seguridad más alto que define el Reglamento.</w:t>
      </w:r>
    </w:p>
    <w:p w14:paraId="1BCAA029"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lastRenderedPageBreak/>
        <w:t>II. Cumplimiento del nivel ALTO (Constitución Art. 24, Ley 8968 Art. 10, y su Reglamento)</w:t>
      </w:r>
    </w:p>
    <w:p w14:paraId="476EFB24" w14:textId="77777777" w:rsidR="00855E72" w:rsidRDefault="00000000" w:rsidP="00B95F79">
      <w:pPr>
        <w:spacing w:after="120" w:line="360" w:lineRule="auto"/>
        <w:ind w:firstLine="360"/>
        <w:jc w:val="both"/>
      </w:pPr>
      <w:r>
        <w:rPr>
          <w:rFonts w:ascii="Times New Roman" w:hAnsi="Times New Roman"/>
        </w:rPr>
        <w:t>El fundamento constitucional de la protección reforzada que MediSync aplica a los datos de salud es el Artículo 24 de la Constitución Política, que garantiza el derecho a la intimidad, la libertad y el secreto de las comunicaciones, y declara inviolables los documentos privados y las comunicaciones de los habitantes de la República. La Sala Constitucional ha precisado el alcance de esta garantía: la Resolución N.° 5802-1999 subraya su carácter preventivo frente a tratos discriminatorios fundados en datos sensibles como el estado de salud, y la Resolución N.° 4847-1999 conceptualiza la autodeterminación informativa como un derecho activo mediante el cual el paciente ejerce dominio directo sobre la circulación de su propia información.</w:t>
      </w:r>
    </w:p>
    <w:p w14:paraId="07A58167" w14:textId="77777777" w:rsidR="00FD35EF" w:rsidRPr="00FD35EF" w:rsidRDefault="00FD35EF" w:rsidP="00FD35EF">
      <w:pPr>
        <w:spacing w:after="120" w:line="360" w:lineRule="auto"/>
        <w:ind w:firstLine="36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Sobre esa base constitucional, el Reglamento a la Ley 8968 clasifica las bases de datos de salud en el nivel Alto por tratarse de datos sensibles, y el Artículo 10 de la Ley 8968 ("Seguridad de los datos") obliga al responsable de la base de datos a adoptar las medidas técnicas y de organización necesarias para garantizar su seguridad. MediSync CR declara las siguientes medidas, correspondientes a ese nivel:</w:t>
      </w:r>
    </w:p>
    <w:p w14:paraId="7362006A" w14:textId="77777777" w:rsidR="00FD35EF" w:rsidRPr="00FD35EF" w:rsidRDefault="00FD35EF" w:rsidP="00FD35EF">
      <w:pPr>
        <w:tabs>
          <w:tab w:val="num" w:pos="360"/>
        </w:tabs>
        <w:spacing w:after="60" w:line="360" w:lineRule="auto"/>
        <w:ind w:left="360" w:hanging="360"/>
        <w:contextualSpacing/>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Cifrado AES-256 de los historiales clínicos e imágenes médicas, tanto en reposo como en tránsito (TLS en toda comunicación cliente-servidor).</w:t>
      </w:r>
    </w:p>
    <w:p w14:paraId="11B6E4F6" w14:textId="77777777" w:rsidR="00FD35EF" w:rsidRPr="00FD35EF" w:rsidRDefault="00FD35EF" w:rsidP="00FD35EF">
      <w:pPr>
        <w:tabs>
          <w:tab w:val="num" w:pos="360"/>
        </w:tabs>
        <w:spacing w:after="60" w:line="360" w:lineRule="auto"/>
        <w:ind w:left="360" w:hanging="360"/>
        <w:contextualSpacing/>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Autenticación de doble factor (2FA) para todo acceso de médicos, personal administrativo y pacientes a información clínica.</w:t>
      </w:r>
    </w:p>
    <w:p w14:paraId="307A6DFC" w14:textId="77777777" w:rsidR="00FD35EF" w:rsidRPr="00FD35EF" w:rsidRDefault="00FD35EF" w:rsidP="00FD35EF">
      <w:pPr>
        <w:tabs>
          <w:tab w:val="num" w:pos="360"/>
        </w:tabs>
        <w:spacing w:after="60" w:line="360" w:lineRule="auto"/>
        <w:ind w:left="360" w:hanging="360"/>
        <w:contextualSpacing/>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Logs de acceso inmutables por cada consulta o modificación de un expediente, con trazabilidad de usuario, fecha y acción.</w:t>
      </w:r>
    </w:p>
    <w:p w14:paraId="63DA345C" w14:textId="77777777" w:rsidR="00FD35EF" w:rsidRPr="00FD35EF" w:rsidRDefault="00FD35EF" w:rsidP="00FD35EF">
      <w:pPr>
        <w:tabs>
          <w:tab w:val="num" w:pos="360"/>
        </w:tabs>
        <w:spacing w:after="60" w:line="360" w:lineRule="auto"/>
        <w:ind w:left="360" w:hanging="360"/>
        <w:contextualSpacing/>
        <w:rPr>
          <w:rFonts w:ascii="Times New Roman" w:eastAsia="Calibri" w:hAnsi="Times New Roman" w:cs="Times New Roman"/>
          <w:kern w:val="0"/>
          <w14:ligatures w14:val="none"/>
        </w:rPr>
      </w:pPr>
      <w:proofErr w:type="spellStart"/>
      <w:r w:rsidRPr="00FD35EF">
        <w:rPr>
          <w:rFonts w:ascii="Times New Roman" w:eastAsia="Calibri" w:hAnsi="Times New Roman" w:cs="Times New Roman"/>
          <w:kern w:val="0"/>
          <w14:ligatures w14:val="none"/>
        </w:rPr>
        <w:t>Backups</w:t>
      </w:r>
      <w:proofErr w:type="spellEnd"/>
      <w:r w:rsidRPr="00FD35EF">
        <w:rPr>
          <w:rFonts w:ascii="Times New Roman" w:eastAsia="Calibri" w:hAnsi="Times New Roman" w:cs="Times New Roman"/>
          <w:kern w:val="0"/>
          <w14:ligatures w14:val="none"/>
        </w:rPr>
        <w:t xml:space="preserve"> diarios cifrados, que garantizan disponibilidad sin exponer la confidencialidad del dato ante un incidente.</w:t>
      </w:r>
    </w:p>
    <w:p w14:paraId="4517A921" w14:textId="77777777" w:rsidR="00FD35EF" w:rsidRPr="00FD35EF" w:rsidRDefault="00FD35EF" w:rsidP="00FD35EF">
      <w:pPr>
        <w:spacing w:after="120" w:line="360" w:lineRule="auto"/>
        <w:ind w:firstLine="36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Estas cuatro medidas, en conjunto, satisfacen el estándar de "medidas de seguridad técnicas y organizativas" que exige el Art. 10 para datos de nivel Alto, y exceden el nivel Medio que aplicaría a datos personales ordinarios no sensibles.</w:t>
      </w:r>
    </w:p>
    <w:p w14:paraId="37C02C8F"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t>III. Protección de la propiedad intelectual del algoritmo (Ley 7975 y Ley 6683)</w:t>
      </w:r>
    </w:p>
    <w:p w14:paraId="627A2E0F" w14:textId="6641FEB7"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Bajo la Ley 7975 (información no divulgada): </w:t>
      </w:r>
      <w:r w:rsidRPr="00FD35EF">
        <w:rPr>
          <w:rFonts w:ascii="Times New Roman" w:eastAsia="Calibri" w:hAnsi="Times New Roman" w:cs="Times New Roman"/>
          <w:kern w:val="0"/>
          <w14:ligatures w14:val="none"/>
        </w:rPr>
        <w:t xml:space="preserve">el algoritmo de diagnóstico asistido por IA cumple las tres condiciones del know-how protegido: (1) tiene valor comercial </w:t>
      </w:r>
      <w:r w:rsidRPr="00FD35EF">
        <w:rPr>
          <w:rFonts w:ascii="Times New Roman" w:eastAsia="Calibri" w:hAnsi="Times New Roman" w:cs="Times New Roman"/>
          <w:kern w:val="0"/>
          <w14:ligatures w14:val="none"/>
        </w:rPr>
        <w:lastRenderedPageBreak/>
        <w:t xml:space="preserve">evidente al ser el diferenciador competitivo de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(2) se ha mantenido en secreto no ha sido publicado, registrado públicamente ni divulgado sin acuerdo de confidencialidad, y (3)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ha tomado medidas razonables de protección: control de acceso restringido al código del modelo, acuerdos de confidencialidad (NDA) con el equipo de desarrollo, y segmentación de credenciales para que ningún desarrollador individual tenga acceso íntegro al pipeline de entrenamiento. Si el competidor replicó el algoritmo, la vía legal correspondiente es la acción por apropiación indebida de información no divulgada, no una falla atribuible a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w:t>
      </w:r>
    </w:p>
    <w:p w14:paraId="0445D390" w14:textId="77777777"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b/>
          <w:kern w:val="0"/>
          <w14:ligatures w14:val="none"/>
        </w:rPr>
        <w:t xml:space="preserve">Bajo la Ley 6683 (derechos de autor): </w:t>
      </w:r>
      <w:r w:rsidRPr="00FD35EF">
        <w:rPr>
          <w:rFonts w:ascii="Times New Roman" w:eastAsia="Calibri" w:hAnsi="Times New Roman" w:cs="Times New Roman"/>
          <w:kern w:val="0"/>
          <w14:ligatures w14:val="none"/>
        </w:rPr>
        <w:t xml:space="preserve">el código fuente del algoritmo se asimila a obra literaria desde su creación (Art. 4 inciso ñ), sin necesidad de registro para existir la protección, aunque se recomienda el registro ante el Registro Nacional de Derechos de Autor como prueba de anterioridad. Al haber sido desarrollado por personal asalariado de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en el ejercicio de sus funciones, la titularidad patrimonial corresponde a la empresa (Art. 40). Esto habilita a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a ejercer acción civil y penal contra la reproducción o transformación no autorizada de su código por parte del competidor.</w:t>
      </w:r>
    </w:p>
    <w:p w14:paraId="05D1F430"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t>IV. Consentimiento informado y principio de finalidad</w:t>
      </w:r>
    </w:p>
    <w:p w14:paraId="629183BE" w14:textId="2C48D4F4"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Respecto al cargo de compartir historiales clínicos con aseguradoras: la Ley 8968 exige que el consentimiento para datos sensibles sea informado, expreso y por escrito</w:t>
      </w:r>
      <w:r w:rsidR="00AF4A0F">
        <w:rPr>
          <w:rFonts w:ascii="Times New Roman" w:eastAsia="Calibri" w:hAnsi="Times New Roman" w:cs="Times New Roman"/>
          <w:kern w:val="0"/>
          <w14:ligatures w14:val="none"/>
        </w:rPr>
        <w:t xml:space="preserve"> </w:t>
      </w:r>
      <w:r w:rsidRPr="00FD35EF">
        <w:rPr>
          <w:rFonts w:ascii="Times New Roman" w:eastAsia="Calibri" w:hAnsi="Times New Roman" w:cs="Times New Roman"/>
          <w:kern w:val="0"/>
          <w14:ligatures w14:val="none"/>
        </w:rPr>
        <w:t xml:space="preserve">el silencio o la aceptación genérica de términos y condiciones no es válida.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sostiene que su flujo de registro incorpora una casilla de consentimiento específica y separada de los términos generales, en la que el paciente autoriza expresamente el envío de su historial a la aseguradora que él mismo designa, con la finalidad declarada de gestionar el reembolso o la cobertura de sus citas cumpliendo el principio de finalidad, ya que el dato solo se usa para el fin que motivó su recolección y no para uno distinto no autorizado por el paciente. Este consentimiento es previo al primer envío de datos a cualquier aseguradora y queda registrado con fecha y versión del texto aceptado, como evidencia ante una eventual auditoría de PRODHAB.</w:t>
      </w:r>
    </w:p>
    <w:p w14:paraId="0377F39B"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lastRenderedPageBreak/>
        <w:t xml:space="preserve">V. Prevención de delitos informáticos (Ley 9048) caso del </w:t>
      </w:r>
      <w:proofErr w:type="spellStart"/>
      <w:r w:rsidRPr="00FD35EF">
        <w:rPr>
          <w:rFonts w:ascii="Times New Roman" w:eastAsia="MS Gothic" w:hAnsi="Times New Roman" w:cs="Times New Roman"/>
          <w:b/>
          <w:bCs/>
          <w:color w:val="1F1F1F"/>
          <w:kern w:val="0"/>
          <w14:ligatures w14:val="none"/>
        </w:rPr>
        <w:t>ex-empleado</w:t>
      </w:r>
      <w:proofErr w:type="spellEnd"/>
    </w:p>
    <w:p w14:paraId="2BC94425" w14:textId="077B769E"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 xml:space="preserve">La Ley 9048 tipifica el acceso no autorizado a sistemas de información.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argumenta que ya contaba, al momento del incidente, con controles técnicos diseñados para impedir exactamente este escenario: el 2FA en todas las cuentas con acceso a la base de datos exige un segundo factor que un </w:t>
      </w:r>
      <w:proofErr w:type="spellStart"/>
      <w:r w:rsidRPr="00FD35EF">
        <w:rPr>
          <w:rFonts w:ascii="Times New Roman" w:eastAsia="Calibri" w:hAnsi="Times New Roman" w:cs="Times New Roman"/>
          <w:kern w:val="0"/>
          <w14:ligatures w14:val="none"/>
        </w:rPr>
        <w:t>ex-empleado</w:t>
      </w:r>
      <w:proofErr w:type="spellEnd"/>
      <w:r w:rsidRPr="00FD35EF">
        <w:rPr>
          <w:rFonts w:ascii="Times New Roman" w:eastAsia="Calibri" w:hAnsi="Times New Roman" w:cs="Times New Roman"/>
          <w:kern w:val="0"/>
          <w14:ligatures w14:val="none"/>
        </w:rPr>
        <w:t xml:space="preserve"> sin dispositivo corporativo activo no debería poder generar, y los logs de acceso fueron precisamente el mecanismo que permitió detectar y documentar el acceso indebido evidencia técnica que hoy sustenta la denuncia penal contra el </w:t>
      </w:r>
      <w:proofErr w:type="spellStart"/>
      <w:r w:rsidRPr="00FD35EF">
        <w:rPr>
          <w:rFonts w:ascii="Times New Roman" w:eastAsia="Calibri" w:hAnsi="Times New Roman" w:cs="Times New Roman"/>
          <w:kern w:val="0"/>
          <w14:ligatures w14:val="none"/>
        </w:rPr>
        <w:t>ex-empleado</w:t>
      </w:r>
      <w:proofErr w:type="spellEnd"/>
      <w:r w:rsidRPr="00FD35EF">
        <w:rPr>
          <w:rFonts w:ascii="Times New Roman" w:eastAsia="Calibri" w:hAnsi="Times New Roman" w:cs="Times New Roman"/>
          <w:kern w:val="0"/>
          <w14:ligatures w14:val="none"/>
        </w:rPr>
        <w:t xml:space="preserve">, no una omisión de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w:t>
      </w:r>
    </w:p>
    <w:p w14:paraId="63481A2E" w14:textId="6EDDE719"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 xml:space="preserve">El punto de falla real fue procedimental, no técnico: la cuenta del </w:t>
      </w:r>
      <w:proofErr w:type="spellStart"/>
      <w:r w:rsidRPr="00FD35EF">
        <w:rPr>
          <w:rFonts w:ascii="Times New Roman" w:eastAsia="Calibri" w:hAnsi="Times New Roman" w:cs="Times New Roman"/>
          <w:kern w:val="0"/>
          <w14:ligatures w14:val="none"/>
        </w:rPr>
        <w:t>ex-empleado</w:t>
      </w:r>
      <w:proofErr w:type="spellEnd"/>
      <w:r w:rsidRPr="00FD35EF">
        <w:rPr>
          <w:rFonts w:ascii="Times New Roman" w:eastAsia="Calibri" w:hAnsi="Times New Roman" w:cs="Times New Roman"/>
          <w:kern w:val="0"/>
          <w14:ligatures w14:val="none"/>
        </w:rPr>
        <w:t xml:space="preserve"> no fue revocada de inmediato al momento de la desvinculación.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ha corregido esto incorporando un protocolo de revocación de accesos en el mismo día del despido, integrado al proceso de recursos humanos, lo que refuerza y no contradice que la arquitectura de seguridad de la plataforma (2FA + logs + </w:t>
      </w:r>
      <w:proofErr w:type="spellStart"/>
      <w:r w:rsidRPr="00FD35EF">
        <w:rPr>
          <w:rFonts w:ascii="Times New Roman" w:eastAsia="Calibri" w:hAnsi="Times New Roman" w:cs="Times New Roman"/>
          <w:kern w:val="0"/>
          <w14:ligatures w14:val="none"/>
        </w:rPr>
        <w:t>backups</w:t>
      </w:r>
      <w:proofErr w:type="spellEnd"/>
      <w:r w:rsidRPr="00FD35EF">
        <w:rPr>
          <w:rFonts w:ascii="Times New Roman" w:eastAsia="Calibri" w:hAnsi="Times New Roman" w:cs="Times New Roman"/>
          <w:kern w:val="0"/>
          <w14:ligatures w14:val="none"/>
        </w:rPr>
        <w:t>) ya cumplía el estándar exigible; el vector de explotación fue una credencial no revocada a tiempo, responsabilidad que la Ley 9048 dirige hacia quien accede sin autorización, no hacia el diseño del sistema.</w:t>
      </w:r>
    </w:p>
    <w:p w14:paraId="60212F46"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t>Conclusión</w:t>
      </w:r>
    </w:p>
    <w:p w14:paraId="741F8517" w14:textId="77777777" w:rsidR="00FD35EF" w:rsidRPr="00FD35EF" w:rsidRDefault="00FD35EF" w:rsidP="00FD35EF">
      <w:pPr>
        <w:spacing w:after="120" w:line="360" w:lineRule="auto"/>
        <w:ind w:firstLine="720"/>
        <w:jc w:val="both"/>
        <w:rPr>
          <w:rFonts w:ascii="Times New Roman" w:eastAsia="Calibri" w:hAnsi="Times New Roman" w:cs="Times New Roman"/>
          <w:kern w:val="0"/>
          <w14:ligatures w14:val="none"/>
        </w:rPr>
      </w:pP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CR cumple el nivel Alto del Reglamento a la Ley 8968 mediante cifrado, 2FA, logs y </w:t>
      </w:r>
      <w:proofErr w:type="spellStart"/>
      <w:r w:rsidRPr="00FD35EF">
        <w:rPr>
          <w:rFonts w:ascii="Times New Roman" w:eastAsia="Calibri" w:hAnsi="Times New Roman" w:cs="Times New Roman"/>
          <w:kern w:val="0"/>
          <w14:ligatures w14:val="none"/>
        </w:rPr>
        <w:t>backups</w:t>
      </w:r>
      <w:proofErr w:type="spellEnd"/>
      <w:r w:rsidRPr="00FD35EF">
        <w:rPr>
          <w:rFonts w:ascii="Times New Roman" w:eastAsia="Calibri" w:hAnsi="Times New Roman" w:cs="Times New Roman"/>
          <w:kern w:val="0"/>
          <w14:ligatures w14:val="none"/>
        </w:rPr>
        <w:t xml:space="preserve">; protege su algoritmo bajo la Ley 7975 y su código bajo la Ley 6683; obtiene consentimiento informado, expreso y por escrito con finalidad específica para el intercambio de datos con aseguradoras; y disponía de controles técnicos razonables frente al acceso no autorizado tipificado en la Ley 9048, cuya falla fue procedimental y ya fue subsanada. Se solicita al panel del MICITT desestimar los cargos de incumplimiento estructural contra </w:t>
      </w:r>
      <w:proofErr w:type="spellStart"/>
      <w:r w:rsidRPr="00FD35EF">
        <w:rPr>
          <w:rFonts w:ascii="Times New Roman" w:eastAsia="Calibri" w:hAnsi="Times New Roman" w:cs="Times New Roman"/>
          <w:kern w:val="0"/>
          <w14:ligatures w14:val="none"/>
        </w:rPr>
        <w:t>MediSync</w:t>
      </w:r>
      <w:proofErr w:type="spellEnd"/>
      <w:r w:rsidRPr="00FD35EF">
        <w:rPr>
          <w:rFonts w:ascii="Times New Roman" w:eastAsia="Calibri" w:hAnsi="Times New Roman" w:cs="Times New Roman"/>
          <w:kern w:val="0"/>
          <w14:ligatures w14:val="none"/>
        </w:rPr>
        <w:t xml:space="preserve"> CR.</w:t>
      </w:r>
      <w:r>
        <w:br w:type="page"/>
      </w:r>
    </w:p>
    <w:p w14:paraId="7841BC70" w14:textId="77777777" w:rsidR="00FD35EF" w:rsidRPr="00FD35EF" w:rsidRDefault="00FD35EF" w:rsidP="00FD35EF">
      <w:pPr>
        <w:keepNext/>
        <w:keepLines/>
        <w:spacing w:before="480" w:after="0" w:line="360" w:lineRule="auto"/>
        <w:outlineLvl w:val="0"/>
        <w:rPr>
          <w:rFonts w:ascii="Times New Roman" w:eastAsia="MS Gothic" w:hAnsi="Times New Roman" w:cs="Times New Roman"/>
          <w:b/>
          <w:bCs/>
          <w:color w:val="365F91"/>
          <w:kern w:val="0"/>
          <w14:ligatures w14:val="none"/>
        </w:rPr>
      </w:pPr>
      <w:r w:rsidRPr="00FD35EF">
        <w:rPr>
          <w:rFonts w:ascii="Times New Roman" w:eastAsia="MS Gothic" w:hAnsi="Times New Roman" w:cs="Times New Roman"/>
          <w:b/>
          <w:bCs/>
          <w:color w:val="1F1F1F"/>
          <w:kern w:val="0"/>
          <w14:ligatures w14:val="none"/>
        </w:rPr>
        <w:lastRenderedPageBreak/>
        <w:t>Anexo — Declaración de uso de IA</w:t>
      </w:r>
    </w:p>
    <w:p w14:paraId="0CE702E9" w14:textId="77777777" w:rsidR="00FD35EF" w:rsidRPr="00FD35EF" w:rsidRDefault="00FD35EF" w:rsidP="00FD35EF">
      <w:pPr>
        <w:spacing w:after="120" w:line="360" w:lineRule="auto"/>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Herramienta utilizada: Claude Sonnet 5 (Claude Code).</w:t>
      </w:r>
    </w:p>
    <w:p w14:paraId="15675F9E" w14:textId="77777777" w:rsidR="00FD35EF" w:rsidRPr="00FD35EF" w:rsidRDefault="00FD35EF" w:rsidP="00FD35EF">
      <w:pPr>
        <w:spacing w:after="120" w:line="360" w:lineRule="auto"/>
        <w:jc w:val="both"/>
        <w:rPr>
          <w:rFonts w:ascii="Times New Roman" w:eastAsia="Calibri" w:hAnsi="Times New Roman" w:cs="Times New Roman"/>
          <w:kern w:val="0"/>
          <w14:ligatures w14:val="none"/>
        </w:rPr>
      </w:pPr>
      <w:proofErr w:type="spellStart"/>
      <w:r w:rsidRPr="00FD35EF">
        <w:rPr>
          <w:rFonts w:ascii="Times New Roman" w:eastAsia="Calibri" w:hAnsi="Times New Roman" w:cs="Times New Roman"/>
          <w:kern w:val="0"/>
          <w14:ligatures w14:val="none"/>
        </w:rPr>
        <w:t>Prompts</w:t>
      </w:r>
      <w:proofErr w:type="spellEnd"/>
      <w:r w:rsidRPr="00FD35EF">
        <w:rPr>
          <w:rFonts w:ascii="Times New Roman" w:eastAsia="Calibri" w:hAnsi="Times New Roman" w:cs="Times New Roman"/>
          <w:kern w:val="0"/>
          <w14:ligatures w14:val="none"/>
        </w:rPr>
        <w:t xml:space="preserve"> enviados (íntegros):</w:t>
      </w:r>
    </w:p>
    <w:p w14:paraId="39CBE200" w14:textId="77777777" w:rsidR="00FD35EF" w:rsidRPr="00FD35EF" w:rsidRDefault="00FD35EF" w:rsidP="00FD35EF">
      <w:pPr>
        <w:tabs>
          <w:tab w:val="num" w:pos="360"/>
        </w:tabs>
        <w:spacing w:after="200" w:line="360" w:lineRule="auto"/>
        <w:ind w:left="360" w:hanging="360"/>
        <w:contextualSpacing/>
        <w:rPr>
          <w:rFonts w:ascii="Times New Roman" w:eastAsia="Calibri" w:hAnsi="Times New Roman" w:cs="Times New Roman"/>
          <w:kern w:val="0"/>
          <w14:ligatures w14:val="none"/>
        </w:rPr>
      </w:pPr>
      <w:r w:rsidRPr="00FD35EF">
        <w:rPr>
          <w:rFonts w:ascii="Times New Roman" w:eastAsia="Calibri" w:hAnsi="Times New Roman" w:cs="Times New Roman"/>
          <w:i/>
          <w:kern w:val="0"/>
          <w14:ligatures w14:val="none"/>
        </w:rPr>
        <w:t xml:space="preserve">"Tengo una tarea del curso de seguridad del Software quiero que me ayudes leyendo los dos documentos de la tarea adjuntos y me ayudes a entender la tarea de ciberseguridad con el rol de </w:t>
      </w:r>
      <w:proofErr w:type="spellStart"/>
      <w:r w:rsidRPr="00FD35EF">
        <w:rPr>
          <w:rFonts w:ascii="Times New Roman" w:eastAsia="Calibri" w:hAnsi="Times New Roman" w:cs="Times New Roman"/>
          <w:i/>
          <w:kern w:val="0"/>
          <w14:ligatures w14:val="none"/>
        </w:rPr>
        <w:t>dev</w:t>
      </w:r>
      <w:proofErr w:type="spellEnd"/>
      <w:r w:rsidRPr="00FD35EF">
        <w:rPr>
          <w:rFonts w:ascii="Times New Roman" w:eastAsia="Calibri" w:hAnsi="Times New Roman" w:cs="Times New Roman"/>
          <w:i/>
          <w:kern w:val="0"/>
          <w14:ligatures w14:val="none"/>
        </w:rPr>
        <w:t>, dime qué tengo que ir haciendo, idea principal de la tarea y cuál es el entregable y explícame las leyes que correspondan"</w:t>
      </w:r>
    </w:p>
    <w:p w14:paraId="5DA9FD47" w14:textId="77777777" w:rsidR="00FD35EF" w:rsidRDefault="00FD35EF" w:rsidP="00FD35EF">
      <w:pPr>
        <w:tabs>
          <w:tab w:val="num" w:pos="360"/>
        </w:tabs>
        <w:spacing w:after="200" w:line="360" w:lineRule="auto"/>
        <w:ind w:left="360" w:hanging="360"/>
        <w:contextualSpacing/>
        <w:rPr>
          <w:rFonts w:ascii="Times New Roman" w:eastAsia="Calibri" w:hAnsi="Times New Roman" w:cs="Times New Roman"/>
          <w:i/>
          <w:kern w:val="0"/>
          <w14:ligatures w14:val="none"/>
        </w:rPr>
      </w:pPr>
      <w:r w:rsidRPr="00FD35EF">
        <w:rPr>
          <w:rFonts w:ascii="Times New Roman" w:eastAsia="Calibri" w:hAnsi="Times New Roman" w:cs="Times New Roman"/>
          <w:i/>
          <w:kern w:val="0"/>
          <w14:ligatures w14:val="none"/>
        </w:rPr>
        <w:t>"Dale formato a este Word que hice con la información para que quede con un estilo más formal y atractivo para el contexto de la tarea"</w:t>
      </w:r>
    </w:p>
    <w:p w14:paraId="20B08965" w14:textId="77777777" w:rsidR="00AF4A0F" w:rsidRPr="00FD35EF" w:rsidRDefault="00AF4A0F" w:rsidP="00FD35EF">
      <w:pPr>
        <w:tabs>
          <w:tab w:val="num" w:pos="360"/>
        </w:tabs>
        <w:spacing w:after="200" w:line="360" w:lineRule="auto"/>
        <w:ind w:left="360" w:hanging="360"/>
        <w:contextualSpacing/>
        <w:rPr>
          <w:rFonts w:ascii="Times New Roman" w:eastAsia="Calibri" w:hAnsi="Times New Roman" w:cs="Times New Roman"/>
          <w:kern w:val="0"/>
          <w14:ligatures w14:val="none"/>
        </w:rPr>
      </w:pPr>
    </w:p>
    <w:p w14:paraId="5D66807B" w14:textId="77777777" w:rsidR="00FD35EF" w:rsidRPr="00FD35EF" w:rsidRDefault="00FD35EF" w:rsidP="00AF4A0F">
      <w:pPr>
        <w:spacing w:after="120" w:line="360" w:lineRule="auto"/>
        <w:ind w:firstLine="360"/>
        <w:jc w:val="both"/>
        <w:rPr>
          <w:rFonts w:ascii="Times New Roman" w:eastAsia="Calibri" w:hAnsi="Times New Roman" w:cs="Times New Roman"/>
          <w:kern w:val="0"/>
          <w14:ligatures w14:val="none"/>
        </w:rPr>
      </w:pPr>
      <w:r w:rsidRPr="00FD35EF">
        <w:rPr>
          <w:rFonts w:ascii="Times New Roman" w:eastAsia="Calibri" w:hAnsi="Times New Roman" w:cs="Times New Roman"/>
          <w:kern w:val="0"/>
          <w14:ligatures w14:val="none"/>
        </w:rPr>
        <w:t xml:space="preserve">Cambios hechos a esos </w:t>
      </w:r>
      <w:proofErr w:type="spellStart"/>
      <w:r w:rsidRPr="00FD35EF">
        <w:rPr>
          <w:rFonts w:ascii="Times New Roman" w:eastAsia="Calibri" w:hAnsi="Times New Roman" w:cs="Times New Roman"/>
          <w:kern w:val="0"/>
          <w14:ligatures w14:val="none"/>
        </w:rPr>
        <w:t>prompts</w:t>
      </w:r>
      <w:proofErr w:type="spellEnd"/>
      <w:r w:rsidRPr="00FD35EF">
        <w:rPr>
          <w:rFonts w:ascii="Times New Roman" w:eastAsia="Calibri" w:hAnsi="Times New Roman" w:cs="Times New Roman"/>
          <w:kern w:val="0"/>
          <w14:ligatures w14:val="none"/>
        </w:rPr>
        <w:t>: Alguno que otro en la parte de formato; la IA me ayudó a entender mejor la tarea y las leyes ya que la verdad de mi parte no tengo muchos conocimientos sobre leyes o este tipo de situaciones y luego de entender el trabajo y las leyes pude empezar a crear un documento (Además mi novia me ayudó un poco porque estudia abogacía) y posterior a eso quise darle un mejor formato para la parte de cómo estaba escrito todo para que quedara con un lenguaje y formato más formal.</w:t>
      </w:r>
    </w:p>
    <w:p w14:paraId="405BD9E8" w14:textId="77777777" w:rsidR="00EF3A53" w:rsidRDefault="00EF3A53"/>
    <w:sectPr w:rsidR="00EF3A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EF"/>
    <w:rsid w:val="001C1144"/>
    <w:rsid w:val="00855E72"/>
    <w:rsid w:val="00AF4A0F"/>
    <w:rsid w:val="00B95F79"/>
    <w:rsid w:val="00C119B1"/>
    <w:rsid w:val="00C24F6C"/>
    <w:rsid w:val="00CA3CDC"/>
    <w:rsid w:val="00EF3A53"/>
    <w:rsid w:val="00FD0A13"/>
    <w:rsid w:val="00FD35E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2A152"/>
  <w15:chartTrackingRefBased/>
  <w15:docId w15:val="{43A3D2E9-F3C9-43D8-8DDA-D844E6D7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3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3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35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35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35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35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35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35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35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35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35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35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35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35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35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35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35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35EF"/>
    <w:rPr>
      <w:rFonts w:eastAsiaTheme="majorEastAsia" w:cstheme="majorBidi"/>
      <w:color w:val="272727" w:themeColor="text1" w:themeTint="D8"/>
    </w:rPr>
  </w:style>
  <w:style w:type="paragraph" w:styleId="Ttulo">
    <w:name w:val="Title"/>
    <w:basedOn w:val="Normal"/>
    <w:next w:val="Normal"/>
    <w:link w:val="TtuloCar"/>
    <w:uiPriority w:val="10"/>
    <w:qFormat/>
    <w:rsid w:val="00FD3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35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35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35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35EF"/>
    <w:pPr>
      <w:spacing w:before="160"/>
      <w:jc w:val="center"/>
    </w:pPr>
    <w:rPr>
      <w:i/>
      <w:iCs/>
      <w:color w:val="404040" w:themeColor="text1" w:themeTint="BF"/>
    </w:rPr>
  </w:style>
  <w:style w:type="character" w:customStyle="1" w:styleId="CitaCar">
    <w:name w:val="Cita Car"/>
    <w:basedOn w:val="Fuentedeprrafopredeter"/>
    <w:link w:val="Cita"/>
    <w:uiPriority w:val="29"/>
    <w:rsid w:val="00FD35EF"/>
    <w:rPr>
      <w:i/>
      <w:iCs/>
      <w:color w:val="404040" w:themeColor="text1" w:themeTint="BF"/>
    </w:rPr>
  </w:style>
  <w:style w:type="paragraph" w:styleId="Prrafodelista">
    <w:name w:val="List Paragraph"/>
    <w:basedOn w:val="Normal"/>
    <w:uiPriority w:val="34"/>
    <w:qFormat/>
    <w:rsid w:val="00FD35EF"/>
    <w:pPr>
      <w:ind w:left="720"/>
      <w:contextualSpacing/>
    </w:pPr>
  </w:style>
  <w:style w:type="character" w:styleId="nfasisintenso">
    <w:name w:val="Intense Emphasis"/>
    <w:basedOn w:val="Fuentedeprrafopredeter"/>
    <w:uiPriority w:val="21"/>
    <w:qFormat/>
    <w:rsid w:val="00FD35EF"/>
    <w:rPr>
      <w:i/>
      <w:iCs/>
      <w:color w:val="0F4761" w:themeColor="accent1" w:themeShade="BF"/>
    </w:rPr>
  </w:style>
  <w:style w:type="paragraph" w:styleId="Citadestacada">
    <w:name w:val="Intense Quote"/>
    <w:basedOn w:val="Normal"/>
    <w:next w:val="Normal"/>
    <w:link w:val="CitadestacadaCar"/>
    <w:uiPriority w:val="30"/>
    <w:qFormat/>
    <w:rsid w:val="00FD3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35EF"/>
    <w:rPr>
      <w:i/>
      <w:iCs/>
      <w:color w:val="0F4761" w:themeColor="accent1" w:themeShade="BF"/>
    </w:rPr>
  </w:style>
  <w:style w:type="character" w:styleId="Referenciaintensa">
    <w:name w:val="Intense Reference"/>
    <w:basedOn w:val="Fuentedeprrafopredeter"/>
    <w:uiPriority w:val="32"/>
    <w:qFormat/>
    <w:rsid w:val="00FD35EF"/>
    <w:rPr>
      <w:b/>
      <w:bCs/>
      <w:smallCaps/>
      <w:color w:val="0F4761" w:themeColor="accent1" w:themeShade="BF"/>
      <w:spacing w:val="5"/>
    </w:rPr>
  </w:style>
  <w:style w:type="table" w:styleId="Tablaconcuadrcula">
    <w:name w:val="Table Grid"/>
    <w:basedOn w:val="Tablanormal"/>
    <w:uiPriority w:val="59"/>
    <w:rsid w:val="00FD35EF"/>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1410</Words>
  <Characters>7758</Characters>
  <Application>Microsoft Office Word</Application>
  <DocSecurity>0</DocSecurity>
  <Lines>64</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VARGAS ROJAS</dc:creator>
  <cp:keywords/>
  <dc:description/>
  <cp:lastModifiedBy>MARIANA VARGAS ROJAS</cp:lastModifiedBy>
  <cp:revision>5</cp:revision>
  <dcterms:created xsi:type="dcterms:W3CDTF">2026-08-26T23:54:00Z</dcterms:created>
  <dcterms:modified xsi:type="dcterms:W3CDTF">2026-08-27T00:22:00Z</dcterms:modified>
</cp:coreProperties>
</file>