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diario-de-realidad-nacional-1"/>
    <w:p>
      <w:pPr>
        <w:pStyle w:val="Heading1"/>
      </w:pPr>
      <w:r>
        <w:t xml:space="preserve">Diario de Realidad Nacional #1</w:t>
      </w:r>
    </w:p>
    <w:bookmarkStart w:id="9" w:name="Xddf0360c6e202a7c195f414d1a19eca0d9ef713"/>
    <w:p>
      <w:pPr>
        <w:pStyle w:val="Heading3"/>
      </w:pPr>
      <w:r>
        <w:t xml:space="preserve">CS4402 Seminario de Estudios Costarricenses</w:t>
      </w:r>
    </w:p>
    <w:bookmarkEnd w:id="9"/>
    <w:bookmarkStart w:id="10" w:name="portada"/>
    <w:p>
      <w:pPr>
        <w:pStyle w:val="Heading2"/>
      </w:pPr>
      <w:r>
        <w:t xml:space="preserve">Portada</w:t>
      </w:r>
    </w:p>
    <w:p>
      <w:pPr>
        <w:pStyle w:val="Compact"/>
        <w:numPr>
          <w:ilvl w:val="0"/>
          <w:numId w:val="1001"/>
        </w:numPr>
      </w:pPr>
      <w:r>
        <w:rPr>
          <w:b/>
          <w:bCs/>
        </w:rPr>
        <w:t xml:space="preserve">Nombre completo:</w:t>
      </w:r>
      <w:r>
        <w:t xml:space="preserve"> </w:t>
      </w:r>
      <w:r>
        <w:t xml:space="preserve">Marcos Zamora Sánchez</w:t>
      </w:r>
    </w:p>
    <w:p>
      <w:pPr>
        <w:pStyle w:val="Compact"/>
        <w:numPr>
          <w:ilvl w:val="0"/>
          <w:numId w:val="1001"/>
        </w:numPr>
      </w:pPr>
      <w:r>
        <w:rPr>
          <w:b/>
          <w:bCs/>
        </w:rPr>
        <w:t xml:space="preserve">Curso:</w:t>
      </w:r>
      <w:r>
        <w:t xml:space="preserve"> </w:t>
      </w:r>
      <w:r>
        <w:t xml:space="preserve">CS4402 Seminario de Estudios Costarricenses</w:t>
      </w:r>
    </w:p>
    <w:p>
      <w:pPr>
        <w:pStyle w:val="Compact"/>
        <w:numPr>
          <w:ilvl w:val="0"/>
          <w:numId w:val="1001"/>
        </w:numPr>
      </w:pPr>
      <w:r>
        <w:rPr>
          <w:b/>
          <w:bCs/>
        </w:rPr>
        <w:t xml:space="preserve">Profesora:</w:t>
      </w:r>
      <w:r>
        <w:t xml:space="preserve"> </w:t>
      </w:r>
      <w:r>
        <w:t xml:space="preserve">Berenice Mora Benavides</w:t>
      </w:r>
    </w:p>
    <w:p>
      <w:pPr>
        <w:pStyle w:val="Compact"/>
        <w:numPr>
          <w:ilvl w:val="0"/>
          <w:numId w:val="1001"/>
        </w:numPr>
      </w:pPr>
      <w:r>
        <w:rPr>
          <w:b/>
          <w:bCs/>
        </w:rPr>
        <w:t xml:space="preserve">Fecha:</w:t>
      </w:r>
      <w:r>
        <w:t xml:space="preserve"> </w:t>
      </w:r>
      <w:r>
        <w:t xml:space="preserve">2026-09-22</w:t>
      </w:r>
    </w:p>
    <w:p>
      <w:r>
        <w:pict>
          <v:rect style="width:0;height:1.5pt" o:hralign="center" o:hrstd="t" o:hr="t"/>
        </w:pict>
      </w:r>
    </w:p>
    <w:bookmarkEnd w:id="10"/>
    <w:bookmarkStart w:id="12" w:name="entrada-1"/>
    <w:p>
      <w:pPr>
        <w:pStyle w:val="Heading2"/>
      </w:pPr>
      <w:r>
        <w:t xml:space="preserve">Entrada #1</w:t>
      </w:r>
    </w:p>
    <w:bookmarkStart w:id="11" w:name="X9523631732429a23323975a6cfacd5c0e2c0055"/>
    <w:p>
      <w:pPr>
        <w:pStyle w:val="Heading3"/>
      </w:pPr>
      <w:r>
        <w:t xml:space="preserve">La brecha invisible: cómo Costa Rica se está encareciendo para quienes ya viven acá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Fuente de discusión y descripción del tema</w:t>
            </w:r>
          </w:p>
        </w:tc>
        <w:tc>
          <w:tcPr/>
          <w:p>
            <w:pPr>
              <w:pStyle w:val="Compact"/>
            </w:pPr>
            <w:r>
              <w:t xml:space="preserve">“Costa Rica muestra patrones de gentrificación y brechas de renta alarmantes”</w:t>
            </w:r>
            <w:r>
              <w:t xml:space="preserve">, publicado por UCR Noticias el 11 de junio de 2026, con base en un estudio del Centro Centroamericano de Población y la Escuela de Sociología (Sede de Occidente). El estudio combina imágenes satelitales con redes neuronales artificiales para identificar patrones de transformación urbana y cruzarlos con variables socioeconómicas. Encuentra que las brechas de renta en Costa Rica (la diferencia entre lo que vale un terreno hoy y lo que podría valer tras ser</w:t>
            </w:r>
            <w:r>
              <w:t xml:space="preserve"> </w:t>
            </w:r>
            <w:r>
              <w:t xml:space="preserve">“mejorado”</w:t>
            </w:r>
            <w:r>
              <w:t xml:space="preserve">) triplican o quintuplican las de ciudades como Buenos Aires, Santiago o Ciudad de México, con ganancias de más de $5,000 USD por metro cuadrado en ciertas zonas. Las mayores brechas se concentran en la Gran Área Metropolitana, Guanacaste y el Pacífico Sur. El estudio también encuentra un patrón inverso al histórico: buena parte de las personas de altos ingresos que empujan la gentrificación en zonas costeras vienen de la propia GAM, no del extranjero.</w:t>
            </w:r>
          </w:p>
        </w:tc>
      </w:tr>
      <w:tr>
        <w:tc>
          <w:tcPr/>
          <w:p>
            <w:pPr>
              <w:pStyle w:val="Compact"/>
            </w:pPr>
            <w:r>
              <w:rPr>
                <w:b/>
                <w:bCs/>
              </w:rPr>
              <w:t xml:space="preserve">Ubicación de la fuente</w:t>
            </w:r>
          </w:p>
        </w:tc>
        <w:tc>
          <w:tcPr/>
          <w:p>
            <w:pPr>
              <w:pStyle w:val="Compact"/>
            </w:pPr>
            <w:r>
              <w:t xml:space="preserve">https://www.ucr.ac.cr/noticias/2026/6/11/costa-rica-muestra-patrones-de-gentrificacion-y-brechas-de-renta-alarmantes.html</w:t>
            </w:r>
          </w:p>
        </w:tc>
      </w:tr>
      <w:tr>
        <w:tc>
          <w:tcPr/>
          <w:p>
            <w:pPr>
              <w:pStyle w:val="Compact"/>
            </w:pPr>
            <w:r>
              <w:rPr>
                <w:b/>
                <w:bCs/>
              </w:rPr>
              <w:t xml:space="preserve">Análisis de la realidad nacional</w:t>
            </w:r>
          </w:p>
        </w:tc>
        <w:tc>
          <w:tcPr/>
          <w:p>
            <w:pPr>
              <w:pStyle w:val="Compact"/>
            </w:pPr>
            <w:r>
              <w:t xml:space="preserve">Lo que muestra este estudio es un problema nacional que casi siempre se cuenta como algo positivo: la llegada de inversión, turismo y nómadas digitales a zonas costeras. Pero detrás de esa narrativa hay un desplazamiento silencioso: cuando el valor de la tierra sube tan rápido, las familias que ya vivían ahí (muchas de bajos ingresos, muchas rurales) terminan sin poder pagar el alquiler ni los impuestos de propiedad, y sin poder competir por trabajo con quienes llegan con dólares o euros. Las causas son varias: el turismo de enclave, el mercado de bienes raíces orientado a extranjeros, y la falta de regulación municipal en zonas como Guanacaste. Las consecuencias son pérdida de vivienda, migración interna forzada, y erosión de comunidades que llevaban generaciones en el mismo lugar. Los actores involucrados van desde las municipalidades (que aprueban permisos de construcción sin pensar en el impacto social), hasta las inmobiliarias y desarrolladores, pasando por las comunidades costeras que no tienen el mismo poder de negociación que el capital extranjero o nacional que compra. Es un tema de desigualdad y poder porque quien decide el uso del suelo casi nunca es quien lo habita.</w:t>
            </w:r>
          </w:p>
        </w:tc>
      </w:tr>
      <w:tr>
        <w:tc>
          <w:tcPr/>
          <w:p>
            <w:pPr>
              <w:pStyle w:val="Compact"/>
            </w:pPr>
            <w:r>
              <w:rPr>
                <w:b/>
                <w:bCs/>
              </w:rPr>
              <w:t xml:space="preserve">Relación con el curso</w:t>
            </w:r>
          </w:p>
        </w:tc>
        <w:tc>
          <w:tcPr/>
          <w:p>
            <w:pPr>
              <w:pStyle w:val="Compact"/>
            </w:pPr>
            <w:r>
              <w:t xml:space="preserve">Molina Varela (2019) explica la gentrificación desde el concepto de</w:t>
            </w:r>
            <w:r>
              <w:t xml:space="preserve"> </w:t>
            </w:r>
            <w:r>
              <w:t xml:space="preserve">“brecha de renta”</w:t>
            </w:r>
            <w:r>
              <w:t xml:space="preserve"> </w:t>
            </w:r>
            <w:r>
              <w:t xml:space="preserve">(rent gap): la diferencia entre lo que vale un terreno hoy y lo que podría llegar a valer una vez</w:t>
            </w:r>
            <w:r>
              <w:t xml:space="preserve"> </w:t>
            </w:r>
            <w:r>
              <w:t xml:space="preserve">“mejorado”</w:t>
            </w:r>
            <w:r>
              <w:t xml:space="preserve">, diferencia que las inmobiliarias capturan y acumulan, desplazando a los residentes originales. La autora concluye que en Costa Rica existe</w:t>
            </w:r>
            <w:r>
              <w:t xml:space="preserve"> </w:t>
            </w:r>
            <w:r>
              <w:t xml:space="preserve">“un modelo de gobernanza urbana neoliberal, en el que el Estado permite la acción del sector privado en el crecimiento de la ciudad, pero no la dirige o financia directamente”</w:t>
            </w:r>
            <w:r>
              <w:t xml:space="preserve"> </w:t>
            </w:r>
            <w:r>
              <w:t xml:space="preserve">(Molina Varela, 2019, p. 87), es decir, un Estado que actúa más por omisión y desregulación que como socio activo del desarrollo urbano. Ese marco explica exactamente lo que muestra la noticia de la UCR: no hace falta que el Estado impulse activamente la gentrificación para que esta ocurra, con que se abstenga de regular alcanza para que las brechas de renta se disparen en Guanacaste y el Pacífico Sur.</w:t>
            </w:r>
          </w:p>
        </w:tc>
      </w:tr>
      <w:tr>
        <w:tc>
          <w:tcPr/>
          <w:p>
            <w:pPr>
              <w:pStyle w:val="Compact"/>
            </w:pPr>
            <w:r>
              <w:rPr>
                <w:b/>
                <w:bCs/>
              </w:rPr>
              <w:t xml:space="preserve">Reflexión</w:t>
            </w:r>
          </w:p>
        </w:tc>
        <w:tc>
          <w:tcPr/>
          <w:p>
            <w:pPr>
              <w:pStyle w:val="Compact"/>
            </w:pPr>
            <w:r>
              <w:rPr>
                <w:b/>
                <w:bCs/>
              </w:rPr>
              <w:t xml:space="preserve">[Escribir acá tu reflexión personal: qué te genera este tema, qué preguntas te deja, qué queda fuera de la discusión pública.]</w:t>
            </w:r>
          </w:p>
        </w:tc>
      </w:tr>
    </w:tbl>
    <w:p>
      <w:r>
        <w:pict>
          <v:rect style="width:0;height:1.5pt" o:hralign="center" o:hrstd="t" o:hr="t"/>
        </w:pict>
      </w:r>
    </w:p>
    <w:bookmarkEnd w:id="11"/>
    <w:bookmarkEnd w:id="12"/>
    <w:bookmarkStart w:id="14" w:name="entrada-2"/>
    <w:p>
      <w:pPr>
        <w:pStyle w:val="Heading2"/>
      </w:pPr>
      <w:r>
        <w:t xml:space="preserve">Entrada #2</w:t>
      </w:r>
    </w:p>
    <w:bookmarkStart w:id="13" w:name="X569e20577833ff2e5731eed9fd219644ab6411b"/>
    <w:p>
      <w:pPr>
        <w:pStyle w:val="Heading3"/>
      </w:pPr>
      <w:r>
        <w:t xml:space="preserve">Tres años libre, un femicidio evitable: cuando la orden de captura no se ejecuta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Fuente de discusión y descripción del tema</w:t>
            </w:r>
          </w:p>
        </w:tc>
        <w:tc>
          <w:tcPr/>
          <w:p>
            <w:pPr>
              <w:pStyle w:val="Compact"/>
            </w:pPr>
            <w:r>
              <w:t xml:space="preserve">“Un sujeto debió estar preso en 2021, pero siguió libre y cometió un atroz femicidio en Bagaces, Costa Rica”</w:t>
            </w:r>
            <w:r>
              <w:t xml:space="preserve">, publicado en Infobae el 8 de agosto de 2026, por Elizabeth Minero. El 5 de agosto de 2026, en Pijije de Bagaces, Guanacaste, Meyli Iveth Meza Ibarra (35 años, originaria de Upala) fue asesinada por asfixia por su pareja sentimental, un hombre de apellido Morales (34 años), luego de que una discusión escalara a agresión física. El agresor cubrió el cuerpo con una cobija y huyó, y fue capturado esa misma noche por el OIJ. La nota revela que sobre él pesaba una orden de captura vigente desde 2021 por un caso de violación que nunca se ejecutó: estuvo libre tres años pese a tener ese proceso pendiente. Meza Ibarra deja tres hijos, de 4, 12 y 18 años.</w:t>
            </w:r>
          </w:p>
        </w:tc>
      </w:tr>
      <w:tr>
        <w:tc>
          <w:tcPr/>
          <w:p>
            <w:pPr>
              <w:pStyle w:val="Compact"/>
            </w:pPr>
            <w:r>
              <w:rPr>
                <w:b/>
                <w:bCs/>
              </w:rPr>
              <w:t xml:space="preserve">Ubicación de la fuente</w:t>
            </w:r>
          </w:p>
        </w:tc>
        <w:tc>
          <w:tcPr/>
          <w:p>
            <w:pPr>
              <w:pStyle w:val="Compact"/>
            </w:pPr>
            <w:r>
              <w:t xml:space="preserve">https://www.infobae.com/costa-rica/2026/08/08/un-sujeto-debio-estar-preso-en-2021-pero-siguio-libre-y-cometio-un-atroz-femicidio-en-bagaces-costa-rica/</w:t>
            </w:r>
          </w:p>
        </w:tc>
      </w:tr>
      <w:tr>
        <w:tc>
          <w:tcPr/>
          <w:p>
            <w:pPr>
              <w:pStyle w:val="Compact"/>
            </w:pPr>
            <w:r>
              <w:rPr>
                <w:b/>
                <w:bCs/>
              </w:rPr>
              <w:t xml:space="preserve">Análisis de la realidad nacional</w:t>
            </w:r>
          </w:p>
        </w:tc>
        <w:tc>
          <w:tcPr/>
          <w:p>
            <w:pPr>
              <w:pStyle w:val="Compact"/>
            </w:pPr>
            <w:r>
              <w:t xml:space="preserve">Lo que muestra este caso no es solo un femicidio, sino una falla institucional que lo hizo posible: el sistema de justicia tuvo una oportunidad concreta de evitarlo —ejecutar una orden de captura por violación que llevaba tres años pendiente— y no la aprovechó. Las causas incluyen tanto el patrón de violencia de pareja (uno de los contextos más comunes de femicidio en la región) como la sub-priorización práctica de las órdenes de captura por delitos sexuales cuando la víctima potencial todavía no ha sufrido un desenlace fatal. Las consecuencias recaen sobre la víctima y sus tres hijos, que quedan huérfanos de madre, y también sobre la credibilidad del sistema de justicia frente a la violencia contra las mujeres. Los actores involucrados son el Poder Judicial y el OIJ (responsables de ejecutar la orden pendiente), el Ministerio Público, y el agresor. La desigualdad de poder aparece en dos capas: la de género dentro de la relación de pareja, y la institucional —quien decide con qué urgencia se persigue una orden de captura por violencia sexual no es quien queda expuesto al riesgo mientras esa orden sigue sin ejecutarse.</w:t>
            </w:r>
          </w:p>
        </w:tc>
      </w:tr>
      <w:tr>
        <w:tc>
          <w:tcPr/>
          <w:p>
            <w:pPr>
              <w:pStyle w:val="Compact"/>
            </w:pPr>
            <w:r>
              <w:rPr>
                <w:b/>
                <w:bCs/>
              </w:rPr>
              <w:t xml:space="preserve">Relación con el curso</w:t>
            </w:r>
          </w:p>
        </w:tc>
        <w:tc>
          <w:tcPr/>
          <w:p>
            <w:pPr>
              <w:pStyle w:val="Compact"/>
            </w:pPr>
            <w:r>
              <w:t xml:space="preserve">Carcedo et al. (2010), retomando a Diana Russell, definen el femicidio como</w:t>
            </w:r>
            <w:r>
              <w:t xml:space="preserve"> </w:t>
            </w:r>
            <w:r>
              <w:t xml:space="preserve">“el asesinato de mujeres realizado por hombres motivado por odio, desprecio, placer o un sentido de propiedad de las mujeres”</w:t>
            </w:r>
            <w:r>
              <w:t xml:space="preserve">, e insisten, citando a Lori Heise, en que</w:t>
            </w:r>
            <w:r>
              <w:t xml:space="preserve"> </w:t>
            </w:r>
            <w:r>
              <w:t xml:space="preserve">“esta violencia no es casual, el factor de riesgo es ser mujer”</w:t>
            </w:r>
            <w:r>
              <w:t xml:space="preserve"> </w:t>
            </w:r>
            <w:r>
              <w:t xml:space="preserve">(Carcedo et al., 2010, p. 538). El caso de Bagaces corresponde exactamente al</w:t>
            </w:r>
            <w:r>
              <w:t xml:space="preserve"> </w:t>
            </w:r>
            <w:r>
              <w:t xml:space="preserve">“escenario histórico”</w:t>
            </w:r>
            <w:r>
              <w:t xml:space="preserve"> </w:t>
            </w:r>
            <w:r>
              <w:t xml:space="preserve">de</w:t>
            </w:r>
            <w:r>
              <w:t xml:space="preserve"> </w:t>
            </w:r>
            <w:r>
              <w:rPr>
                <w:b/>
                <w:bCs/>
              </w:rPr>
              <w:t xml:space="preserve">relación de pareja</w:t>
            </w:r>
            <w:r>
              <w:t xml:space="preserve"> </w:t>
            </w:r>
            <w:r>
              <w:t xml:space="preserve">que las autoras identifican como el contexto más frecuente de femicidio en la región. Además, aunque las autoras hablan de impunidad institucional sobre todo en el contexto del crimen organizado, el mismo mecanismo estructural aparece acá en otra forma: una orden de captura por violencia sexual sin ejecutar durante tres años es, en los términos del texto, una institucionalidad que no actúa a tiempo frente a un riesgo de género ya identificado, y que solo reacciona una vez ocurrido el femicidio.</w:t>
            </w:r>
          </w:p>
        </w:tc>
      </w:tr>
      <w:tr>
        <w:tc>
          <w:tcPr/>
          <w:p>
            <w:pPr>
              <w:pStyle w:val="Compact"/>
            </w:pPr>
            <w:r>
              <w:rPr>
                <w:b/>
                <w:bCs/>
              </w:rPr>
              <w:t xml:space="preserve">Reflexión</w:t>
            </w:r>
          </w:p>
        </w:tc>
        <w:tc>
          <w:tcPr/>
          <w:p>
            <w:pPr>
              <w:pStyle w:val="Compact"/>
            </w:pPr>
            <w:r>
              <w:rPr>
                <w:b/>
                <w:bCs/>
              </w:rPr>
              <w:t xml:space="preserve">[Escribir acá tu reflexión personal: qué te genera que la orden de captura llevara tres años sin ejecutarse, qué preguntas te deja sobre cómo el sistema judicial prioriza los casos de violencia contra las mujeres.]</w:t>
            </w:r>
          </w:p>
        </w:tc>
      </w:tr>
    </w:tbl>
    <w:p>
      <w:r>
        <w:pict>
          <v:rect style="width:0;height:1.5pt" o:hralign="center" o:hrstd="t" o:hr="t"/>
        </w:pict>
      </w:r>
    </w:p>
    <w:bookmarkEnd w:id="13"/>
    <w:bookmarkEnd w:id="14"/>
    <w:bookmarkStart w:id="16" w:name="entrada-3"/>
    <w:p>
      <w:pPr>
        <w:pStyle w:val="Heading2"/>
      </w:pPr>
      <w:r>
        <w:t xml:space="preserve">Entrada #3</w:t>
      </w:r>
    </w:p>
    <w:bookmarkStart w:id="15" w:name="X5e1b942da5a77e437e3798100737de5398220ed"/>
    <w:p>
      <w:pPr>
        <w:pStyle w:val="Heading3"/>
      </w:pPr>
      <w:r>
        <w:t xml:space="preserve">Cuatro años de espera: la burocracia como forma de exclusión para personas refugiadas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Fuente de discusión y descripción del tema</w:t>
            </w:r>
          </w:p>
        </w:tc>
        <w:tc>
          <w:tcPr/>
          <w:p>
            <w:pPr>
              <w:pStyle w:val="Compact"/>
            </w:pPr>
            <w:r>
              <w:t xml:space="preserve">“La brecha del asilo en Costa Rica: de la promesa de refugio a la trampa de la burocracia”</w:t>
            </w:r>
            <w:r>
              <w:t xml:space="preserve">, publicado en Delfino.cr el 18 de agosto de 2026, por Angie M. Mora Corrales. Según cifras de ACNUR citadas en la nota, Costa Rica tenía más de 233,000 personas con necesidad de protección internacional a finales de 2024, de las cuales 87% son nicaragüenses. El artículo señala que el país acumula más de 200,000 solicitudes de refugio pendientes, con esperas de hasta cuatro años solo para una revisión inicial. Aunque la Ley 8764 garantiza a las personas solicitantes el derecho al trabajo, la nota explica que la lentitud burocrática en la práctica bloquea el acceso a empleo formal (empujando a la informalidad) y a la seguridad social, porque</w:t>
            </w:r>
            <w:r>
              <w:t xml:space="preserve"> </w:t>
            </w:r>
            <w:r>
              <w:t xml:space="preserve">“los retrasos en la documentación impiden que miles de personas solicitantes de refugio logren afiliarse a la seguridad social”</w:t>
            </w:r>
            <w:r>
              <w:t xml:space="preserve">. La nota cierra pidiendo más presupuesto institucional, digitalización del trámite y emisión más rápida de permisos de trabajo.</w:t>
            </w:r>
          </w:p>
        </w:tc>
      </w:tr>
      <w:tr>
        <w:tc>
          <w:tcPr/>
          <w:p>
            <w:pPr>
              <w:pStyle w:val="Compact"/>
            </w:pPr>
            <w:r>
              <w:rPr>
                <w:b/>
                <w:bCs/>
              </w:rPr>
              <w:t xml:space="preserve">Ubicación de la fuente</w:t>
            </w:r>
          </w:p>
        </w:tc>
        <w:tc>
          <w:tcPr/>
          <w:p>
            <w:pPr>
              <w:pStyle w:val="Compact"/>
            </w:pPr>
            <w:r>
              <w:t xml:space="preserve">https://delfino.cr/2026/08/la-brecha-del-asilo-en-costa-rica-de-la-promesa-de-refugio-a-la-trampa-de-la-burocracia</w:t>
            </w:r>
          </w:p>
        </w:tc>
      </w:tr>
      <w:tr>
        <w:tc>
          <w:tcPr/>
          <w:p>
            <w:pPr>
              <w:pStyle w:val="Compact"/>
            </w:pPr>
            <w:r>
              <w:rPr>
                <w:b/>
                <w:bCs/>
              </w:rPr>
              <w:t xml:space="preserve">Análisis de la realidad nacional</w:t>
            </w:r>
          </w:p>
        </w:tc>
        <w:tc>
          <w:tcPr/>
          <w:p>
            <w:pPr>
              <w:pStyle w:val="Compact"/>
            </w:pPr>
            <w:r>
              <w:t xml:space="preserve">Este caso muestra que la exclusión hacia personas migrantes y refugiadas en Costa Rica no siempre pasa por un rechazo abierto o un discurso xenófobo, sino por algo más difícil de señalar: la lentitud institucional. Cuatro años de espera para una revisión inicial equivale, en la práctica, a dejar a cientos de miles de personas en un limbo legal donde no pueden trabajar formalmente ni acceder a salud, aunque la ley en el papel les reconozca esos derechos. Las causas incluyen la falta de presupuesto y personal en las instituciones migratorias frente a un flujo migratorio sostenido desde Nicaragua desde 2018. Las consecuencias recaen sobre todo en la población solicitante: informalidad laboral, desprotección en salud, y mayor vulnerabilidad a la explotación. El Estado tiene responsabilidad directa en esto, no por una política explícita de exclusión, sino por omisión: no invertir en digitalizar o agilizar el sistema es también una forma de decidir quién queda protegido y quién no.</w:t>
            </w:r>
          </w:p>
        </w:tc>
      </w:tr>
      <w:tr>
        <w:tc>
          <w:tcPr/>
          <w:p>
            <w:pPr>
              <w:pStyle w:val="Compact"/>
            </w:pPr>
            <w:r>
              <w:rPr>
                <w:b/>
                <w:bCs/>
              </w:rPr>
              <w:t xml:space="preserve">Relación con el curso</w:t>
            </w:r>
          </w:p>
        </w:tc>
        <w:tc>
          <w:tcPr/>
          <w:p>
            <w:pPr>
              <w:pStyle w:val="Compact"/>
            </w:pPr>
            <w:r>
              <w:t xml:space="preserve">Sandoval García (2002) sostiene que la</w:t>
            </w:r>
            <w:r>
              <w:t xml:space="preserve"> </w:t>
            </w:r>
            <w:r>
              <w:t xml:space="preserve">“racialización”</w:t>
            </w:r>
            <w:r>
              <w:t xml:space="preserve"> </w:t>
            </w:r>
            <w:r>
              <w:t xml:space="preserve">de la población nicaragüense en Costa Rica</w:t>
            </w:r>
            <w:r>
              <w:t xml:space="preserve"> </w:t>
            </w:r>
            <w:r>
              <w:t xml:space="preserve">“no guarda relación con sus rasgos biológicos o culturales, sino con las características de quienes construyen dichas imágenes de otredad”</w:t>
            </w:r>
            <w:r>
              <w:t xml:space="preserve"> </w:t>
            </w:r>
            <w:r>
              <w:t xml:space="preserve">(Sandoval García, 2002, p. 77), y que esa construcción del nicaragüense como</w:t>
            </w:r>
            <w:r>
              <w:t xml:space="preserve"> </w:t>
            </w:r>
            <w:r>
              <w:t xml:space="preserve">“amenaza”</w:t>
            </w:r>
            <w:r>
              <w:t xml:space="preserve"> </w:t>
            </w:r>
            <w:r>
              <w:t xml:space="preserve">cumple la función de reforzar un sentido de pertenencia nacional (</w:t>
            </w:r>
            <w:r>
              <w:t xml:space="preserve">“nosotros”</w:t>
            </w:r>
            <w:r>
              <w:t xml:space="preserve">) cada vez que el país atraviesa una crisis de sus propias bases materiales y simbólicas. La crisis del sistema de asilo que describe la noticia de Delfino.cr no es un choque puntual de xenofobia, es la misma lógica en su versión burocrática: la exclusión no necesita un discurso abiertamente hostil para operar, basta con una institucionalidad que tarda hasta cuatro años en atender una solicitud de refugio para mantener a la población nicaragüense en los márgenes de la ciudadanía.</w:t>
            </w:r>
          </w:p>
        </w:tc>
      </w:tr>
      <w:tr>
        <w:tc>
          <w:tcPr/>
          <w:p>
            <w:pPr>
              <w:pStyle w:val="Compact"/>
            </w:pPr>
            <w:r>
              <w:rPr>
                <w:b/>
                <w:bCs/>
              </w:rPr>
              <w:t xml:space="preserve">Reflexión</w:t>
            </w:r>
          </w:p>
        </w:tc>
        <w:tc>
          <w:tcPr/>
          <w:p>
            <w:pPr>
              <w:pStyle w:val="Compact"/>
            </w:pPr>
            <w:r>
              <w:rPr>
                <w:b/>
                <w:bCs/>
              </w:rPr>
              <w:t xml:space="preserve">[Escribir acá tu reflexión personal sobre este tema.]</w:t>
            </w:r>
          </w:p>
        </w:tc>
      </w:tr>
    </w:tbl>
    <w:p>
      <w:r>
        <w:pict>
          <v:rect style="width:0;height:1.5pt" o:hralign="center" o:hrstd="t" o:hr="t"/>
        </w:pict>
      </w:r>
    </w:p>
    <w:bookmarkEnd w:id="15"/>
    <w:bookmarkEnd w:id="16"/>
    <w:bookmarkStart w:id="17" w:name="referencias"/>
    <w:p>
      <w:pPr>
        <w:pStyle w:val="Heading2"/>
      </w:pPr>
      <w:r>
        <w:t xml:space="preserve">Referencias</w:t>
      </w:r>
    </w:p>
    <w:p>
      <w:pPr>
        <w:pStyle w:val="FirstParagraph"/>
      </w:pPr>
      <w:r>
        <w:t xml:space="preserve">Carcedo, A. et al. (2010). Conceptos, contextos y escenarios del femicidio en Centroamérica. En</w:t>
      </w:r>
      <w:r>
        <w:t xml:space="preserve"> </w:t>
      </w:r>
      <w:r>
        <w:rPr>
          <w:i/>
          <w:iCs/>
        </w:rPr>
        <w:t xml:space="preserve">Antología del pensamiento crítico costarricense contemporáneo</w:t>
      </w:r>
      <w:r>
        <w:t xml:space="preserve"> </w:t>
      </w:r>
      <w:r>
        <w:t xml:space="preserve">(pp. 537-568). CLACSO.</w:t>
      </w:r>
    </w:p>
    <w:p>
      <w:pPr>
        <w:pStyle w:val="BodyText"/>
      </w:pPr>
      <w:r>
        <w:t xml:space="preserve">Minero, E. (2026, 8 de agosto).</w:t>
      </w:r>
      <w:r>
        <w:t xml:space="preserve"> </w:t>
      </w:r>
      <w:r>
        <w:rPr>
          <w:i/>
          <w:iCs/>
        </w:rPr>
        <w:t xml:space="preserve">Un sujeto debió estar preso en 2021, pero siguió libre y cometió un atroz femicidio en Bagaces, Costa Rica</w:t>
      </w:r>
      <w:r>
        <w:t xml:space="preserve">. Infobae. https://www.infobae.com/costa-rica/2026/08/08/un-sujeto-debio-estar-preso-en-2021-pero-siguio-libre-y-cometio-un-atroz-femicidio-en-bagaces-costa-rica/</w:t>
      </w:r>
    </w:p>
    <w:p>
      <w:pPr>
        <w:pStyle w:val="BodyText"/>
      </w:pPr>
      <w:r>
        <w:t xml:space="preserve">Molina Varela, W. (2019). La gentrificación en Costa Rica: elementos para su estudio y comprensión.</w:t>
      </w:r>
      <w:r>
        <w:t xml:space="preserve"> </w:t>
      </w:r>
      <w:r>
        <w:rPr>
          <w:i/>
          <w:iCs/>
        </w:rPr>
        <w:t xml:space="preserve">Revista de Ciencias Sociales</w:t>
      </w:r>
      <w:r>
        <w:t xml:space="preserve">, (164), 87-107.</w:t>
      </w:r>
    </w:p>
    <w:p>
      <w:pPr>
        <w:pStyle w:val="BodyText"/>
      </w:pPr>
      <w:r>
        <w:t xml:space="preserve">Mora Corrales, A. M. (2026, 18 de agosto).</w:t>
      </w:r>
      <w:r>
        <w:t xml:space="preserve"> </w:t>
      </w:r>
      <w:r>
        <w:rPr>
          <w:i/>
          <w:iCs/>
        </w:rPr>
        <w:t xml:space="preserve">La brecha del asilo en Costa Rica: de la promesa de refugio a la trampa de la burocracia</w:t>
      </w:r>
      <w:r>
        <w:t xml:space="preserve">. Delfino.cr. https://delfino.cr/2026/08/la-brecha-del-asilo-en-costa-rica-de-la-promesa-de-refugio-a-la-trampa-de-la-burocracia</w:t>
      </w:r>
    </w:p>
    <w:p>
      <w:pPr>
        <w:pStyle w:val="BodyText"/>
      </w:pPr>
      <w:r>
        <w:t xml:space="preserve">Sandoval García, C. (2002). El</w:t>
      </w:r>
      <w:r>
        <w:t xml:space="preserve"> </w:t>
      </w:r>
      <w:r>
        <w:t xml:space="preserve">“otro”</w:t>
      </w:r>
      <w:r>
        <w:t xml:space="preserve"> </w:t>
      </w:r>
      <w:r>
        <w:t xml:space="preserve">nicaragüense en el imaginario colectivo costarricense: algunos retos analíticos y políticos.</w:t>
      </w:r>
      <w:r>
        <w:t xml:space="preserve"> </w:t>
      </w:r>
      <w:r>
        <w:rPr>
          <w:i/>
          <w:iCs/>
        </w:rPr>
        <w:t xml:space="preserve">Nómadas</w:t>
      </w:r>
      <w:r>
        <w:t xml:space="preserve">, (20), 152-159.</w:t>
      </w:r>
    </w:p>
    <w:p>
      <w:pPr>
        <w:pStyle w:val="BodyText"/>
      </w:pPr>
      <w:r>
        <w:t xml:space="preserve">UCR Noticias. (2026, 11 de junio).</w:t>
      </w:r>
      <w:r>
        <w:t xml:space="preserve"> </w:t>
      </w:r>
      <w:r>
        <w:rPr>
          <w:i/>
          <w:iCs/>
        </w:rPr>
        <w:t xml:space="preserve">Costa Rica muestra patrones de gentrificación y brechas de renta alarmantes</w:t>
      </w:r>
      <w:r>
        <w:t xml:space="preserve">. Universidad de Costa Rica. https://www.ucr.ac.cr/noticias/2026/6/11/costa-rica-muestra-patrones-de-gentrificacion-y-brechas-de-renta-alarmantes.html</w:t>
      </w:r>
    </w:p>
    <w:bookmarkEnd w:id="17"/>
    <w:bookmarkStart w:id="18" w:name="bitácora-de-uso-de-ia"/>
    <w:p>
      <w:pPr>
        <w:pStyle w:val="Heading2"/>
      </w:pPr>
      <w:r>
        <w:t xml:space="preserve">Bitácora de uso de IA</w:t>
      </w:r>
    </w:p>
    <w:p>
      <w:pPr>
        <w:pStyle w:val="FirstParagraph"/>
      </w:pPr>
      <w:r>
        <w:t xml:space="preserve">Le pedí a la IA que buscara y verificara (abriendo cada enlace) 3 noticias reales, recientes y de temas distintos de la realidad nacional costarricense, alineadas con lecturas ya vistas en el curso hasta la semana 7, para usarlas en las 3 entradas del Diario #1. Confirmé el trío de temas (gentrificación, racismo/afrodescendientes, crisis del sistema de asilo). El análisis de</w:t>
      </w:r>
      <w:r>
        <w:t xml:space="preserve"> </w:t>
      </w:r>
      <w:r>
        <w:t xml:space="preserve">“realidad nacional”</w:t>
      </w:r>
      <w:r>
        <w:t xml:space="preserve"> </w:t>
      </w:r>
      <w:r>
        <w:t xml:space="preserve">de cada entrada es un primer borrador de la IA a partir de los datos verificados de cada nota, pendiente de revisión y de mi propia voz. Para</w:t>
      </w:r>
      <w:r>
        <w:t xml:space="preserve"> </w:t>
      </w:r>
      <w:r>
        <w:t xml:space="preserve">“Relación con el curso”</w:t>
      </w:r>
      <w:r>
        <w:t xml:space="preserve"> </w:t>
      </w:r>
      <w:r>
        <w:t xml:space="preserve">subí las 3 lecturas al inbox, la IA las leyó completas y redactó la conexión con un concepto específico de cada autor/a (brecha de renta de Molina Varela, negación del racismo estructural de Pérez Granados, racialización de la otredad de Sandoval García), citando en APA 7. La</w:t>
      </w:r>
      <w:r>
        <w:t xml:space="preserve"> </w:t>
      </w:r>
      <w:r>
        <w:t xml:space="preserve">“Reflexión”</w:t>
      </w:r>
      <w:r>
        <w:t xml:space="preserve"> </w:t>
      </w:r>
      <w:r>
        <w:t xml:space="preserve">de cada entrada queda pendiente porque es mi criterio personal.</w:t>
      </w:r>
    </w:p>
    <w:p>
      <w:pPr>
        <w:pStyle w:val="BodyText"/>
      </w:pPr>
      <w:r>
        <w:rPr>
          <w:b/>
          <w:bCs/>
        </w:rPr>
        <w:t xml:space="preserve">2026-09-08:</w:t>
      </w:r>
      <w:r>
        <w:t xml:space="preserve"> </w:t>
      </w:r>
      <w:r>
        <w:t xml:space="preserve">Detecté que la Entrada #2 (racismo/población afrocostarricense) coincidía de tema con el Proyecto de Investigación (racismo, Limón), así que le pedí a la IA que la reemplazara por un tema distinto. Buscó y verificó (con WebSearch + WebFetch, abriendo el artículo completo) un femicidio real de agosto de 2026 en Bagaces, Guanacaste, conectado con la lectura de Carcedo sobre femicidio (aún no usada en el diario). Redactó de nuevo la fuente, descripción, análisis y relación con el curso de esa entrada con los datos verificados del artículo; actualizó referencias, checklist y esta bitácora. La reflexión de la nueva Entrada #2 sigue pendiente, igual que las otras dos.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2026-09-18T15:10:37Z</dcterms:created>
  <dcterms:modified xsi:type="dcterms:W3CDTF">2026-09-18T15:10:37Z</dcterms:modified>
</cp:coreProperties>
</file>

<file path=docProps/custom.xml><?xml version="1.0" encoding="utf-8"?>
<Properties xmlns="http://schemas.openxmlformats.org/officeDocument/2006/custom-properties" xmlns:vt="http://schemas.openxmlformats.org/officeDocument/2006/docPropsVTypes"/>
</file>