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jc w:val="center"/>
      </w:pPr>
      <w:r>
        <w:rPr>
          <w:b w:val="0"/>
        </w:rPr>
      </w:r>
    </w:p>
    <w:p>
      <w:pPr>
        <w:spacing w:line="360" w:lineRule="auto" w:after="0" w:before="0"/>
        <w:jc w:val="center"/>
      </w:pPr>
      <w:r>
        <w:rPr>
          <w:b w:val="0"/>
        </w:rPr>
      </w:r>
    </w:p>
    <w:p>
      <w:pPr>
        <w:spacing w:line="360" w:lineRule="auto" w:after="0" w:before="0"/>
        <w:jc w:val="center"/>
      </w:pPr>
      <w:r>
        <w:rPr>
          <w:b w:val="0"/>
        </w:rPr>
      </w:r>
    </w:p>
    <w:p>
      <w:pPr>
        <w:spacing w:line="360" w:lineRule="auto" w:after="0" w:before="0"/>
        <w:jc w:val="center"/>
      </w:pPr>
      <w:r>
        <w:rPr>
          <w:b/>
        </w:rPr>
        <w:t>INSTITUTO TECNOLÓGICO DE COSTA RICA</w:t>
      </w:r>
    </w:p>
    <w:p>
      <w:pPr>
        <w:spacing w:line="360" w:lineRule="auto" w:after="0" w:before="0"/>
        <w:jc w:val="center"/>
      </w:pPr>
      <w:r>
        <w:rPr>
          <w:b/>
        </w:rPr>
        <w:t>Escuela de Ingeniería en Computación</w:t>
      </w:r>
    </w:p>
    <w:p>
      <w:pPr>
        <w:spacing w:line="360" w:lineRule="auto" w:after="0" w:before="0"/>
        <w:jc w:val="center"/>
      </w:pPr>
      <w:r>
        <w:rPr>
          <w:b/>
        </w:rPr>
        <w:t>Seguridad del Software</w:t>
      </w:r>
    </w:p>
    <w:p>
      <w:pPr>
        <w:spacing w:line="360" w:lineRule="auto" w:after="0" w:before="0"/>
        <w:jc w:val="center"/>
      </w:pPr>
      <w:r>
        <w:rPr>
          <w:b w:val="0"/>
        </w:rPr>
      </w:r>
    </w:p>
    <w:p>
      <w:pPr>
        <w:spacing w:line="360" w:lineRule="auto" w:after="0" w:before="0"/>
        <w:jc w:val="center"/>
      </w:pPr>
      <w:r>
        <w:rPr>
          <w:b w:val="0"/>
        </w:rPr>
      </w:r>
    </w:p>
    <w:p>
      <w:pPr>
        <w:spacing w:line="360" w:lineRule="auto" w:after="0" w:before="0"/>
        <w:jc w:val="center"/>
      </w:pPr>
      <w:r>
        <w:rPr>
          <w:b w:val="0"/>
        </w:rPr>
      </w:r>
    </w:p>
    <w:p>
      <w:pPr>
        <w:spacing w:line="360" w:lineRule="auto" w:after="0" w:before="0"/>
        <w:jc w:val="center"/>
      </w:pPr>
      <w:r>
        <w:rPr>
          <w:b/>
        </w:rPr>
        <w:t>Tarea 3 — NIST Cybersecurity Framework (CSF)</w:t>
      </w:r>
    </w:p>
    <w:p>
      <w:pPr>
        <w:spacing w:line="360" w:lineRule="auto" w:after="0" w:before="0"/>
        <w:jc w:val="center"/>
      </w:pPr>
      <w:r>
        <w:rPr>
          <w:b w:val="0"/>
        </w:rPr>
        <w:t>Caso VoteOnline (Votación Institucional)</w:t>
      </w:r>
    </w:p>
    <w:p>
      <w:pPr>
        <w:spacing w:line="360" w:lineRule="auto" w:after="0" w:before="0"/>
        <w:jc w:val="center"/>
      </w:pPr>
      <w:r>
        <w:rPr>
          <w:b w:val="0"/>
        </w:rPr>
        <w:t>Trabajo en clase, 30 minutos</w:t>
      </w:r>
    </w:p>
    <w:p>
      <w:pPr>
        <w:spacing w:line="360" w:lineRule="auto" w:after="0" w:before="0"/>
        <w:jc w:val="center"/>
      </w:pPr>
      <w:r>
        <w:rPr>
          <w:b w:val="0"/>
        </w:rPr>
      </w:r>
    </w:p>
    <w:p>
      <w:pPr>
        <w:spacing w:line="360" w:lineRule="auto" w:after="0" w:before="0"/>
        <w:jc w:val="center"/>
      </w:pPr>
      <w:r>
        <w:rPr>
          <w:b w:val="0"/>
        </w:rPr>
      </w:r>
    </w:p>
    <w:p>
      <w:pPr>
        <w:spacing w:line="360" w:lineRule="auto" w:after="0" w:before="0"/>
        <w:jc w:val="center"/>
      </w:pPr>
      <w:r>
        <w:rPr>
          <w:b/>
          <w:i w:val="0"/>
        </w:rPr>
        <w:t xml:space="preserve">Estudiante: </w:t>
      </w:r>
      <w:r>
        <w:rPr>
          <w:b w:val="0"/>
          <w:i w:val="0"/>
        </w:rPr>
        <w:t>Marcos Zamora Sánchez</w:t>
      </w:r>
    </w:p>
    <w:p>
      <w:pPr>
        <w:spacing w:line="360" w:lineRule="auto" w:after="0" w:before="0"/>
        <w:jc w:val="center"/>
      </w:pPr>
      <w:r>
        <w:rPr>
          <w:b/>
          <w:i w:val="0"/>
        </w:rPr>
        <w:t xml:space="preserve">Profesora: </w:t>
      </w:r>
      <w:r>
        <w:rPr>
          <w:b w:val="0"/>
          <w:i w:val="0"/>
        </w:rPr>
        <w:t>Adriana Rojas Chavarría</w:t>
      </w:r>
    </w:p>
    <w:p>
      <w:pPr>
        <w:spacing w:line="360" w:lineRule="auto" w:after="0" w:before="0"/>
        <w:jc w:val="center"/>
      </w:pPr>
      <w:r>
        <w:rPr>
          <w:b/>
          <w:i w:val="0"/>
        </w:rPr>
        <w:t xml:space="preserve">Grupo: </w:t>
      </w:r>
      <w:r>
        <w:rPr>
          <w:b w:val="0"/>
          <w:i w:val="0"/>
        </w:rPr>
        <w:t>11</w:t>
      </w:r>
    </w:p>
    <w:p>
      <w:pPr>
        <w:spacing w:line="360" w:lineRule="auto" w:after="0" w:before="0"/>
        <w:jc w:val="center"/>
      </w:pPr>
      <w:r>
        <w:rPr>
          <w:b/>
          <w:i w:val="0"/>
        </w:rPr>
        <w:t xml:space="preserve">Fecha: </w:t>
      </w:r>
      <w:r>
        <w:rPr>
          <w:b w:val="0"/>
          <w:i w:val="0"/>
        </w:rPr>
        <w:t>7 de setiembre de 2026</w:t>
      </w:r>
    </w:p>
    <w:p>
      <w:pPr>
        <w:spacing w:line="360" w:lineRule="auto" w:after="0" w:before="0"/>
      </w:pPr>
      <w:r>
        <w:rPr>
          <w:b w:val="0"/>
        </w:rPr>
      </w:r>
    </w:p>
    <w:p>
      <w:pPr>
        <w:spacing w:line="360" w:lineRule="auto" w:after="0" w:before="0"/>
      </w:pPr>
      <w:r>
        <w:rPr>
          <w:b/>
        </w:rPr>
        <w:t>Escenario</w:t>
      </w:r>
    </w:p>
    <w:p>
      <w:pPr>
        <w:spacing w:line="360" w:lineRule="auto" w:after="0" w:before="0"/>
        <w:jc w:val="both"/>
      </w:pPr>
      <w:r>
        <w:rPr>
          <w:b w:val="0"/>
        </w:rPr>
        <w:t>VoteOnline es un sistema web de elecciones remotas para colegios profesionales, ya analizado en la Tarea 2 (Threat Modeling). El votante recibe un token de un solo uso por correo, generado a partir de su número de cédula mediante SHA-1 sin sal, lo que permite predecir los tokens de otros votantes. El sistema guarda el ID del votante junto a la opción elegida en la misma tabla de la base de datos, y un panel de administración protegido solo por una cookie de sesión (sin flag HttpOnly) permite auditar la base de datos. Recientemente la empresa detectó intentos de acceso no autorizado y quiere mejorar su postura de ciberseguridad aplicando el NIST Cybersecurity Framework.</w:t>
      </w:r>
    </w:p>
    <w:p>
      <w:pPr>
        <w:spacing w:line="360" w:lineRule="auto" w:after="0" w:before="0"/>
      </w:pPr>
      <w:r>
        <w:rPr>
          <w:b w:val="0"/>
        </w:rPr>
      </w:r>
    </w:p>
    <w:p>
      <w:pPr>
        <w:spacing w:line="360" w:lineRule="auto" w:after="0" w:before="0"/>
      </w:pPr>
      <w:r>
        <w:rPr>
          <w:b/>
        </w:rPr>
        <w:t>1. IDENTIFY — Identificación de activos y riesgos</w:t>
      </w:r>
    </w:p>
    <w:p>
      <w:pPr>
        <w:spacing w:line="360" w:lineRule="auto" w:after="0" w:before="0"/>
      </w:pPr>
      <w:r>
        <w:rPr>
          <w:b/>
        </w:rPr>
        <w:t>1.1 Cuatro activos críticos: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rPr>
          <w:b/>
        </w:rPr>
        <w:t xml:space="preserve">Token del votante — </w:t>
      </w:r>
      <w:r>
        <w:t>es la credencial que autoriza un voto; si se compromete, se puede suplantar a cualquier colegiado.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rPr>
          <w:b/>
        </w:rPr>
        <w:t xml:space="preserve">ID del votante vinculado al voto (misma tabla) — </w:t>
      </w:r>
      <w:r>
        <w:t>de esto depende el secreto del voto.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rPr>
          <w:b/>
        </w:rPr>
        <w:t xml:space="preserve">Base de datos electoral — </w:t>
      </w:r>
      <w:r>
        <w:t>contiene el resultado completo de la elección.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rPr>
          <w:b/>
        </w:rPr>
        <w:t xml:space="preserve">Panel de administración / cookie de sesión — </w:t>
      </w:r>
      <w:r>
        <w:t>es la puerta de acceso con más privilegio a todo lo anterior.</w:t>
      </w:r>
    </w:p>
    <w:p>
      <w:pPr>
        <w:spacing w:line="360" w:lineRule="auto" w:after="0" w:before="0"/>
      </w:pPr>
      <w:r>
        <w:rPr>
          <w:b/>
        </w:rPr>
        <w:t>1.2 Datos de clientes (colegiados) que deben protegerse:</w:t>
      </w:r>
    </w:p>
    <w:p>
      <w:pPr>
        <w:spacing w:line="360" w:lineRule="auto" w:after="0" w:before="0"/>
        <w:jc w:val="both"/>
      </w:pPr>
      <w:r>
        <w:rPr>
          <w:b w:val="0"/>
        </w:rPr>
        <w:t>Número de cédula (semilla del token), correo electrónico (canal de entrega del token), y el voto emitido junto con su vínculo al votante — este último es el dato más sensible del sistema, porque revela cómo votó una persona específica.</w:t>
      </w:r>
    </w:p>
    <w:p>
      <w:pPr>
        <w:spacing w:line="360" w:lineRule="auto" w:after="0" w:before="0"/>
      </w:pPr>
      <w:r>
        <w:rPr>
          <w:b/>
        </w:rPr>
        <w:t>1.3 Cuatro riesgos de seguridad y por qué lo son: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rPr>
          <w:b/>
        </w:rPr>
        <w:t xml:space="preserve">Predicción de tokens (SHA-1 sin sal sobre la cédula) — </w:t>
      </w:r>
      <w:r>
        <w:t>es riesgo porque la cédula es semi-pública en Costa Rica; un atacante externo puede calcular el token de otro colegiado sin acceso privilegiado ni interceptar nada.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rPr>
          <w:b/>
        </w:rPr>
        <w:t xml:space="preserve">Cookie de sesión del panel sin HttpOnly — </w:t>
      </w:r>
      <w:r>
        <w:t>es riesgo porque es robable vía XSS, y esa sola cookie da acceso de auditoría a toda la base de datos electoral.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rPr>
          <w:b/>
        </w:rPr>
        <w:t xml:space="preserve">Un administrador legítimo puede ver qué votó una persona específica (voto e ID en la misma tabla) — </w:t>
      </w:r>
      <w:r>
        <w:t>es riesgo aunque no haya atacante externo: rompe el secreto del voto desde adentro, con acceso completamente autorizado.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rPr>
          <w:b/>
        </w:rPr>
        <w:t xml:space="preserve">El canal de correo (proveedor externo) puede ser interceptado — </w:t>
      </w:r>
      <w:r>
        <w:t>es riesgo porque el token viaja hacia un tercero fuera del control del colegio, sin garantía de confidencialidad.</w:t>
      </w:r>
    </w:p>
    <w:p>
      <w:pPr>
        <w:spacing w:line="360" w:lineRule="auto" w:after="0" w:before="0"/>
      </w:pPr>
      <w:r>
        <w:rPr>
          <w:b w:val="0"/>
        </w:rPr>
      </w:r>
    </w:p>
    <w:p>
      <w:pPr>
        <w:spacing w:line="360" w:lineRule="auto" w:after="0" w:before="0"/>
      </w:pPr>
      <w:r>
        <w:rPr>
          <w:b/>
        </w:rPr>
        <w:t>2. PROTECT — Controles de protección</w:t>
      </w:r>
    </w:p>
    <w:p>
      <w:pPr>
        <w:spacing w:line="360" w:lineRule="auto" w:after="0" w:before="0"/>
      </w:pPr>
      <w:r>
        <w:rPr>
          <w:b/>
        </w:rPr>
        <w:t>2.1 Cuatro controles de acceso y por qué deben implementarse: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rPr>
          <w:b/>
        </w:rPr>
        <w:t xml:space="preserve">MFA en el panel de administración — </w:t>
      </w:r>
      <w:r>
        <w:t>hoy basta con robar una cookie para auditar toda la elección; un segundo factor rompe ese ataque de un solo paso.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rPr>
          <w:b/>
        </w:rPr>
        <w:t xml:space="preserve">Mínimo privilegio por rol — </w:t>
      </w:r>
      <w:r>
        <w:t>separar “ver participación” de “ver resultado por persona”, porque hoy cualquier admin puede ver el voto individual de alguien.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rPr>
          <w:b/>
        </w:rPr>
        <w:t xml:space="preserve">Autenticación del votante más allá del token derivado de cédula — </w:t>
      </w:r>
      <w:r>
        <w:t>ataca directamente el riesgo de predicción de tokens.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rPr>
          <w:b/>
        </w:rPr>
        <w:t xml:space="preserve">Separación de tablas (quién votó vs. qué se votó) — </w:t>
      </w:r>
      <w:r>
        <w:t>es control de acceso a nivel de dato: ni un admin con acceso total a una tabla puede reconstruir el secreto del voto.</w:t>
      </w:r>
    </w:p>
    <w:p>
      <w:pPr>
        <w:spacing w:line="360" w:lineRule="auto" w:after="0" w:before="0"/>
      </w:pPr>
      <w:r>
        <w:rPr>
          <w:b/>
        </w:rPr>
        <w:t>2.2 Cómo proteger los datos de clientes / cambios de diseño de la aplicación:</w:t>
      </w:r>
    </w:p>
    <w:p>
      <w:pPr>
        <w:spacing w:line="360" w:lineRule="auto" w:after="0" w:before="0"/>
        <w:jc w:val="both"/>
      </w:pPr>
      <w:r>
        <w:rPr>
          <w:b w:val="0"/>
        </w:rPr>
        <w:t>Cifrado en tránsito (TLS) en todo el tráfico votante-servidor-correo, cifrado en reposo de la tabla electoral, y el rediseño ya identificado en Tarea 2: separar “ID de quién votó” de “qué opción se eligió” en dos tablas unidas solo por un token efímero que se destruye al cerrar la elección. Además, reemplazar SHA-1 sin sal por HMAC-SHA256 con clave secreta del servidor y salt único por token.</w:t>
      </w:r>
    </w:p>
    <w:p>
      <w:pPr>
        <w:spacing w:line="360" w:lineRule="auto" w:after="0" w:before="0"/>
      </w:pPr>
      <w:r>
        <w:rPr>
          <w:b/>
        </w:rPr>
        <w:t>2.3 Cuatro medidas de capacitación para empleados: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t>Capacitar al comité electoral en manejo de datos sensibles y en no consultar resultados individuales sin que quede registrado el motivo.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t>Capacitación en phishing dirigida a votantes, para reconocer un correo falso de “token de votación”.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t>Capacitación técnica al equipo de desarrollo sobre por qué SHA-1 sin sal es inseguro y sobre flags de cookie seguras (HttpOnly, Secure, SameSite).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t>Simulacros internos de respuesta a incidentes para el equipo técnico del colegio, antes de que ocurra uno real.</w:t>
      </w:r>
    </w:p>
    <w:p>
      <w:pPr>
        <w:spacing w:line="360" w:lineRule="auto" w:after="0" w:before="0"/>
      </w:pPr>
      <w:r>
        <w:rPr>
          <w:b w:val="0"/>
        </w:rPr>
      </w:r>
    </w:p>
    <w:p>
      <w:pPr>
        <w:spacing w:line="360" w:lineRule="auto" w:after="0" w:before="0"/>
      </w:pPr>
      <w:r>
        <w:rPr>
          <w:b/>
        </w:rPr>
        <w:t>3. DETECT — Detección de incidentes</w:t>
      </w:r>
    </w:p>
    <w:p>
      <w:pPr>
        <w:spacing w:line="360" w:lineRule="auto" w:after="0" w:before="0"/>
      </w:pPr>
      <w:r>
        <w:rPr>
          <w:b/>
        </w:rPr>
        <w:t>3.1 Cuatro eventos de seguridad a monitorear y por qué: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rPr>
          <w:b/>
        </w:rPr>
        <w:t xml:space="preserve">Intentos repetidos de voto con tokens secuenciales o muy similares — </w:t>
      </w:r>
      <w:r>
        <w:t>señal directa de que alguien está prediciendo tokens a partir de cédulas.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rPr>
          <w:b/>
        </w:rPr>
        <w:t xml:space="preserve">Accesos al panel de administración fuera de la ventana de elección o desde ubicaciones inusuales — </w:t>
      </w:r>
      <w:r>
        <w:t>el panel solo debería usarse durante la votación/auditoría.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rPr>
          <w:b/>
        </w:rPr>
        <w:t xml:space="preserve">Consultas inusualmente frecuentes a la tabla de votos por un mismo admin — </w:t>
      </w:r>
      <w:r>
        <w:t>podría ser un insider revisando votos individuales uno por uno.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rPr>
          <w:b/>
        </w:rPr>
        <w:t xml:space="preserve">Picos de errores o reenvíos en el servicio de correo — </w:t>
      </w:r>
      <w:r>
        <w:t>podría indicar interceptación o reenvío masivo de tokens por un atacante.</w:t>
      </w:r>
    </w:p>
    <w:p>
      <w:pPr>
        <w:spacing w:line="360" w:lineRule="auto" w:after="0" w:before="0"/>
      </w:pPr>
      <w:r>
        <w:rPr>
          <w:b/>
        </w:rPr>
        <w:t>3.2 Cuatro herramientas o mecanismos y por qué se elige cada uno: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rPr>
          <w:b/>
        </w:rPr>
        <w:t xml:space="preserve">Logging centralizado con alertas (SIEM básico) — </w:t>
      </w:r>
      <w:r>
        <w:t>correlaciona eventos del panel, la base de datos y el correo en un solo lugar.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rPr>
          <w:b/>
        </w:rPr>
        <w:t xml:space="preserve">Rate limiting / detección de anomalías en el endpoint de votación — </w:t>
      </w:r>
      <w:r>
        <w:t>el ataque de predicción de tokens necesita probar muchos valores rápido; limitar la tasa lo hace visible.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rPr>
          <w:b/>
        </w:rPr>
        <w:t xml:space="preserve">Monitoreo de integridad de la base de datos electoral — </w:t>
      </w:r>
      <w:r>
        <w:t>detecta si un resultado fue modificado fuera del flujo normal de votación.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rPr>
          <w:b/>
        </w:rPr>
        <w:t xml:space="preserve">Auditoría de sesiones del panel — </w:t>
      </w:r>
      <w:r>
        <w:t>detectar la misma cookie usada desde dos ubicaciones a la vez revela directamente un robo de sesión.</w:t>
      </w:r>
    </w:p>
    <w:p>
      <w:pPr>
        <w:spacing w:line="360" w:lineRule="auto" w:after="0" w:before="0"/>
      </w:pPr>
      <w:r>
        <w:rPr>
          <w:b w:val="0"/>
        </w:rPr>
      </w:r>
    </w:p>
    <w:p>
      <w:pPr>
        <w:spacing w:line="360" w:lineRule="auto" w:after="0" w:before="0"/>
      </w:pPr>
      <w:r>
        <w:rPr>
          <w:b/>
        </w:rPr>
        <w:t>4. RESPOND — Respuesta a incidentes</w:t>
      </w:r>
    </w:p>
    <w:p>
      <w:pPr>
        <w:spacing w:line="360" w:lineRule="auto" w:after="0" w:before="0"/>
      </w:pPr>
      <w:r>
        <w:rPr>
          <w:b/>
        </w:rPr>
        <w:t>Escenario: un atacante obtuvo acceso a la cuenta de un empleado (del comité electoral, con acceso al panel).</w:t>
      </w:r>
    </w:p>
    <w:p>
      <w:pPr>
        <w:spacing w:line="360" w:lineRule="auto" w:after="0" w:before="0"/>
      </w:pPr>
      <w:r>
        <w:rPr>
          <w:b/>
        </w:rPr>
        <w:t>4.1 Cuatro acciones inmediatas y por qué: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rPr>
          <w:b/>
        </w:rPr>
        <w:t xml:space="preserve">Revocar la sesión comprometida y forzar cambio de credenciales — </w:t>
      </w:r>
      <w:r>
        <w:t>corta el acceso activo del atacante de inmediato.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rPr>
          <w:b/>
        </w:rPr>
        <w:t xml:space="preserve">Poner el panel de administración en modo solo lectura temporalmente — </w:t>
      </w:r>
      <w:r>
        <w:t>evita que el atacante altere resultados mientras dura la investigación.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rPr>
          <w:b/>
        </w:rPr>
        <w:t xml:space="preserve">Revisar los logs de esa cuenta — </w:t>
      </w:r>
      <w:r>
        <w:t>permite saber si solo hubo lectura (grave para el secreto del voto) o también alteración de resultados (grave para la integridad de la elección).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rPr>
          <w:b/>
        </w:rPr>
        <w:t xml:space="preserve">Notificar al equipo técnico/seguridad y activar el plan de respuesta — </w:t>
      </w:r>
      <w:r>
        <w:t>convierte el hallazgo de una persona en una gestión formal del incidente.</w:t>
      </w:r>
    </w:p>
    <w:p>
      <w:pPr>
        <w:spacing w:line="360" w:lineRule="auto" w:after="0" w:before="0"/>
      </w:pPr>
      <w:r>
        <w:rPr>
          <w:b/>
        </w:rPr>
        <w:t>4.2 Cómo comunicar el incidente internamente (quién hace qué):</w:t>
      </w:r>
    </w:p>
    <w:p>
      <w:pPr>
        <w:spacing w:line="360" w:lineRule="auto" w:after="0" w:before="0"/>
        <w:jc w:val="both"/>
      </w:pPr>
      <w:r>
        <w:rPr>
          <w:b w:val="0"/>
        </w:rPr>
        <w:t>Quien detecta la anomalía avisa de inmediato al responsable técnico, sin intentar resolverlo por su cuenta. El equipo técnico/TI confirma si es un incidente real y, de serlo, escala a la dirección del colegio profesional. La dirección decide si corresponde notificar a los colegiados o a un ente regulador. Se designa un solo vocero para consolidar la comunicación mientras dura la investigación, evitando versiones contradictorias.</w:t>
      </w:r>
    </w:p>
    <w:p>
      <w:pPr>
        <w:spacing w:line="360" w:lineRule="auto" w:after="0" w:before="0"/>
      </w:pPr>
      <w:r>
        <w:rPr>
          <w:b w:val="0"/>
        </w:rPr>
      </w:r>
    </w:p>
    <w:p>
      <w:pPr>
        <w:spacing w:line="360" w:lineRule="auto" w:after="0" w:before="0"/>
      </w:pPr>
      <w:r>
        <w:rPr>
          <w:b/>
        </w:rPr>
        <w:t>5. RECOVER — Recuperación</w:t>
      </w:r>
    </w:p>
    <w:p>
      <w:pPr>
        <w:spacing w:line="360" w:lineRule="auto" w:after="0" w:before="0"/>
      </w:pPr>
      <w:r>
        <w:rPr>
          <w:b/>
        </w:rPr>
        <w:t>5.1 Cuatro acciones para restaurar los sistemas y por qué: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rPr>
          <w:b/>
        </w:rPr>
        <w:t xml:space="preserve">Restaurar la cuenta comprometida con credenciales nuevas y MFA obligatorio — </w:t>
      </w:r>
      <w:r>
        <w:t>evita que el mismo atacante reingrese apenas se reabra el acceso.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rPr>
          <w:b/>
        </w:rPr>
        <w:t xml:space="preserve">Verificar la integridad de los votos ya emitidos contra un respaldo previo al incidente — </w:t>
      </w:r>
      <w:r>
        <w:t>confirma si los resultados fueron alterados antes de dar la elección por válida.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rPr>
          <w:b/>
        </w:rPr>
        <w:t xml:space="preserve">Reemitir tokens a los votantes afectados — </w:t>
      </w:r>
      <w:r>
        <w:t>preserva la validez de sus votos sin invalidar toda la elección.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rPr>
          <w:b/>
        </w:rPr>
        <w:t xml:space="preserve">Restaurar desde el último backup íntegro conocido, si se confirma manipulación — </w:t>
      </w:r>
      <w:r>
        <w:t>se vuelve a un estado verificado en vez de confiar en el estado actual.</w:t>
      </w:r>
    </w:p>
    <w:p>
      <w:pPr>
        <w:spacing w:line="360" w:lineRule="auto" w:after="0" w:before="0"/>
      </w:pPr>
      <w:r>
        <w:rPr>
          <w:b/>
        </w:rPr>
        <w:t>5.2 Cuatro mejoras de proceso después del incidente y por qué:</w:t>
      </w:r>
    </w:p>
    <w:p>
      <w:pPr>
        <w:spacing w:line="360" w:lineRule="auto" w:after="120"/>
        <w:jc w:val="both"/>
      </w:pPr>
      <w:r>
        <w:rPr>
          <w:b w:val="0"/>
        </w:rPr>
        <w:t xml:space="preserve">1. </w:t>
      </w:r>
      <w:r>
        <w:rPr>
          <w:b/>
        </w:rPr>
        <w:t xml:space="preserve">MFA obligatorio en todas las cuentas del panel — </w:t>
      </w:r>
      <w:r>
        <w:t>cierra permanentemente la puerta que se usó esta vez.</w:t>
      </w:r>
    </w:p>
    <w:p>
      <w:pPr>
        <w:spacing w:line="360" w:lineRule="auto" w:after="120"/>
        <w:jc w:val="both"/>
      </w:pPr>
      <w:r>
        <w:rPr>
          <w:b w:val="0"/>
        </w:rPr>
        <w:t xml:space="preserve">2. </w:t>
      </w:r>
      <w:r>
        <w:rPr>
          <w:b/>
        </w:rPr>
        <w:t xml:space="preserve">Adoptar el rediseño de tokens (HMAC + salt) y la separación de tablas de Tarea 2 — </w:t>
      </w:r>
      <w:r>
        <w:t>convierte una lección aprendida en un cambio de diseño real.</w:t>
      </w:r>
    </w:p>
    <w:p>
      <w:pPr>
        <w:spacing w:line="360" w:lineRule="auto" w:after="120"/>
        <w:jc w:val="both"/>
      </w:pPr>
      <w:r>
        <w:rPr>
          <w:b w:val="0"/>
        </w:rPr>
        <w:t xml:space="preserve">3. </w:t>
      </w:r>
      <w:r>
        <w:rPr>
          <w:b/>
        </w:rPr>
        <w:t xml:space="preserve">Revisiones periódicas de logs de auditoría, no solo reactivas — </w:t>
      </w:r>
      <w:r>
        <w:t>pasa de detectar por accidente a detectar por proceso.</w:t>
      </w:r>
    </w:p>
    <w:p>
      <w:pPr>
        <w:spacing w:line="360" w:lineRule="auto" w:after="120"/>
        <w:jc w:val="both"/>
      </w:pPr>
      <w:r>
        <w:rPr>
          <w:b w:val="0"/>
        </w:rPr>
        <w:t xml:space="preserve">4. </w:t>
      </w:r>
      <w:r>
        <w:rPr>
          <w:b/>
        </w:rPr>
        <w:t xml:space="preserve">Post-mortem sin culpa (blameless) que actualice el plan de respuesta — </w:t>
      </w:r>
      <w:r>
        <w:t>mejora continua real del proceso.</w:t>
      </w:r>
    </w:p>
    <w:p>
      <w:pPr>
        <w:spacing w:line="360" w:lineRule="auto" w:after="0" w:before="0"/>
      </w:pPr>
      <w:r>
        <w:rPr>
          <w:b w:val="0"/>
        </w:rPr>
      </w:r>
    </w:p>
    <w:p>
      <w:pPr>
        <w:spacing w:line="360" w:lineRule="auto" w:after="0" w:before="0"/>
      </w:pPr>
      <w:r>
        <w:rPr>
          <w:b/>
        </w:rPr>
        <w:t>Cómo se conecta con lo que ya vimos</w:t>
      </w:r>
    </w:p>
    <w:p>
      <w:pPr>
        <w:spacing w:line="360" w:lineRule="auto" w:after="0" w:before="0"/>
        <w:jc w:val="both"/>
      </w:pPr>
      <w:r>
        <w:rPr>
          <w:b w:val="0"/>
        </w:rPr>
        <w:t>Este no es un ejercicio aislado: es el mismo caso VoteOnline de la Tarea 2, reorganizado bajo las funciones del NIST CSF. El Threat Modeling identificó qué podía salir mal y cómo mitigarlo desde el diseño; el NIST CSF organiza esas mismas ideas en un ciclo continuo — casi todas las mitigaciones de diseño de Tarea 2 (separar tablas, MFA, tokens HMAC+salt, cookies seguras) reaparecen acá bajo PROTECT, porque son la misma solución vista desde dos frameworks distintos.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