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50E7" w14:textId="77777777" w:rsidR="0006209B" w:rsidRPr="00345F6A" w:rsidRDefault="0006209B"/>
    <w:p w14:paraId="5E7D8522" w14:textId="77777777" w:rsidR="0006209B" w:rsidRPr="00345F6A" w:rsidRDefault="0006209B"/>
    <w:p w14:paraId="106953AE" w14:textId="77777777" w:rsidR="0006209B" w:rsidRPr="00345F6A" w:rsidRDefault="0006209B"/>
    <w:p w14:paraId="33BBE406" w14:textId="77777777" w:rsidR="0006209B" w:rsidRPr="00345F6A" w:rsidRDefault="0006209B"/>
    <w:p w14:paraId="4A277B4B" w14:textId="77777777" w:rsidR="0006209B" w:rsidRPr="00345F6A" w:rsidRDefault="00000000">
      <w:pPr>
        <w:spacing w:line="240" w:lineRule="auto"/>
        <w:jc w:val="center"/>
        <w:rPr>
          <w:lang w:val="es-CR"/>
        </w:rPr>
      </w:pPr>
      <w:r w:rsidRPr="00345F6A">
        <w:rPr>
          <w:sz w:val="28"/>
          <w:lang w:val="es-CR"/>
        </w:rPr>
        <w:t>Instituto Tecnológico de Costa Rica</w:t>
      </w:r>
    </w:p>
    <w:p w14:paraId="67B1C02A" w14:textId="77777777" w:rsidR="0006209B" w:rsidRPr="00345F6A" w:rsidRDefault="00000000">
      <w:pPr>
        <w:jc w:val="center"/>
        <w:rPr>
          <w:lang w:val="es-CR"/>
        </w:rPr>
      </w:pPr>
      <w:r w:rsidRPr="00345F6A">
        <w:rPr>
          <w:sz w:val="28"/>
          <w:lang w:val="es-CR"/>
        </w:rPr>
        <w:t>Sede Regional San Carlos</w:t>
      </w:r>
    </w:p>
    <w:p w14:paraId="2925F5E2" w14:textId="77777777" w:rsidR="0006209B" w:rsidRPr="00345F6A" w:rsidRDefault="0006209B">
      <w:pPr>
        <w:rPr>
          <w:lang w:val="es-CR"/>
        </w:rPr>
      </w:pPr>
    </w:p>
    <w:p w14:paraId="3056A4C9" w14:textId="77777777" w:rsidR="0006209B" w:rsidRPr="00345F6A" w:rsidRDefault="0006209B">
      <w:pPr>
        <w:rPr>
          <w:lang w:val="es-CR"/>
        </w:rPr>
      </w:pPr>
    </w:p>
    <w:p w14:paraId="06FC8A04" w14:textId="77777777" w:rsidR="0006209B" w:rsidRPr="00345F6A" w:rsidRDefault="0006209B">
      <w:pPr>
        <w:rPr>
          <w:lang w:val="es-CR"/>
        </w:rPr>
      </w:pPr>
    </w:p>
    <w:p w14:paraId="21476A83" w14:textId="77777777" w:rsidR="0006209B" w:rsidRPr="00345F6A" w:rsidRDefault="0006209B">
      <w:pPr>
        <w:rPr>
          <w:lang w:val="es-CR"/>
        </w:rPr>
      </w:pPr>
    </w:p>
    <w:p w14:paraId="4BCDD9C3" w14:textId="77777777" w:rsidR="0006209B" w:rsidRPr="00345F6A" w:rsidRDefault="00000000">
      <w:pPr>
        <w:spacing w:line="240" w:lineRule="auto"/>
        <w:jc w:val="center"/>
        <w:rPr>
          <w:lang w:val="es-CR"/>
        </w:rPr>
      </w:pPr>
      <w:r w:rsidRPr="00345F6A">
        <w:rPr>
          <w:b/>
          <w:sz w:val="32"/>
          <w:lang w:val="es-CR"/>
        </w:rPr>
        <w:t>Proyecto de investigación, Etapa 1: avance de investigación</w:t>
      </w:r>
    </w:p>
    <w:p w14:paraId="3327F431" w14:textId="77777777" w:rsidR="0006209B" w:rsidRPr="00345F6A" w:rsidRDefault="0006209B">
      <w:pPr>
        <w:rPr>
          <w:lang w:val="es-CR"/>
        </w:rPr>
      </w:pPr>
    </w:p>
    <w:p w14:paraId="1ECFDA4A" w14:textId="77777777" w:rsidR="0006209B" w:rsidRPr="00345F6A" w:rsidRDefault="0006209B">
      <w:pPr>
        <w:rPr>
          <w:lang w:val="es-CR"/>
        </w:rPr>
      </w:pPr>
    </w:p>
    <w:p w14:paraId="26F5FE3C" w14:textId="77777777" w:rsidR="0006209B" w:rsidRPr="00345F6A" w:rsidRDefault="0006209B">
      <w:pPr>
        <w:rPr>
          <w:lang w:val="es-CR"/>
        </w:rPr>
      </w:pPr>
    </w:p>
    <w:p w14:paraId="462703DC" w14:textId="77777777" w:rsidR="0006209B" w:rsidRPr="00345F6A" w:rsidRDefault="0006209B">
      <w:pPr>
        <w:rPr>
          <w:lang w:val="es-CR"/>
        </w:rPr>
      </w:pPr>
    </w:p>
    <w:p w14:paraId="61CBF45F" w14:textId="77777777" w:rsidR="0006209B" w:rsidRPr="00345F6A" w:rsidRDefault="00000000">
      <w:pPr>
        <w:spacing w:after="80" w:line="240" w:lineRule="auto"/>
        <w:jc w:val="center"/>
        <w:rPr>
          <w:lang w:val="es-CR"/>
        </w:rPr>
      </w:pPr>
      <w:r w:rsidRPr="00345F6A">
        <w:rPr>
          <w:lang w:val="es-CR"/>
        </w:rPr>
        <w:t>Curso: CS4402 Seminario de Estudios Costarricenses</w:t>
      </w:r>
    </w:p>
    <w:p w14:paraId="686ADE77" w14:textId="77777777" w:rsidR="0006209B" w:rsidRPr="00345F6A" w:rsidRDefault="00000000">
      <w:pPr>
        <w:spacing w:after="80" w:line="240" w:lineRule="auto"/>
        <w:jc w:val="center"/>
        <w:rPr>
          <w:lang w:val="es-CR"/>
        </w:rPr>
      </w:pPr>
      <w:r w:rsidRPr="00345F6A">
        <w:rPr>
          <w:lang w:val="es-CR"/>
        </w:rPr>
        <w:t>Profesora: Berenice Mora Benavides</w:t>
      </w:r>
    </w:p>
    <w:p w14:paraId="66E56208" w14:textId="77777777" w:rsidR="0006209B" w:rsidRPr="00345F6A" w:rsidRDefault="00000000">
      <w:pPr>
        <w:spacing w:after="80" w:line="240" w:lineRule="auto"/>
        <w:jc w:val="center"/>
        <w:rPr>
          <w:lang w:val="es-CR"/>
        </w:rPr>
      </w:pPr>
      <w:r w:rsidRPr="00345F6A">
        <w:rPr>
          <w:lang w:val="es-CR"/>
        </w:rPr>
        <w:t>Estudiantes: Marcos Zamora Sánchez, [agregar resto del equipo]</w:t>
      </w:r>
    </w:p>
    <w:p w14:paraId="08EEAED7" w14:textId="77777777" w:rsidR="0006209B" w:rsidRPr="00345F6A" w:rsidRDefault="00000000">
      <w:pPr>
        <w:spacing w:after="80" w:line="240" w:lineRule="auto"/>
        <w:jc w:val="center"/>
        <w:rPr>
          <w:lang w:val="es-CR"/>
        </w:rPr>
      </w:pPr>
      <w:r w:rsidRPr="00345F6A">
        <w:rPr>
          <w:lang w:val="es-CR"/>
        </w:rPr>
        <w:t>Fecha de entrega: 29 de setiembre de 2026</w:t>
      </w:r>
    </w:p>
    <w:p w14:paraId="47B63117" w14:textId="77777777" w:rsidR="0006209B" w:rsidRPr="00345F6A" w:rsidRDefault="00000000">
      <w:pPr>
        <w:spacing w:after="80" w:line="240" w:lineRule="auto"/>
        <w:jc w:val="center"/>
        <w:rPr>
          <w:lang w:val="es-CR"/>
        </w:rPr>
      </w:pPr>
      <w:r w:rsidRPr="00345F6A">
        <w:rPr>
          <w:lang w:val="es-CR"/>
        </w:rPr>
        <w:t>Tema: racismo institucional hacia la población afrodescendiente en Limón</w:t>
      </w:r>
    </w:p>
    <w:p w14:paraId="33862808" w14:textId="77777777" w:rsidR="0006209B" w:rsidRPr="00345F6A" w:rsidRDefault="00000000">
      <w:pPr>
        <w:rPr>
          <w:lang w:val="es-CR"/>
        </w:rPr>
      </w:pPr>
      <w:r w:rsidRPr="00345F6A">
        <w:rPr>
          <w:lang w:val="es-CR"/>
        </w:rPr>
        <w:br w:type="page"/>
      </w:r>
    </w:p>
    <w:p w14:paraId="3CBA8B3B" w14:textId="77777777" w:rsidR="0006209B" w:rsidRPr="00345F6A" w:rsidRDefault="00000000">
      <w:pPr>
        <w:pStyle w:val="Ttulo1"/>
        <w:spacing w:before="360" w:after="160" w:line="240" w:lineRule="auto"/>
        <w:rPr>
          <w:color w:val="auto"/>
          <w:lang w:val="es-CR"/>
        </w:rPr>
      </w:pPr>
      <w:r w:rsidRPr="00345F6A">
        <w:rPr>
          <w:rFonts w:ascii="Times New Roman" w:hAnsi="Times New Roman"/>
          <w:color w:val="auto"/>
          <w:lang w:val="es-CR"/>
        </w:rPr>
        <w:lastRenderedPageBreak/>
        <w:t>Tema delimitado</w:t>
      </w:r>
    </w:p>
    <w:p w14:paraId="5B7C257B" w14:textId="77777777" w:rsidR="0006209B" w:rsidRPr="00345F6A" w:rsidRDefault="00000000">
      <w:pPr>
        <w:ind w:firstLine="709"/>
        <w:jc w:val="both"/>
        <w:rPr>
          <w:lang w:val="es-CR"/>
        </w:rPr>
      </w:pPr>
      <w:r w:rsidRPr="00345F6A">
        <w:rPr>
          <w:lang w:val="es-CR"/>
        </w:rPr>
        <w:t>Problemática: el racismo institucional y estructural hacia la población afrodescendiente en Costa Rica. No los actos de racismo interpersonal aislados, sino cómo las propias instituciones del Estado (sistema judicial, salud pública, educación) han producido y siguen reproduciendo desigualdad hacia esta población, incluso cuando existe reconocimiento simbólico o legal formal.</w:t>
      </w:r>
    </w:p>
    <w:p w14:paraId="44B6D1B9" w14:textId="77777777" w:rsidR="0006209B" w:rsidRPr="00345F6A" w:rsidRDefault="00000000">
      <w:pPr>
        <w:ind w:firstLine="709"/>
        <w:jc w:val="both"/>
        <w:rPr>
          <w:lang w:val="es-CR"/>
        </w:rPr>
      </w:pPr>
      <w:r w:rsidRPr="00345F6A">
        <w:rPr>
          <w:lang w:val="es-CR"/>
        </w:rPr>
        <w:t>Territorio y población: población afrodescendiente costarricense, con énfasis en la provincia de Limón como territorio históricamente asociado a este grupo por la colonización jamaiquina ligada a la construcción del ferrocarril y la industria bananera, y a la vez como el territorio que hoy sigue mostrando los peores indicadores de desigualdad. Vale aclarar de una vez un matiz que el propio dato estadístico obliga a incluir en el análisis: la mayoría de la población afrodescendiente costarricense ya no vive en Limón. Según el Censo 2011, solo 15% vive en Limón frente a 65% en el Valle Central. Eso plantea una pregunta que puede convertirse en el eje del proyecto: si Limón ya no concentra a la mayoría de la población afrodescendiente, ¿por qué sigue concentrando las peores brechas?</w:t>
      </w:r>
    </w:p>
    <w:p w14:paraId="34989195" w14:textId="77777777" w:rsidR="0006209B" w:rsidRPr="00345F6A" w:rsidRDefault="00000000">
      <w:pPr>
        <w:ind w:firstLine="709"/>
        <w:jc w:val="both"/>
        <w:rPr>
          <w:lang w:val="es-CR"/>
        </w:rPr>
      </w:pPr>
      <w:r w:rsidRPr="00345F6A">
        <w:rPr>
          <w:lang w:val="es-CR"/>
        </w:rPr>
        <w:t>Período: desde 1934 (Ley N.° 31, que prohibió el traslado de "gente de color" al Pacífico cuando la compañía bananera se mudó de zona) hasta la actualidad (2026).</w:t>
      </w:r>
    </w:p>
    <w:p w14:paraId="5C15BFC4" w14:textId="77777777" w:rsidR="0006209B" w:rsidRPr="00345F6A" w:rsidRDefault="00000000">
      <w:pPr>
        <w:pStyle w:val="Ttulo1"/>
        <w:spacing w:before="360" w:after="160" w:line="240" w:lineRule="auto"/>
        <w:rPr>
          <w:color w:val="auto"/>
          <w:lang w:val="es-CR"/>
        </w:rPr>
      </w:pPr>
      <w:r w:rsidRPr="00345F6A">
        <w:rPr>
          <w:rFonts w:ascii="Times New Roman" w:hAnsi="Times New Roman"/>
          <w:color w:val="auto"/>
          <w:lang w:val="es-CR"/>
        </w:rPr>
        <w:t>Justificación</w:t>
      </w:r>
    </w:p>
    <w:p w14:paraId="496ABCB6" w14:textId="77777777" w:rsidR="0006209B" w:rsidRPr="00345F6A" w:rsidRDefault="00000000">
      <w:pPr>
        <w:ind w:firstLine="709"/>
        <w:jc w:val="both"/>
        <w:rPr>
          <w:lang w:val="es-CR"/>
        </w:rPr>
      </w:pPr>
      <w:r w:rsidRPr="00345F6A">
        <w:rPr>
          <w:lang w:val="es-CR"/>
        </w:rPr>
        <w:t xml:space="preserve">La población afrodescendiente representa entre el 7.6% (Censo 2011, INEC) y un estimado de 8-11% en 2026, unas 550,000 personas según cifras recientes del INEC citadas en medios, pero sigue mostrando brechas medibles frente al resto de la población. El caso de Limón es especialmente relevante porque concentra la historia jurídica de exclusión más documentada del país: los afrocaribeños no tuvieron ciudadanía costarricense plena hasta la Constitución de 1949, y antes de eso enfrentaron restricciones legales explícitas de movilidad con la Ley 31 de </w:t>
      </w:r>
      <w:r w:rsidRPr="00345F6A">
        <w:rPr>
          <w:lang w:val="es-CR"/>
        </w:rPr>
        <w:lastRenderedPageBreak/>
        <w:t>1934. Hoy, la provincia de Limón mantiene la tasa de mortalidad materna más alta del país: 4.97 por cada 10,000 nacimientos en el quinquenio 2008-2012, frente a una tasa nacional de 2.53 (Ministerio de Salud, 2014, citado en Arguedas Ramírez, 2016). También figura sistemáticamente por debajo del promedio nacional de desarrollo humano cantonal, según el Atlas del PNUD.</w:t>
      </w:r>
    </w:p>
    <w:p w14:paraId="1ED66B49" w14:textId="77777777" w:rsidR="0006209B" w:rsidRPr="00345F6A" w:rsidRDefault="00000000">
      <w:pPr>
        <w:ind w:firstLine="709"/>
        <w:jc w:val="both"/>
        <w:rPr>
          <w:lang w:val="es-CR"/>
        </w:rPr>
      </w:pPr>
      <w:r w:rsidRPr="00345F6A">
        <w:rPr>
          <w:lang w:val="es-CR"/>
        </w:rPr>
        <w:t xml:space="preserve">El proyecto se relaciona directamente con la lectura de Pérez Granados (2018), vista en la semana 6 del curso, que documenta cómo el propio sistema judicial costarricense (el caso </w:t>
      </w:r>
      <w:r w:rsidRPr="00345F6A">
        <w:rPr>
          <w:i/>
          <w:lang w:val="es-CR"/>
        </w:rPr>
        <w:t>Cocorí</w:t>
      </w:r>
      <w:r w:rsidRPr="00345F6A">
        <w:rPr>
          <w:lang w:val="es-CR"/>
        </w:rPr>
        <w:t>, 1996) negó explícitamente la existencia de racismo estructural. También con Acuña Ortega (2002), que explica cómo desde el siglo XIX se construyó la idea de Costa Rica como un país "blanco y homogéneo": el marco ideológico contra el cual se mide hoy la exclusión de la población afrodescendiente.</w:t>
      </w:r>
    </w:p>
    <w:p w14:paraId="22DE88D7" w14:textId="77777777" w:rsidR="0006209B" w:rsidRPr="00345F6A" w:rsidRDefault="00000000">
      <w:pPr>
        <w:ind w:firstLine="709"/>
        <w:jc w:val="both"/>
        <w:rPr>
          <w:lang w:val="es-CR"/>
        </w:rPr>
      </w:pPr>
      <w:r w:rsidRPr="00345F6A">
        <w:rPr>
          <w:lang w:val="es-CR"/>
        </w:rPr>
        <w:t>Analizar este tema en Costa Rica es relevante porque el racismo costarricense se ha descrito, por los propios activistas afrodescendientes, como "doctrinario e invisible" (Quince Duncan, citado en Pérez Granados, 2018): un racismo que no siempre se reconoce a sí mismo, lo que dificulta tanto medirlo como combatirlo.</w:t>
      </w:r>
    </w:p>
    <w:p w14:paraId="4E347838" w14:textId="77777777" w:rsidR="0006209B" w:rsidRPr="00345F6A" w:rsidRDefault="00000000">
      <w:pPr>
        <w:pStyle w:val="Ttulo1"/>
        <w:spacing w:before="360" w:after="160" w:line="240" w:lineRule="auto"/>
        <w:rPr>
          <w:color w:val="auto"/>
          <w:lang w:val="es-CR"/>
        </w:rPr>
      </w:pPr>
      <w:r w:rsidRPr="00345F6A">
        <w:rPr>
          <w:rFonts w:ascii="Times New Roman" w:hAnsi="Times New Roman"/>
          <w:color w:val="auto"/>
          <w:lang w:val="es-CR"/>
        </w:rPr>
        <w:t>Objetivos</w:t>
      </w:r>
    </w:p>
    <w:p w14:paraId="4DF4ED8F" w14:textId="77777777" w:rsidR="0006209B" w:rsidRPr="00345F6A" w:rsidRDefault="00000000">
      <w:pPr>
        <w:ind w:firstLine="709"/>
        <w:jc w:val="both"/>
        <w:rPr>
          <w:lang w:val="es-CR"/>
        </w:rPr>
      </w:pPr>
      <w:r w:rsidRPr="00345F6A">
        <w:rPr>
          <w:lang w:val="es-CR"/>
        </w:rPr>
        <w:t>Objetivo general: analizar las manifestaciones del racismo institucional y estructural hacia la población afrodescendiente en Costa Rica, con énfasis en la provincia de Limón, desde 1934 hasta la actualidad.</w:t>
      </w:r>
    </w:p>
    <w:p w14:paraId="484A7265" w14:textId="77777777" w:rsidR="0006209B" w:rsidRPr="00345F6A" w:rsidRDefault="00000000">
      <w:pPr>
        <w:ind w:firstLine="709"/>
        <w:jc w:val="both"/>
        <w:rPr>
          <w:lang w:val="es-CR"/>
        </w:rPr>
      </w:pPr>
      <w:r w:rsidRPr="00345F6A">
        <w:rPr>
          <w:lang w:val="es-CR"/>
        </w:rPr>
        <w:t>Objetivos específicos:</w:t>
      </w:r>
    </w:p>
    <w:p w14:paraId="6B1378A9" w14:textId="77777777" w:rsidR="0006209B" w:rsidRPr="00345F6A" w:rsidRDefault="00000000">
      <w:pPr>
        <w:spacing w:after="120"/>
        <w:ind w:left="709" w:hanging="709"/>
        <w:jc w:val="both"/>
        <w:rPr>
          <w:lang w:val="es-CR"/>
        </w:rPr>
      </w:pPr>
      <w:r w:rsidRPr="00345F6A">
        <w:rPr>
          <w:lang w:val="es-CR"/>
        </w:rPr>
        <w:t>1. Explicar el origen histórico-jurídico de la exclusión de la población afrocaribeña en Costa Rica (Ley 31 de 1934, ciudadanía otorgada en 1949) y su relación con la construcción de la identidad nacional costarricense como "país blanco".</w:t>
      </w:r>
    </w:p>
    <w:p w14:paraId="6508E1C7" w14:textId="77777777" w:rsidR="0006209B" w:rsidRPr="00345F6A" w:rsidRDefault="00000000">
      <w:pPr>
        <w:spacing w:after="120"/>
        <w:ind w:left="709" w:hanging="709"/>
        <w:jc w:val="both"/>
        <w:rPr>
          <w:lang w:val="es-CR"/>
        </w:rPr>
      </w:pPr>
      <w:r w:rsidRPr="00345F6A">
        <w:rPr>
          <w:lang w:val="es-CR"/>
        </w:rPr>
        <w:lastRenderedPageBreak/>
        <w:t>2. Analizar las desigualdades socioeconómicas actuales entre la población afrodescendiente y el resto de la población costarricense, con datos concretos de salud materna, desarrollo humano cantonal y distribución territorial.</w:t>
      </w:r>
    </w:p>
    <w:p w14:paraId="20CA8F33" w14:textId="77777777" w:rsidR="0006209B" w:rsidRPr="00345F6A" w:rsidRDefault="00000000">
      <w:pPr>
        <w:spacing w:after="120"/>
        <w:ind w:left="709" w:hanging="709"/>
        <w:jc w:val="both"/>
        <w:rPr>
          <w:lang w:val="es-CR"/>
        </w:rPr>
      </w:pPr>
      <w:r w:rsidRPr="00345F6A">
        <w:rPr>
          <w:lang w:val="es-CR"/>
        </w:rPr>
        <w:t xml:space="preserve">3. Interpretar cómo el reconocimiento simbólico y legal reciente (caso </w:t>
      </w:r>
      <w:r w:rsidRPr="00345F6A">
        <w:rPr>
          <w:i/>
          <w:lang w:val="es-CR"/>
        </w:rPr>
        <w:t>Cocorí</w:t>
      </w:r>
      <w:r w:rsidRPr="00345F6A">
        <w:rPr>
          <w:lang w:val="es-CR"/>
        </w:rPr>
        <w:t>, caso "La Negrita", feriado del 31 de agosto) convive con la persistencia del racismo estructural denunciado por actores y organizaciones afrodescendientes.</w:t>
      </w:r>
    </w:p>
    <w:p w14:paraId="15E44D54" w14:textId="77777777" w:rsidR="0006209B" w:rsidRPr="00345F6A" w:rsidRDefault="00000000">
      <w:pPr>
        <w:pStyle w:val="Ttulo1"/>
        <w:spacing w:before="360" w:after="160" w:line="240" w:lineRule="auto"/>
        <w:rPr>
          <w:color w:val="auto"/>
          <w:lang w:val="es-CR"/>
        </w:rPr>
      </w:pPr>
      <w:r w:rsidRPr="00345F6A">
        <w:rPr>
          <w:rFonts w:ascii="Times New Roman" w:hAnsi="Times New Roman"/>
          <w:color w:val="auto"/>
          <w:lang w:val="es-CR"/>
        </w:rPr>
        <w:t>Bibliografía provisional</w:t>
      </w:r>
    </w:p>
    <w:p w14:paraId="72775306" w14:textId="77777777" w:rsidR="0006209B" w:rsidRPr="00345F6A" w:rsidRDefault="00000000">
      <w:pPr>
        <w:ind w:firstLine="709"/>
        <w:jc w:val="both"/>
        <w:rPr>
          <w:lang w:val="es-CR"/>
        </w:rPr>
      </w:pPr>
      <w:r w:rsidRPr="00345F6A">
        <w:rPr>
          <w:lang w:val="es-CR"/>
        </w:rPr>
        <w:t xml:space="preserve">Acuña Ortega, V. H. (2002). La invención de la diferencia costarricense, 1810-1870. </w:t>
      </w:r>
      <w:r w:rsidRPr="00345F6A">
        <w:rPr>
          <w:i/>
          <w:lang w:val="es-CR"/>
        </w:rPr>
        <w:t>Revista de Historia</w:t>
      </w:r>
      <w:r w:rsidRPr="00345F6A">
        <w:rPr>
          <w:lang w:val="es-CR"/>
        </w:rPr>
        <w:t>, (45), 191-228.</w:t>
      </w:r>
    </w:p>
    <w:p w14:paraId="66B90044" w14:textId="77777777" w:rsidR="0006209B" w:rsidRPr="00345F6A" w:rsidRDefault="00000000">
      <w:pPr>
        <w:ind w:firstLine="709"/>
        <w:jc w:val="both"/>
      </w:pPr>
      <w:r w:rsidRPr="00345F6A">
        <w:rPr>
          <w:lang w:val="es-CR"/>
        </w:rPr>
        <w:t xml:space="preserve">AR.com. (2015, 31 de agosto). Día del Negro: Mayoría de afrodescendientes en Costa Rica vive fuera de Limón. </w:t>
      </w:r>
      <w:r w:rsidRPr="00345F6A">
        <w:rPr>
          <w:i/>
        </w:rPr>
        <w:t>AmeliaRueda.com</w:t>
      </w:r>
      <w:r w:rsidRPr="00345F6A">
        <w:t>. https://ameliarueda.com/nota/mayoria-afrodescendientes-en-costa-rica-vive-fuera-de-limon</w:t>
      </w:r>
    </w:p>
    <w:p w14:paraId="624C30E7" w14:textId="77777777" w:rsidR="0006209B" w:rsidRPr="00345F6A" w:rsidRDefault="00000000">
      <w:pPr>
        <w:ind w:firstLine="709"/>
        <w:jc w:val="both"/>
        <w:rPr>
          <w:lang w:val="es-CR"/>
        </w:rPr>
      </w:pPr>
      <w:r w:rsidRPr="00345F6A">
        <w:rPr>
          <w:lang w:val="es-CR"/>
        </w:rPr>
        <w:t xml:space="preserve">Arguedas Ramírez, G. (2016). Reflexiones sobre el saber/poder obstétrico, la epistemología feminista y el feminismo descolonial, a partir de una investigación sobre la violencia obstétrica en Costa Rica. </w:t>
      </w:r>
      <w:r w:rsidRPr="00345F6A">
        <w:rPr>
          <w:i/>
          <w:lang w:val="es-CR"/>
        </w:rPr>
        <w:t>Solar</w:t>
      </w:r>
      <w:r w:rsidRPr="00345F6A">
        <w:rPr>
          <w:lang w:val="es-CR"/>
        </w:rPr>
        <w:t>, 12(1), 65-89.</w:t>
      </w:r>
    </w:p>
    <w:p w14:paraId="1FFD05F5" w14:textId="77777777" w:rsidR="0006209B" w:rsidRPr="00345F6A" w:rsidRDefault="00000000">
      <w:pPr>
        <w:ind w:firstLine="709"/>
        <w:jc w:val="both"/>
        <w:rPr>
          <w:lang w:val="es-CR"/>
        </w:rPr>
      </w:pPr>
      <w:r w:rsidRPr="00345F6A">
        <w:rPr>
          <w:lang w:val="es-CR"/>
        </w:rPr>
        <w:t xml:space="preserve">Instituto Nacional de Estadística y Censos [INEC]. (2013). </w:t>
      </w:r>
      <w:r w:rsidRPr="00345F6A">
        <w:rPr>
          <w:i/>
          <w:lang w:val="es-CR"/>
        </w:rPr>
        <w:t>Afrodescendientes y multiculturalismo según el Censo 2011</w:t>
      </w:r>
      <w:r w:rsidRPr="00345F6A">
        <w:rPr>
          <w:lang w:val="es-CR"/>
        </w:rPr>
        <w:t>. INEC.</w:t>
      </w:r>
    </w:p>
    <w:p w14:paraId="48DA3B08" w14:textId="77777777" w:rsidR="0006209B" w:rsidRPr="00345F6A" w:rsidRDefault="00000000">
      <w:pPr>
        <w:ind w:firstLine="709"/>
        <w:jc w:val="both"/>
        <w:rPr>
          <w:lang w:val="es-CR"/>
        </w:rPr>
      </w:pPr>
      <w:r w:rsidRPr="00345F6A">
        <w:rPr>
          <w:lang w:val="es-CR"/>
        </w:rPr>
        <w:t xml:space="preserve">Pérez Granados, M. (2018). El ejercicio de los derechos ciudadanos de los afrocaribeños: un estudio de casos. En </w:t>
      </w:r>
      <w:r w:rsidRPr="00345F6A">
        <w:rPr>
          <w:i/>
          <w:lang w:val="es-CR"/>
        </w:rPr>
        <w:t>Antología del pensamiento crítico costarricense contemporáneo</w:t>
      </w:r>
      <w:r w:rsidRPr="00345F6A">
        <w:rPr>
          <w:lang w:val="es-CR"/>
        </w:rPr>
        <w:t xml:space="preserve"> (pp. 423-465). Editorial de la Universidad de Costa Rica.</w:t>
      </w:r>
    </w:p>
    <w:p w14:paraId="77177021" w14:textId="77777777" w:rsidR="0006209B" w:rsidRPr="00345F6A" w:rsidRDefault="00000000">
      <w:pPr>
        <w:ind w:firstLine="709"/>
        <w:jc w:val="both"/>
        <w:rPr>
          <w:lang w:val="es-CR"/>
        </w:rPr>
      </w:pPr>
      <w:r w:rsidRPr="00345F6A">
        <w:rPr>
          <w:lang w:val="es-CR"/>
        </w:rPr>
        <w:t xml:space="preserve">Sparisci, E. A. (2026, 16 de agosto). Población afrocostarricense pide más equidad y eliminar el racismo en celebración de su día. </w:t>
      </w:r>
      <w:r w:rsidRPr="00345F6A">
        <w:rPr>
          <w:i/>
          <w:lang w:val="es-CR"/>
        </w:rPr>
        <w:t>Monumental</w:t>
      </w:r>
      <w:r w:rsidRPr="00345F6A">
        <w:rPr>
          <w:lang w:val="es-CR"/>
        </w:rPr>
        <w:t xml:space="preserve">. </w:t>
      </w:r>
      <w:r w:rsidRPr="00345F6A">
        <w:rPr>
          <w:lang w:val="es-CR"/>
        </w:rPr>
        <w:lastRenderedPageBreak/>
        <w:t>https://www.monumental.co.cr/2026/08/16/poblacion-afrocostarricense-pide-mas-equidad-y-eliminar-el-racismo-en-celebracion-de-su-dia/</w:t>
      </w:r>
    </w:p>
    <w:sectPr w:rsidR="0006209B" w:rsidRPr="00345F6A"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24CD7" w14:textId="77777777" w:rsidR="006E78EA" w:rsidRDefault="006E78EA">
      <w:pPr>
        <w:spacing w:line="240" w:lineRule="auto"/>
      </w:pPr>
      <w:r>
        <w:separator/>
      </w:r>
    </w:p>
  </w:endnote>
  <w:endnote w:type="continuationSeparator" w:id="0">
    <w:p w14:paraId="0CA7D5D5" w14:textId="77777777" w:rsidR="006E78EA" w:rsidRDefault="006E7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F59C" w14:textId="77777777" w:rsidR="0006209B" w:rsidRDefault="00000000">
    <w:pPr>
      <w:pStyle w:val="Piedepgina"/>
      <w:jc w:val="center"/>
    </w:pPr>
    <w:r>
      <w:fldChar w:fldCharType="begin"/>
    </w:r>
    <w:r>
      <w:instrText>PAGE</w:instrText>
    </w:r>
    <w:r w:rsidR="00345F6A">
      <w:fldChar w:fldCharType="separate"/>
    </w:r>
    <w:r w:rsidR="00345F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FA2C" w14:textId="77777777" w:rsidR="006E78EA" w:rsidRDefault="006E78EA">
      <w:pPr>
        <w:spacing w:line="240" w:lineRule="auto"/>
      </w:pPr>
      <w:r>
        <w:separator/>
      </w:r>
    </w:p>
  </w:footnote>
  <w:footnote w:type="continuationSeparator" w:id="0">
    <w:p w14:paraId="0B1E2F04" w14:textId="77777777" w:rsidR="006E78EA" w:rsidRDefault="006E78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2967624">
    <w:abstractNumId w:val="8"/>
  </w:num>
  <w:num w:numId="2" w16cid:durableId="1357927033">
    <w:abstractNumId w:val="6"/>
  </w:num>
  <w:num w:numId="3" w16cid:durableId="477495563">
    <w:abstractNumId w:val="5"/>
  </w:num>
  <w:num w:numId="4" w16cid:durableId="1659458427">
    <w:abstractNumId w:val="4"/>
  </w:num>
  <w:num w:numId="5" w16cid:durableId="860316038">
    <w:abstractNumId w:val="7"/>
  </w:num>
  <w:num w:numId="6" w16cid:durableId="1828201249">
    <w:abstractNumId w:val="3"/>
  </w:num>
  <w:num w:numId="7" w16cid:durableId="1733843439">
    <w:abstractNumId w:val="2"/>
  </w:num>
  <w:num w:numId="8" w16cid:durableId="1746488230">
    <w:abstractNumId w:val="1"/>
  </w:num>
  <w:num w:numId="9" w16cid:durableId="185129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09B"/>
    <w:rsid w:val="0015074B"/>
    <w:rsid w:val="0029639D"/>
    <w:rsid w:val="00326F90"/>
    <w:rsid w:val="00345F6A"/>
    <w:rsid w:val="00491030"/>
    <w:rsid w:val="006E78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3DC95"/>
  <w14:defaultImageDpi w14:val="300"/>
  <w15:docId w15:val="{1CE79F2A-E151-4D0D-9588-204F7463D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868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2</cp:revision>
  <dcterms:created xsi:type="dcterms:W3CDTF">2013-12-23T23:15:00Z</dcterms:created>
  <dcterms:modified xsi:type="dcterms:W3CDTF">2026-08-29T17:18:00Z</dcterms:modified>
  <cp:category/>
</cp:coreProperties>
</file>