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0C7B0" w14:textId="77777777" w:rsidR="00F93D14" w:rsidRPr="009505D1" w:rsidRDefault="00F93D14"/>
    <w:p w14:paraId="42E96A67" w14:textId="77777777" w:rsidR="00F93D14" w:rsidRPr="009505D1" w:rsidRDefault="00F93D14"/>
    <w:p w14:paraId="0FA3C57E" w14:textId="77777777" w:rsidR="00F93D14" w:rsidRPr="009505D1" w:rsidRDefault="00F93D14"/>
    <w:p w14:paraId="18DC1E9C" w14:textId="77777777" w:rsidR="00F93D14" w:rsidRPr="009505D1" w:rsidRDefault="00F93D14"/>
    <w:p w14:paraId="4F8F041D" w14:textId="77777777" w:rsidR="00F93D14" w:rsidRPr="009505D1" w:rsidRDefault="00000000">
      <w:pPr>
        <w:spacing w:line="240" w:lineRule="auto"/>
        <w:jc w:val="center"/>
        <w:rPr>
          <w:lang w:val="es-CR"/>
        </w:rPr>
      </w:pPr>
      <w:r w:rsidRPr="009505D1">
        <w:rPr>
          <w:sz w:val="28"/>
          <w:lang w:val="es-CR"/>
        </w:rPr>
        <w:t>Instituto Tecnológico de Costa Rica</w:t>
      </w:r>
    </w:p>
    <w:p w14:paraId="3C9DA447" w14:textId="77777777" w:rsidR="00F93D14" w:rsidRPr="009505D1" w:rsidRDefault="00000000">
      <w:pPr>
        <w:jc w:val="center"/>
        <w:rPr>
          <w:lang w:val="es-CR"/>
        </w:rPr>
      </w:pPr>
      <w:r w:rsidRPr="009505D1">
        <w:rPr>
          <w:sz w:val="28"/>
          <w:lang w:val="es-CR"/>
        </w:rPr>
        <w:t>Sede Regional San Carlos</w:t>
      </w:r>
    </w:p>
    <w:p w14:paraId="06B4062C" w14:textId="77777777" w:rsidR="00F93D14" w:rsidRPr="009505D1" w:rsidRDefault="00F93D14">
      <w:pPr>
        <w:rPr>
          <w:lang w:val="es-CR"/>
        </w:rPr>
      </w:pPr>
    </w:p>
    <w:p w14:paraId="435D794F" w14:textId="77777777" w:rsidR="00F93D14" w:rsidRPr="009505D1" w:rsidRDefault="00F93D14">
      <w:pPr>
        <w:rPr>
          <w:lang w:val="es-CR"/>
        </w:rPr>
      </w:pPr>
    </w:p>
    <w:p w14:paraId="7403B5CB" w14:textId="77777777" w:rsidR="00F93D14" w:rsidRPr="009505D1" w:rsidRDefault="00F93D14">
      <w:pPr>
        <w:rPr>
          <w:lang w:val="es-CR"/>
        </w:rPr>
      </w:pPr>
    </w:p>
    <w:p w14:paraId="4D6234BE" w14:textId="77777777" w:rsidR="00F93D14" w:rsidRPr="009505D1" w:rsidRDefault="00F93D14">
      <w:pPr>
        <w:rPr>
          <w:lang w:val="es-CR"/>
        </w:rPr>
      </w:pPr>
    </w:p>
    <w:p w14:paraId="4B8E2A93" w14:textId="77777777" w:rsidR="00F93D14" w:rsidRPr="009505D1" w:rsidRDefault="00000000">
      <w:pPr>
        <w:spacing w:line="240" w:lineRule="auto"/>
        <w:jc w:val="center"/>
        <w:rPr>
          <w:lang w:val="es-CR"/>
        </w:rPr>
      </w:pPr>
      <w:r w:rsidRPr="009505D1">
        <w:rPr>
          <w:b/>
          <w:sz w:val="32"/>
          <w:lang w:val="es-CR"/>
        </w:rPr>
        <w:t>Proyecto de investigación: racismo institucional hacia la población afrodescendiente en Limón</w:t>
      </w:r>
    </w:p>
    <w:p w14:paraId="2804232B" w14:textId="77777777" w:rsidR="00F93D14" w:rsidRPr="009505D1" w:rsidRDefault="00F93D14">
      <w:pPr>
        <w:rPr>
          <w:lang w:val="es-CR"/>
        </w:rPr>
      </w:pPr>
    </w:p>
    <w:p w14:paraId="41C5F353" w14:textId="77777777" w:rsidR="00F93D14" w:rsidRPr="009505D1" w:rsidRDefault="00F93D14">
      <w:pPr>
        <w:rPr>
          <w:lang w:val="es-CR"/>
        </w:rPr>
      </w:pPr>
    </w:p>
    <w:p w14:paraId="621494A9" w14:textId="77777777" w:rsidR="00F93D14" w:rsidRPr="009505D1" w:rsidRDefault="00F93D14">
      <w:pPr>
        <w:rPr>
          <w:lang w:val="es-CR"/>
        </w:rPr>
      </w:pPr>
    </w:p>
    <w:p w14:paraId="4A980B9C" w14:textId="77777777" w:rsidR="00F93D14" w:rsidRPr="009505D1" w:rsidRDefault="00F93D14">
      <w:pPr>
        <w:rPr>
          <w:lang w:val="es-CR"/>
        </w:rPr>
      </w:pPr>
    </w:p>
    <w:p w14:paraId="46022EF2" w14:textId="77777777" w:rsidR="00F93D14" w:rsidRPr="009505D1" w:rsidRDefault="00000000">
      <w:pPr>
        <w:spacing w:after="80" w:line="240" w:lineRule="auto"/>
        <w:jc w:val="center"/>
        <w:rPr>
          <w:lang w:val="es-CR"/>
        </w:rPr>
      </w:pPr>
      <w:r w:rsidRPr="009505D1">
        <w:rPr>
          <w:lang w:val="es-CR"/>
        </w:rPr>
        <w:t>Curso: CS4402 Seminario de Estudios Costarricenses</w:t>
      </w:r>
    </w:p>
    <w:p w14:paraId="5CCFDA7F" w14:textId="77777777" w:rsidR="00F93D14" w:rsidRPr="009505D1" w:rsidRDefault="00000000">
      <w:pPr>
        <w:spacing w:after="80" w:line="240" w:lineRule="auto"/>
        <w:jc w:val="center"/>
        <w:rPr>
          <w:lang w:val="es-CR"/>
        </w:rPr>
      </w:pPr>
      <w:r w:rsidRPr="009505D1">
        <w:rPr>
          <w:lang w:val="es-CR"/>
        </w:rPr>
        <w:t>Profesora: Berenice Mora Benavides</w:t>
      </w:r>
    </w:p>
    <w:p w14:paraId="2CFE1926" w14:textId="77777777" w:rsidR="00F93D14" w:rsidRPr="009505D1" w:rsidRDefault="00000000">
      <w:pPr>
        <w:spacing w:after="80" w:line="240" w:lineRule="auto"/>
        <w:jc w:val="center"/>
        <w:rPr>
          <w:lang w:val="es-CR"/>
        </w:rPr>
      </w:pPr>
      <w:r w:rsidRPr="009505D1">
        <w:rPr>
          <w:lang w:val="es-CR"/>
        </w:rPr>
        <w:t>Estudiantes: Marcos Zamora Sánchez, [agregar resto del equipo]</w:t>
      </w:r>
    </w:p>
    <w:p w14:paraId="2B178692" w14:textId="77777777" w:rsidR="00F93D14" w:rsidRPr="009505D1" w:rsidRDefault="00000000">
      <w:pPr>
        <w:spacing w:after="80" w:line="240" w:lineRule="auto"/>
        <w:jc w:val="center"/>
        <w:rPr>
          <w:lang w:val="es-CR"/>
        </w:rPr>
      </w:pPr>
      <w:r w:rsidRPr="009505D1">
        <w:rPr>
          <w:lang w:val="es-CR"/>
        </w:rPr>
        <w:t>Fecha de entrega: 17 de noviembre de 2026</w:t>
      </w:r>
    </w:p>
    <w:p w14:paraId="4092589E" w14:textId="77777777" w:rsidR="00F93D14" w:rsidRPr="009505D1" w:rsidRDefault="00000000">
      <w:pPr>
        <w:rPr>
          <w:lang w:val="es-CR"/>
        </w:rPr>
      </w:pPr>
      <w:r w:rsidRPr="009505D1">
        <w:rPr>
          <w:lang w:val="es-CR"/>
        </w:rPr>
        <w:br w:type="page"/>
      </w:r>
    </w:p>
    <w:p w14:paraId="495E8D79" w14:textId="77777777" w:rsidR="00F93D14" w:rsidRPr="009505D1" w:rsidRDefault="00000000">
      <w:pPr>
        <w:pStyle w:val="Ttulo1"/>
        <w:spacing w:before="360" w:after="160" w:line="240" w:lineRule="auto"/>
        <w:rPr>
          <w:color w:val="auto"/>
          <w:lang w:val="es-CR"/>
        </w:rPr>
      </w:pPr>
      <w:r w:rsidRPr="009505D1">
        <w:rPr>
          <w:rFonts w:ascii="Times New Roman" w:hAnsi="Times New Roman"/>
          <w:color w:val="auto"/>
          <w:lang w:val="es-CR"/>
        </w:rPr>
        <w:lastRenderedPageBreak/>
        <w:t>Introducción</w:t>
      </w:r>
    </w:p>
    <w:p w14:paraId="4B664042" w14:textId="77777777" w:rsidR="00F93D14" w:rsidRPr="009505D1" w:rsidRDefault="00000000">
      <w:pPr>
        <w:ind w:firstLine="709"/>
        <w:jc w:val="both"/>
        <w:rPr>
          <w:lang w:val="es-CR"/>
        </w:rPr>
      </w:pPr>
      <w:r w:rsidRPr="009505D1">
        <w:rPr>
          <w:lang w:val="es-CR"/>
        </w:rPr>
        <w:t>Este proyecto analiza el racismo institucional y estructural hacia la población afrodescendiente en Costa Rica, con énfasis en la provincia de Limón, desde 1934 hasta la actualidad. Por racismo institucional entendemos, para efectos de este trabajo, no los actos de discriminación interpersonal aislados sino las formas en que las propias instituciones del Estado (sistema judicial, educación pública, salud) han producido y siguen reproduciendo desigualdad hacia esta población, incluso cuando existe reconocimiento simbólico o legal formal de sus derechos.</w:t>
      </w:r>
    </w:p>
    <w:p w14:paraId="2CBC13FF" w14:textId="77777777" w:rsidR="00F93D14" w:rsidRPr="009505D1" w:rsidRDefault="00000000">
      <w:pPr>
        <w:ind w:firstLine="709"/>
        <w:jc w:val="both"/>
        <w:rPr>
          <w:lang w:val="es-CR"/>
        </w:rPr>
      </w:pPr>
      <w:r w:rsidRPr="009505D1">
        <w:rPr>
          <w:lang w:val="es-CR"/>
        </w:rPr>
        <w:t>Elegimos Limón como territorio de referencia porque concentra la historia jurídica de exclusión mejor documentada del país, aunque un dato nos obligó a matizar esa elección desde el principio: según el Censo 2011, solo el 15% de la población afrodescendiente costarricense vive hoy en Limón, frente a un 65% que vive en el Valle Central (AR.com, 2015). Esa distribución convierte una pregunta simple en el eje analítico del proyecto: si Limón ya no concentra a la mayoría de la población afrodescendiente, ¿por qué sigue concentrando sus peores indicadores de desigualdad?</w:t>
      </w:r>
    </w:p>
    <w:p w14:paraId="4657E651" w14:textId="77777777" w:rsidR="00F93D14" w:rsidRPr="009505D1" w:rsidRDefault="00000000">
      <w:pPr>
        <w:ind w:firstLine="709"/>
        <w:jc w:val="both"/>
        <w:rPr>
          <w:lang w:val="es-CR"/>
        </w:rPr>
      </w:pPr>
      <w:r w:rsidRPr="009505D1">
        <w:rPr>
          <w:lang w:val="es-CR"/>
        </w:rPr>
        <w:t xml:space="preserve">La población afrodescendiente representa entre el 7.6% (Censo 2011, INEC) y un estimado de 8-11% en 2026, unas 550,000 personas según cifras recientes del INEC citadas en medios. El caso de Limón es especialmente relevante porque concentra la historia jurídica de exclusión más documentada del país: los afrocaribeños no tuvieron ciudadanía costarricense plena hasta la Constitución de 1949, y antes de eso enfrentaron restricciones legales explícitas de movilidad con la Ley 31 de 1934. Hoy, la provincia de Limón mantiene la tasa de mortalidad materna más alta del país, 4.97 por cada 10,000 nacimientos en el quinquenio 2008-2012, frente a una tasa nacional de 2.53 (Ministerio de Salud, 2014, citado en Arguedas Ramírez, 2016), y </w:t>
      </w:r>
      <w:r w:rsidRPr="009505D1">
        <w:rPr>
          <w:lang w:val="es-CR"/>
        </w:rPr>
        <w:lastRenderedPageBreak/>
        <w:t>figura sistemáticamente por debajo del promedio nacional de desarrollo humano cantonal, según el Atlas del PNUD.</w:t>
      </w:r>
    </w:p>
    <w:p w14:paraId="352B929C" w14:textId="77777777" w:rsidR="00F93D14" w:rsidRPr="009505D1" w:rsidRDefault="00000000">
      <w:pPr>
        <w:ind w:firstLine="709"/>
        <w:jc w:val="both"/>
        <w:rPr>
          <w:lang w:val="es-CR"/>
        </w:rPr>
      </w:pPr>
      <w:r w:rsidRPr="009505D1">
        <w:rPr>
          <w:lang w:val="es-CR"/>
        </w:rPr>
        <w:t>El objetivo general de este proyecto es analizar las manifestaciones del racismo institucional y estructural hacia la población afrodescendiente en Costa Rica, con énfasis en la provincia de Limón, desde 1934 hasta la actualidad. Los objetivos específicos son:</w:t>
      </w:r>
    </w:p>
    <w:p w14:paraId="63A434B3" w14:textId="77777777" w:rsidR="00F93D14" w:rsidRPr="009505D1" w:rsidRDefault="00000000">
      <w:pPr>
        <w:spacing w:after="120"/>
        <w:ind w:left="709" w:hanging="709"/>
        <w:jc w:val="both"/>
        <w:rPr>
          <w:lang w:val="es-CR"/>
        </w:rPr>
      </w:pPr>
      <w:r w:rsidRPr="009505D1">
        <w:rPr>
          <w:lang w:val="es-CR"/>
        </w:rPr>
        <w:t>1. Explicar el origen histórico-jurídico de la exclusión de la población afrocaribeña en Costa Rica (Ley 31 de 1934, ciudadanía otorgada en 1949) y su relación con la construcción de la identidad nacional costarricense como "país blanco".</w:t>
      </w:r>
    </w:p>
    <w:p w14:paraId="2D86A28D" w14:textId="77777777" w:rsidR="00F93D14" w:rsidRPr="009505D1" w:rsidRDefault="00000000">
      <w:pPr>
        <w:spacing w:after="120"/>
        <w:ind w:left="709" w:hanging="709"/>
        <w:jc w:val="both"/>
        <w:rPr>
          <w:lang w:val="es-CR"/>
        </w:rPr>
      </w:pPr>
      <w:r w:rsidRPr="009505D1">
        <w:rPr>
          <w:lang w:val="es-CR"/>
        </w:rPr>
        <w:t>2. Analizar las desigualdades socioeconómicas actuales entre la población afrodescendiente y el resto de la población costarricense, con datos concretos de salud materna, desarrollo humano cantonal y distribución territorial.</w:t>
      </w:r>
    </w:p>
    <w:p w14:paraId="2116C7CD" w14:textId="77777777" w:rsidR="00F93D14" w:rsidRPr="009505D1" w:rsidRDefault="00000000">
      <w:pPr>
        <w:spacing w:after="120"/>
        <w:ind w:left="709" w:hanging="709"/>
        <w:jc w:val="both"/>
        <w:rPr>
          <w:lang w:val="es-CR"/>
        </w:rPr>
      </w:pPr>
      <w:r w:rsidRPr="009505D1">
        <w:rPr>
          <w:lang w:val="es-CR"/>
        </w:rPr>
        <w:t xml:space="preserve">3. Interpretar cómo el reconocimiento simbólico y legal reciente (caso </w:t>
      </w:r>
      <w:r w:rsidRPr="009505D1">
        <w:rPr>
          <w:i/>
          <w:lang w:val="es-CR"/>
        </w:rPr>
        <w:t>Cocorí</w:t>
      </w:r>
      <w:r w:rsidRPr="009505D1">
        <w:rPr>
          <w:lang w:val="es-CR"/>
        </w:rPr>
        <w:t>, caso "La Negrita", feriado del 31 de agosto) convive con la persistencia del racismo estructural denunciado por actores y organizaciones afrodescendientes.</w:t>
      </w:r>
    </w:p>
    <w:p w14:paraId="01FBCF61" w14:textId="77777777" w:rsidR="00F93D14" w:rsidRPr="009505D1" w:rsidRDefault="00000000">
      <w:pPr>
        <w:pStyle w:val="Ttulo1"/>
        <w:spacing w:before="360" w:after="160" w:line="240" w:lineRule="auto"/>
        <w:rPr>
          <w:color w:val="auto"/>
          <w:lang w:val="es-CR"/>
        </w:rPr>
      </w:pPr>
      <w:r w:rsidRPr="009505D1">
        <w:rPr>
          <w:rFonts w:ascii="Times New Roman" w:hAnsi="Times New Roman"/>
          <w:color w:val="auto"/>
          <w:lang w:val="es-CR"/>
        </w:rPr>
        <w:t>Contextualización</w:t>
      </w:r>
    </w:p>
    <w:p w14:paraId="344F6FCA" w14:textId="77777777" w:rsidR="00F93D14" w:rsidRPr="009505D1" w:rsidRDefault="00000000">
      <w:pPr>
        <w:pStyle w:val="Ttulo2"/>
        <w:spacing w:before="240" w:after="160" w:line="240" w:lineRule="auto"/>
        <w:rPr>
          <w:color w:val="auto"/>
          <w:lang w:val="es-CR"/>
        </w:rPr>
      </w:pPr>
      <w:r w:rsidRPr="009505D1">
        <w:rPr>
          <w:rFonts w:ascii="Times New Roman" w:hAnsi="Times New Roman"/>
          <w:color w:val="auto"/>
          <w:sz w:val="24"/>
          <w:lang w:val="es-CR"/>
        </w:rPr>
        <w:t>Antecedentes: el enclave bananero y la exclusión legal (1870-1949)</w:t>
      </w:r>
    </w:p>
    <w:p w14:paraId="66807106" w14:textId="77777777" w:rsidR="00F93D14" w:rsidRPr="009505D1" w:rsidRDefault="00000000">
      <w:pPr>
        <w:ind w:firstLine="709"/>
        <w:jc w:val="both"/>
        <w:rPr>
          <w:lang w:val="es-CR"/>
        </w:rPr>
      </w:pPr>
      <w:r w:rsidRPr="009505D1">
        <w:rPr>
          <w:lang w:val="es-CR"/>
        </w:rPr>
        <w:t>La llegada de población afrocaribeña a Costa Rica está ligada a dos procesos que ocurrieron en paralelo desde la década de 1870: la construcción del ferrocarril al Atlántico y la consolidación de la producción bananera bajo la United Fruit Company. Entre 1891 y 1911 llegaron al país cerca de 43,438 personas jamaiquinas, atraídas por la crisis azucarera en su isla y reclutadas porque hablaban inglés y ya tenían experiencia en el cultivo del banano. Para 1927 había 19,136 personas jamaiquinas solo en Limón. Esa migración es el origen directo de la cultura afrocaribeña que hoy se asocia con la provincia.</w:t>
      </w:r>
    </w:p>
    <w:p w14:paraId="687CDF73" w14:textId="77777777" w:rsidR="00F93D14" w:rsidRPr="009505D1" w:rsidRDefault="00000000">
      <w:pPr>
        <w:ind w:firstLine="709"/>
        <w:jc w:val="both"/>
        <w:rPr>
          <w:lang w:val="es-CR"/>
        </w:rPr>
      </w:pPr>
      <w:r w:rsidRPr="009505D1">
        <w:rPr>
          <w:lang w:val="es-CR"/>
        </w:rPr>
        <w:lastRenderedPageBreak/>
        <w:t>Ese mismo Estado que se benefició económicamente de esa mano de obra construyó, en paralelo, un marco legal que trató a esa población como una amenaza a controlar y no como parte de la nación. Desde 1930, Costa Rica adoptó una serie de disposiciones para limitar la llegada de personas migrantes negras: en 1930 se exigió una cédula de identidad migratoria, en 1931 se reafirmó la potestad del Poder Ejecutivo de rechazar a quienes considerara "nocivos" para el país y en 1933 se restringió la participación de personas extranjeras en cargos municipales (Pérez Granados, 2018). El punto más explícito de esa política es la Ley N.° 31 de 1934, que declaró prohibida la ocupación de "gente de color" en las zonas del Pacífico cuando la compañía bananera trasladó buena parte de su operación hacia esa región del país (Pérez Granados, 2018). La población afrocaribeña no tuvo acceso pleno a la ciudadanía costarricense sino hasta la Constitución Política de 1949, redactada tras la guerra civil de 1948.</w:t>
      </w:r>
    </w:p>
    <w:p w14:paraId="19952AAD" w14:textId="77777777" w:rsidR="00F93D14" w:rsidRPr="009505D1" w:rsidRDefault="00000000">
      <w:pPr>
        <w:ind w:firstLine="709"/>
        <w:jc w:val="both"/>
        <w:rPr>
          <w:lang w:val="es-CR"/>
        </w:rPr>
      </w:pPr>
      <w:r w:rsidRPr="009505D1">
        <w:rPr>
          <w:lang w:val="es-CR"/>
        </w:rPr>
        <w:t>Un hallazgo particularmente útil para este proyecto viene de Hurtado Madrigal (2024), quien documenta una contradicción central en la política estatal de esos años: mientras el Estado restringía por ley la migración, la movilidad y la ciudadanía de la población afrocaribeña, al mismo tiempo intentaba "nacionalizarla" mediante la educación pública, imponiendo el castellano y el currículo nacional sobre las escuelas privadas de origen jamaiquino-británico que existían en Limón entre 1915 y 1950. Las familias afrocaribeñas resistieron esa imposición defendiendo sus escuelas privadas como espacio de continuidad cultural e idiomática, no por rechazo a la educación en sí. Ese episodio muestra que la relación entre el Estado costarricense y la población afrocaribeña nunca fue solo de exclusión pasiva, sino también de un intento activo de asimilación forzada que, aun así, no vino acompañado de derechos de ciudadanía equivalentes.</w:t>
      </w:r>
    </w:p>
    <w:p w14:paraId="0A92F7E8" w14:textId="77777777" w:rsidR="00F93D14" w:rsidRPr="009505D1" w:rsidRDefault="00000000">
      <w:pPr>
        <w:pStyle w:val="Ttulo2"/>
        <w:spacing w:before="240" w:after="160" w:line="240" w:lineRule="auto"/>
        <w:rPr>
          <w:color w:val="auto"/>
          <w:lang w:val="es-CR"/>
        </w:rPr>
      </w:pPr>
      <w:r w:rsidRPr="009505D1">
        <w:rPr>
          <w:rFonts w:ascii="Times New Roman" w:hAnsi="Times New Roman"/>
          <w:color w:val="auto"/>
          <w:sz w:val="24"/>
          <w:lang w:val="es-CR"/>
        </w:rPr>
        <w:lastRenderedPageBreak/>
        <w:t>Actores</w:t>
      </w:r>
    </w:p>
    <w:p w14:paraId="433D3694" w14:textId="77777777" w:rsidR="00F93D14" w:rsidRPr="009505D1" w:rsidRDefault="00000000">
      <w:pPr>
        <w:ind w:firstLine="709"/>
        <w:jc w:val="both"/>
        <w:rPr>
          <w:lang w:val="es-CR"/>
        </w:rPr>
      </w:pPr>
      <w:r w:rsidRPr="009505D1">
        <w:rPr>
          <w:lang w:val="es-CR"/>
        </w:rPr>
        <w:t xml:space="preserve">En el Estado, los actores relevantes son el Ministerio de Educación Pública (política de nacionalización escolar 1915-1950, y más tarde la inclusión de </w:t>
      </w:r>
      <w:r w:rsidRPr="009505D1">
        <w:rPr>
          <w:i/>
          <w:lang w:val="es-CR"/>
        </w:rPr>
        <w:t>Cocorí</w:t>
      </w:r>
      <w:r w:rsidRPr="009505D1">
        <w:rPr>
          <w:lang w:val="es-CR"/>
        </w:rPr>
        <w:t xml:space="preserve"> como lectura obligatoria desde 1994), la Sala Constitucional (que resolvió sin lugar el recurso de amparo contra </w:t>
      </w:r>
      <w:r w:rsidRPr="009505D1">
        <w:rPr>
          <w:i/>
          <w:lang w:val="es-CR"/>
        </w:rPr>
        <w:t>Cocorí</w:t>
      </w:r>
      <w:r w:rsidRPr="009505D1">
        <w:rPr>
          <w:lang w:val="es-CR"/>
        </w:rPr>
        <w:t xml:space="preserve"> en 1996), el Ministerio de Salud (responsable de la brecha de mortalidad materna documentada en Limón) y el Ministerio de Planificación Nacional y Política Económica, que en 2014 formuló, mediante el Decreto Ejecutivo N.° 38114, la Política Nacional para una Sociedad Libre de Racismo, Discriminación Racial y Xenofobia 2014-2025, con un segundo plan de acción evaluado en 2019 (MIDEPLAN, 2014).</w:t>
      </w:r>
    </w:p>
    <w:p w14:paraId="1E63A78E" w14:textId="77777777" w:rsidR="00F93D14" w:rsidRPr="009505D1" w:rsidRDefault="00000000">
      <w:pPr>
        <w:ind w:firstLine="709"/>
        <w:jc w:val="both"/>
        <w:rPr>
          <w:lang w:val="es-CR"/>
        </w:rPr>
      </w:pPr>
      <w:r w:rsidRPr="009505D1">
        <w:rPr>
          <w:lang w:val="es-CR"/>
        </w:rPr>
        <w:t>En el sector privado, el actor histórico principal es la United Fruit Company (después Chiriquí Land Company), responsable de reclutar la migración jamaiquina y, décadas más tarde, de reubicar sus operaciones al Pacífico bajo condiciones que excluían legalmente a la misma población que había empleado. Un caso más reciente y de otra naturaleza es la empresa American Sanitary Company, que en 2000-2001 mantuvo en circulación una campaña publicitaria racista para la esponja "La Negrita" pese a la denuncia de organizaciones afrodescendientes, hasta que la Oficina Nacional de Control de Propaganda la prohibió (Pérez Granados, 2018).</w:t>
      </w:r>
    </w:p>
    <w:p w14:paraId="701FB99E" w14:textId="77777777" w:rsidR="00F93D14" w:rsidRPr="009505D1" w:rsidRDefault="00000000">
      <w:pPr>
        <w:ind w:firstLine="709"/>
        <w:jc w:val="both"/>
        <w:rPr>
          <w:lang w:val="es-CR"/>
        </w:rPr>
      </w:pPr>
      <w:r w:rsidRPr="009505D1">
        <w:rPr>
          <w:lang w:val="es-CR"/>
        </w:rPr>
        <w:t xml:space="preserve">Entre las organizaciones afrodescendientes, el actor más consolidado es el Centro de Mujeres Afrocostarricenses, fundado en 1995 bajo el nombre de Asociación para el Desarrollo de las Mujeres Negras Costarricenses, que lleva más de 25 años trabajando en derechos humanos, género y participación política de mujeres afrodescendientes, y que en 2022 impulsó la Global Coalition for Racial Justice and Reparations. En Limón específicamente opera la Asociación Foro de Mujeres Afrocostarricense, creada en 2005 como espacio de encuentro para mujeres afrodescendientes de la provincia, y la Asociación Proyecto Caribe, con un programa propio de juventud y liderazgo. Estas dos últimas organizaciones fueron, junto al Centro de Mujeres </w:t>
      </w:r>
      <w:r w:rsidRPr="009505D1">
        <w:rPr>
          <w:lang w:val="es-CR"/>
        </w:rPr>
        <w:lastRenderedPageBreak/>
        <w:t>Afrocostarricenses, quienes presentaron la denuncia contra la publicidad de "La Negrita" en el año 2000.</w:t>
      </w:r>
    </w:p>
    <w:p w14:paraId="0C20C3BC" w14:textId="77777777" w:rsidR="00F93D14" w:rsidRPr="009505D1" w:rsidRDefault="00000000">
      <w:pPr>
        <w:pStyle w:val="Ttulo1"/>
        <w:spacing w:before="360" w:after="160" w:line="240" w:lineRule="auto"/>
        <w:rPr>
          <w:color w:val="auto"/>
          <w:lang w:val="es-CR"/>
        </w:rPr>
      </w:pPr>
      <w:r w:rsidRPr="009505D1">
        <w:rPr>
          <w:rFonts w:ascii="Times New Roman" w:hAnsi="Times New Roman"/>
          <w:color w:val="auto"/>
          <w:lang w:val="es-CR"/>
        </w:rPr>
        <w:t>Desarrollo y análisis crítico</w:t>
      </w:r>
    </w:p>
    <w:p w14:paraId="6001B4F9" w14:textId="77777777" w:rsidR="00F93D14" w:rsidRPr="009505D1" w:rsidRDefault="00000000">
      <w:pPr>
        <w:pStyle w:val="Ttulo2"/>
        <w:spacing w:before="240" w:after="160" w:line="240" w:lineRule="auto"/>
        <w:rPr>
          <w:color w:val="auto"/>
          <w:lang w:val="es-CR"/>
        </w:rPr>
      </w:pPr>
      <w:r w:rsidRPr="009505D1">
        <w:rPr>
          <w:rFonts w:ascii="Times New Roman" w:hAnsi="Times New Roman"/>
          <w:color w:val="auto"/>
          <w:sz w:val="24"/>
          <w:lang w:val="es-CR"/>
        </w:rPr>
        <w:t>Causas</w:t>
      </w:r>
    </w:p>
    <w:p w14:paraId="3C889EB5" w14:textId="77777777" w:rsidR="00F93D14" w:rsidRPr="009505D1" w:rsidRDefault="00000000">
      <w:pPr>
        <w:ind w:firstLine="709"/>
        <w:jc w:val="both"/>
        <w:rPr>
          <w:lang w:val="es-CR"/>
        </w:rPr>
      </w:pPr>
      <w:r w:rsidRPr="009505D1">
        <w:rPr>
          <w:lang w:val="es-CR"/>
        </w:rPr>
        <w:t>El racismo institucional hacia la población afrodescendiente en Costa Rica no tiene una causa única. Tiene al menos tres raíces que se refuerzan entre sí. La primera es económica: la migración afrocaribeña llegó al país como mano de obra para un proyecto de infraestructura y agroexportación controlado por una empresa extranjera, no como parte de un proyecto de poblamiento nacional, lo que desde el inicio la colocó en una posición subordinada dentro de la economía del enclave. La segunda es ideológica: como documenta Acuña Ortega (2002), la identidad nacional costarricense se construyó desde el siglo XIX sobre la idea de un país excepcionalmente pacífico, próspero y racialmente homogéneo frente a sus vecinos centroamericanos, una narrativa que no tenía espacio para una población que llegó hablando inglés, practicando otra religión y viviendo en un territorio geográficamente aislado del Valle Central. La tercera es jurídica: las leyes migratorias de 1930-1934 no fueron un accidente burocrático, fueron el instrumento que tradujo esa ideología en restricciones concretas de movilidad, empleo y ciudadanía.</w:t>
      </w:r>
    </w:p>
    <w:p w14:paraId="603D4EF5" w14:textId="77777777" w:rsidR="00F93D14" w:rsidRPr="009505D1" w:rsidRDefault="00000000">
      <w:pPr>
        <w:pStyle w:val="Ttulo2"/>
        <w:spacing w:before="240" w:after="160" w:line="240" w:lineRule="auto"/>
        <w:rPr>
          <w:color w:val="auto"/>
          <w:lang w:val="es-CR"/>
        </w:rPr>
      </w:pPr>
      <w:r w:rsidRPr="009505D1">
        <w:rPr>
          <w:rFonts w:ascii="Times New Roman" w:hAnsi="Times New Roman"/>
          <w:color w:val="auto"/>
          <w:sz w:val="24"/>
          <w:lang w:val="es-CR"/>
        </w:rPr>
        <w:t>Consecuencias</w:t>
      </w:r>
    </w:p>
    <w:p w14:paraId="2B0AF89A" w14:textId="77777777" w:rsidR="00F93D14" w:rsidRPr="009505D1" w:rsidRDefault="00000000">
      <w:pPr>
        <w:ind w:firstLine="709"/>
        <w:jc w:val="both"/>
        <w:rPr>
          <w:lang w:val="es-CR"/>
        </w:rPr>
      </w:pPr>
      <w:r w:rsidRPr="009505D1">
        <w:rPr>
          <w:lang w:val="es-CR"/>
        </w:rPr>
        <w:t xml:space="preserve">La consecuencia más medible hoy es la brecha en salud materna: la tasa de mortalidad materna en Limón (4.97 por cada 10,000 nacimientos, 2008-2012) casi duplica la tasa nacional (2.53), según datos del Ministerio de Salud citados en Arguedas Ramírez (2016). Limón también aparece de forma sistemática por debajo del promedio nacional de desarrollo humano cantonal en el Atlas del PNUD. A esto se suma una consecuencia más difícil de medir con estadísticas </w:t>
      </w:r>
      <w:r w:rsidRPr="009505D1">
        <w:rPr>
          <w:lang w:val="es-CR"/>
        </w:rPr>
        <w:lastRenderedPageBreak/>
        <w:t xml:space="preserve">oficiales: la persistencia de estereotipos raciales dentro de productos culturales de amplia circulación, como el propio libro </w:t>
      </w:r>
      <w:r w:rsidRPr="009505D1">
        <w:rPr>
          <w:i/>
          <w:lang w:val="es-CR"/>
        </w:rPr>
        <w:t>Cocorí</w:t>
      </w:r>
      <w:r w:rsidRPr="009505D1">
        <w:rPr>
          <w:lang w:val="es-CR"/>
        </w:rPr>
        <w:t>, que sigue siendo lectura recomendada en el sistema educativo pese a las décadas de denuncia de su contenido (Pérez Granados, 2018).</w:t>
      </w:r>
    </w:p>
    <w:p w14:paraId="5EEFFF7D" w14:textId="77777777" w:rsidR="00F93D14" w:rsidRPr="009505D1" w:rsidRDefault="00000000">
      <w:pPr>
        <w:pStyle w:val="Ttulo2"/>
        <w:spacing w:before="240" w:after="160" w:line="240" w:lineRule="auto"/>
        <w:rPr>
          <w:color w:val="auto"/>
          <w:lang w:val="es-CR"/>
        </w:rPr>
      </w:pPr>
      <w:r w:rsidRPr="009505D1">
        <w:rPr>
          <w:rFonts w:ascii="Times New Roman" w:hAnsi="Times New Roman"/>
          <w:color w:val="auto"/>
          <w:sz w:val="24"/>
          <w:lang w:val="es-CR"/>
        </w:rPr>
        <w:t>Desigualdades y relaciones de poder</w:t>
      </w:r>
    </w:p>
    <w:p w14:paraId="38294C8E" w14:textId="77777777" w:rsidR="00F93D14" w:rsidRPr="009505D1" w:rsidRDefault="00000000">
      <w:pPr>
        <w:ind w:firstLine="709"/>
        <w:jc w:val="both"/>
        <w:rPr>
          <w:lang w:val="es-CR"/>
        </w:rPr>
      </w:pPr>
      <w:r w:rsidRPr="009505D1">
        <w:rPr>
          <w:lang w:val="es-CR"/>
        </w:rPr>
        <w:t xml:space="preserve">El caso </w:t>
      </w:r>
      <w:r w:rsidRPr="009505D1">
        <w:rPr>
          <w:i/>
          <w:lang w:val="es-CR"/>
        </w:rPr>
        <w:t>Cocorí</w:t>
      </w:r>
      <w:r w:rsidRPr="009505D1">
        <w:rPr>
          <w:lang w:val="es-CR"/>
        </w:rPr>
        <w:t xml:space="preserve"> ilustra con particular claridad cómo opera el poder dentro de una institución que se supone neutral. En 1996, la Sala Constitucional resolvió sin lugar el recurso presentado por dos estudiantes afrocaribeños, argumentando que el libro solo buscaba "resaltar las virtudes de una raza que en esos tiempos estaba aún condenada por los resabios de la esclavitud" (Expediente 6613-95, citado en Pérez Granados, 2018). Esa frase ubica el racismo exclusivamente en el pasado, como algo ya superado, y niega que pueda seguir operando en el presente a través del propio texto que la Sala está defendiendo. La resolución fue unánime, dictada por magistrados sin representación afrodescendiente, lo que para las organizaciones que impulsaron la demanda confirmó que el poder de decidir qué cuenta como racismo en Costa Rica no está distribuido de forma pareja entre quienes lo sufren y quienes lo juzgan.</w:t>
      </w:r>
    </w:p>
    <w:p w14:paraId="236ABDE0" w14:textId="77777777" w:rsidR="00F93D14" w:rsidRPr="009505D1" w:rsidRDefault="00000000">
      <w:pPr>
        <w:pStyle w:val="Ttulo2"/>
        <w:spacing w:before="240" w:after="160" w:line="240" w:lineRule="auto"/>
        <w:rPr>
          <w:color w:val="auto"/>
          <w:lang w:val="es-CR"/>
        </w:rPr>
      </w:pPr>
      <w:r w:rsidRPr="009505D1">
        <w:rPr>
          <w:rFonts w:ascii="Times New Roman" w:hAnsi="Times New Roman"/>
          <w:color w:val="auto"/>
          <w:sz w:val="24"/>
          <w:lang w:val="es-CR"/>
        </w:rPr>
        <w:t>Actuación del Estado, empresas e instituciones</w:t>
      </w:r>
    </w:p>
    <w:p w14:paraId="51030F7E" w14:textId="77777777" w:rsidR="00F93D14" w:rsidRPr="009505D1" w:rsidRDefault="00000000">
      <w:pPr>
        <w:ind w:firstLine="709"/>
        <w:jc w:val="both"/>
        <w:rPr>
          <w:lang w:val="es-CR"/>
        </w:rPr>
      </w:pPr>
      <w:r w:rsidRPr="009505D1">
        <w:rPr>
          <w:lang w:val="es-CR"/>
        </w:rPr>
        <w:t xml:space="preserve">La actuación del Estado costarricense frente al racismo hacia la población afrodescendiente muestra un patrón de reconocimiento tardío y parcial. Pasaron 76 años entre la exclusión legal de 1934 y el primer marco de política pública específica contra el racismo (2014). En el caso judicial más documentado, el propio Poder Judicial fue quien negó el problema en 1996. El único caso donde una institución del Estado falló explícitamente a favor de la comunidad afrodescendiente fue el de "La Negrita" en 2001, resuelto por una instancia administrativa (la Oficina Nacional de Control de Propaganda), no por los tribunales. El gesto simbólico más reciente y visible, el feriado de pago obligatorio del 31 de agosto por el Día de la </w:t>
      </w:r>
      <w:r w:rsidRPr="009505D1">
        <w:rPr>
          <w:lang w:val="es-CR"/>
        </w:rPr>
        <w:lastRenderedPageBreak/>
        <w:t xml:space="preserve">Persona Negra y la Cultura Afrocostarricense, coincide con una declaración pública de Teodoro Symes, gestor cultural afrocostarricense, de que el racismo "sigue presentándose de diversas maneras, algunas más drásticas que otras" (Sparisci, 2026). Esa yuxtaposición, un feriado oficial y, en la misma nota de prensa, la advertencia de que el racismo </w:t>
      </w:r>
      <w:proofErr w:type="gramStart"/>
      <w:r w:rsidRPr="009505D1">
        <w:rPr>
          <w:lang w:val="es-CR"/>
        </w:rPr>
        <w:t>persiste,</w:t>
      </w:r>
      <w:proofErr w:type="gramEnd"/>
      <w:r w:rsidRPr="009505D1">
        <w:rPr>
          <w:lang w:val="es-CR"/>
        </w:rPr>
        <w:t xml:space="preserve"> resume bien la tensión central de este proyecto: el reconocimiento simbólico no ha sido suficiente para cerrar las brechas materiales.</w:t>
      </w:r>
    </w:p>
    <w:p w14:paraId="7D763BCC" w14:textId="77777777" w:rsidR="00F93D14" w:rsidRPr="009505D1" w:rsidRDefault="00000000">
      <w:pPr>
        <w:pStyle w:val="Ttulo2"/>
        <w:spacing w:before="240" w:after="160" w:line="240" w:lineRule="auto"/>
        <w:rPr>
          <w:color w:val="auto"/>
          <w:lang w:val="es-CR"/>
        </w:rPr>
      </w:pPr>
      <w:r w:rsidRPr="009505D1">
        <w:rPr>
          <w:rFonts w:ascii="Times New Roman" w:hAnsi="Times New Roman"/>
          <w:color w:val="auto"/>
          <w:sz w:val="24"/>
          <w:lang w:val="es-CR"/>
        </w:rPr>
        <w:t>Experiencias de comunidades afectadas</w:t>
      </w:r>
    </w:p>
    <w:p w14:paraId="3BE0F7F2" w14:textId="77777777" w:rsidR="00F93D14" w:rsidRPr="009505D1" w:rsidRDefault="00000000">
      <w:pPr>
        <w:ind w:firstLine="709"/>
        <w:jc w:val="both"/>
        <w:rPr>
          <w:lang w:val="es-CR"/>
        </w:rPr>
      </w:pPr>
      <w:r w:rsidRPr="009505D1">
        <w:rPr>
          <w:lang w:val="es-CR"/>
        </w:rPr>
        <w:t>Las familias afrocaribeñas de Limón enfrentaron, entre 1915 y 1950, una presión estatal que buscaba borrar su idioma y su sistema escolar propio bajo el argumento de integrarlas a la nación, y respondieron defendiendo sus escuelas privadas como forma de conservar su cultura (Hurtado Madrigal, 2024). Ochenta años más tarde, la resistencia toma otra forma: organizaciones de mujeres afrodescendientes en Limón, como la Asociación Foro de Mujeres Afrocostarricense, siguen sosteniendo espacios propios de organización que no dependen de que el Estado los reconozca primero.</w:t>
      </w:r>
    </w:p>
    <w:p w14:paraId="4094DC0D" w14:textId="77777777" w:rsidR="00F93D14" w:rsidRPr="009505D1" w:rsidRDefault="00000000">
      <w:pPr>
        <w:pStyle w:val="Ttulo2"/>
        <w:spacing w:before="240" w:after="160" w:line="240" w:lineRule="auto"/>
        <w:rPr>
          <w:color w:val="auto"/>
          <w:lang w:val="es-CR"/>
        </w:rPr>
      </w:pPr>
      <w:r w:rsidRPr="009505D1">
        <w:rPr>
          <w:rFonts w:ascii="Times New Roman" w:hAnsi="Times New Roman"/>
          <w:color w:val="auto"/>
          <w:sz w:val="24"/>
          <w:lang w:val="es-CR"/>
        </w:rPr>
        <w:t>Discursos y prejuicios</w:t>
      </w:r>
    </w:p>
    <w:p w14:paraId="29CAB019" w14:textId="77777777" w:rsidR="00F93D14" w:rsidRPr="009505D1" w:rsidRDefault="00000000">
      <w:pPr>
        <w:ind w:firstLine="709"/>
        <w:jc w:val="both"/>
        <w:rPr>
          <w:lang w:val="es-CR"/>
        </w:rPr>
      </w:pPr>
      <w:r w:rsidRPr="009505D1">
        <w:rPr>
          <w:lang w:val="es-CR"/>
        </w:rPr>
        <w:t xml:space="preserve">El concepto que mejor describe el tipo de racismo que documenta este proyecto es el que propone el escritor Quince Duncan: un racismo "doctrinario, invisible", tan introyectado que ni siquiera se reconoce a sí mismo como racismo (citado en Pérez Granados, 2018). La sentencia de </w:t>
      </w:r>
      <w:r w:rsidRPr="009505D1">
        <w:rPr>
          <w:i/>
          <w:lang w:val="es-CR"/>
        </w:rPr>
        <w:t>Cocorí</w:t>
      </w:r>
      <w:r w:rsidRPr="009505D1">
        <w:rPr>
          <w:lang w:val="es-CR"/>
        </w:rPr>
        <w:t xml:space="preserve"> de 1996 es el ejemplo institucional más claro de ese mecanismo: no niega que hubo racismo en el pasado, lo confina al pasado para no tener que reconocerlo en el presente.</w:t>
      </w:r>
    </w:p>
    <w:p w14:paraId="5FD26C99" w14:textId="77777777" w:rsidR="00F93D14" w:rsidRPr="009505D1" w:rsidRDefault="00000000">
      <w:pPr>
        <w:pStyle w:val="Ttulo2"/>
        <w:spacing w:before="240" w:after="160" w:line="240" w:lineRule="auto"/>
        <w:rPr>
          <w:color w:val="auto"/>
          <w:lang w:val="es-CR"/>
        </w:rPr>
      </w:pPr>
      <w:r w:rsidRPr="009505D1">
        <w:rPr>
          <w:rFonts w:ascii="Times New Roman" w:hAnsi="Times New Roman"/>
          <w:color w:val="auto"/>
          <w:sz w:val="24"/>
          <w:lang w:val="es-CR"/>
        </w:rPr>
        <w:t>Formas de organización y resistencia</w:t>
      </w:r>
    </w:p>
    <w:p w14:paraId="269D084B" w14:textId="77777777" w:rsidR="00F93D14" w:rsidRPr="009505D1" w:rsidRDefault="00000000">
      <w:pPr>
        <w:ind w:firstLine="709"/>
        <w:jc w:val="both"/>
        <w:rPr>
          <w:lang w:val="es-CR"/>
        </w:rPr>
      </w:pPr>
      <w:r w:rsidRPr="009505D1">
        <w:rPr>
          <w:lang w:val="es-CR"/>
        </w:rPr>
        <w:t xml:space="preserve">La resistencia de la población afrodescendiente costarricense no ha sido un episodio aislado, ha sido continua desde al menos 1915. Incluye la defensa de las escuelas privadas </w:t>
      </w:r>
      <w:r w:rsidRPr="009505D1">
        <w:rPr>
          <w:lang w:val="es-CR"/>
        </w:rPr>
        <w:lastRenderedPageBreak/>
        <w:t xml:space="preserve">jamaiquino-británicas (1915-1950), el recurso de amparo contra </w:t>
      </w:r>
      <w:r w:rsidRPr="009505D1">
        <w:rPr>
          <w:i/>
          <w:lang w:val="es-CR"/>
        </w:rPr>
        <w:t>Cocorí</w:t>
      </w:r>
      <w:r w:rsidRPr="009505D1">
        <w:rPr>
          <w:lang w:val="es-CR"/>
        </w:rPr>
        <w:t xml:space="preserve"> (1995), la denuncia contra "La Negrita" (2000-2001), la creación de organizaciones propias de largo plazo como el Centro de Mujeres Afrocostarricenses (desde 1995) y la Asociación Foro de Mujeres Afrocostarricense en Limón (desde 2005), y más recientemente la Global Coalition for Racial Justice and Reparations (2022), que plantea explícitamente la reparación histórica como demanda, no solo el reconocimiento simbólico.</w:t>
      </w:r>
    </w:p>
    <w:p w14:paraId="7153EF7F" w14:textId="77777777" w:rsidR="00F93D14" w:rsidRPr="009505D1" w:rsidRDefault="00000000">
      <w:pPr>
        <w:pStyle w:val="Ttulo1"/>
        <w:spacing w:before="360" w:after="160" w:line="240" w:lineRule="auto"/>
        <w:rPr>
          <w:color w:val="auto"/>
          <w:lang w:val="es-CR"/>
        </w:rPr>
      </w:pPr>
      <w:r w:rsidRPr="009505D1">
        <w:rPr>
          <w:rFonts w:ascii="Times New Roman" w:hAnsi="Times New Roman"/>
          <w:color w:val="auto"/>
          <w:lang w:val="es-CR"/>
        </w:rPr>
        <w:t>Integración del atributo "Persona ingeniera y el mundo"</w:t>
      </w:r>
    </w:p>
    <w:p w14:paraId="3C17DB90" w14:textId="77777777" w:rsidR="00F93D14" w:rsidRPr="009505D1" w:rsidRDefault="00000000">
      <w:pPr>
        <w:ind w:firstLine="709"/>
        <w:jc w:val="both"/>
        <w:rPr>
          <w:lang w:val="es-CR"/>
        </w:rPr>
      </w:pPr>
      <w:r w:rsidRPr="009505D1">
        <w:rPr>
          <w:lang w:val="es-CR"/>
        </w:rPr>
        <w:t>Este proyecto relaciona al menos cuatro dimensiones del problema.</w:t>
      </w:r>
    </w:p>
    <w:p w14:paraId="7A4F0A09" w14:textId="77777777" w:rsidR="00F93D14" w:rsidRPr="009505D1" w:rsidRDefault="00000000">
      <w:pPr>
        <w:ind w:firstLine="709"/>
        <w:jc w:val="both"/>
        <w:rPr>
          <w:lang w:val="es-CR"/>
        </w:rPr>
      </w:pPr>
      <w:r w:rsidRPr="009505D1">
        <w:rPr>
          <w:lang w:val="es-CR"/>
        </w:rPr>
        <w:t>Dimensión legal: la exclusión de la población afrodescendiente en Costa Rica tiene un origen jurídico explícito (Ley 31 de 1934, ciudadanía negada hasta 1949) y su reconocimiento actual también depende de instrumentos legales (fallos judiciales, decretos de política pública). Entender esta dimensión importa porque muestra que el racismo no es solo una actitud individual, es algo que el propio marco normativo del país puede producir o corregir.</w:t>
      </w:r>
    </w:p>
    <w:p w14:paraId="4540FC99" w14:textId="77777777" w:rsidR="00F93D14" w:rsidRPr="009505D1" w:rsidRDefault="00000000">
      <w:pPr>
        <w:ind w:firstLine="709"/>
        <w:jc w:val="both"/>
        <w:rPr>
          <w:lang w:val="es-CR"/>
        </w:rPr>
      </w:pPr>
      <w:r w:rsidRPr="009505D1">
        <w:rPr>
          <w:lang w:val="es-CR"/>
        </w:rPr>
        <w:t xml:space="preserve">Dimensión de salud: la brecha de mortalidad materna en Limón, casi el doble de la tasa </w:t>
      </w:r>
      <w:proofErr w:type="gramStart"/>
      <w:r w:rsidRPr="009505D1">
        <w:rPr>
          <w:lang w:val="es-CR"/>
        </w:rPr>
        <w:t>nacional,</w:t>
      </w:r>
      <w:proofErr w:type="gramEnd"/>
      <w:r w:rsidRPr="009505D1">
        <w:rPr>
          <w:lang w:val="es-CR"/>
        </w:rPr>
        <w:t xml:space="preserve"> es un indicador medible de cómo la desigualdad racial se traduce en riesgo de vida real para las mujeres afrodescendientes. Esta dimensión importa porque conecta el racismo estructural con un resultado biológico concreto, no solo simbólico.</w:t>
      </w:r>
    </w:p>
    <w:p w14:paraId="692740D6" w14:textId="77777777" w:rsidR="00F93D14" w:rsidRPr="009505D1" w:rsidRDefault="00000000">
      <w:pPr>
        <w:ind w:firstLine="709"/>
        <w:jc w:val="both"/>
        <w:rPr>
          <w:lang w:val="es-CR"/>
        </w:rPr>
      </w:pPr>
      <w:r w:rsidRPr="009505D1">
        <w:rPr>
          <w:lang w:val="es-CR"/>
        </w:rPr>
        <w:t>Dimensión social y cultural: la persistencia de estereotipos en materiales educativos ampliamente usados (</w:t>
      </w:r>
      <w:r w:rsidRPr="009505D1">
        <w:rPr>
          <w:i/>
          <w:lang w:val="es-CR"/>
        </w:rPr>
        <w:t>Cocorí</w:t>
      </w:r>
      <w:r w:rsidRPr="009505D1">
        <w:rPr>
          <w:lang w:val="es-CR"/>
        </w:rPr>
        <w:t>) y la existencia de organizaciones propias de la comunidad afrodescendiente muestran que este es también un problema de representación cultural y de quién tiene voz para definir su propia identidad.</w:t>
      </w:r>
    </w:p>
    <w:p w14:paraId="21EF47FB" w14:textId="77777777" w:rsidR="00F93D14" w:rsidRPr="009505D1" w:rsidRDefault="00000000">
      <w:pPr>
        <w:ind w:firstLine="709"/>
        <w:jc w:val="both"/>
        <w:rPr>
          <w:lang w:val="es-CR"/>
        </w:rPr>
      </w:pPr>
      <w:r w:rsidRPr="009505D1">
        <w:rPr>
          <w:lang w:val="es-CR"/>
        </w:rPr>
        <w:t xml:space="preserve">Dimensión económica: el origen mismo de la población afrocaribeña en Costa Rica está ligado a un modelo económico de enclave (ferrocarril y banano bajo control de una empresa </w:t>
      </w:r>
      <w:r w:rsidRPr="009505D1">
        <w:rPr>
          <w:lang w:val="es-CR"/>
        </w:rPr>
        <w:lastRenderedPageBreak/>
        <w:t>extranjera) que estableció desde el inicio una relación de subordinación laboral, y esa desigualdad económica de origen sigue teniendo eco en los indicadores actuales de desarrollo humano cantonal en Limón.</w:t>
      </w:r>
    </w:p>
    <w:p w14:paraId="73A933C9" w14:textId="77777777" w:rsidR="00F93D14" w:rsidRPr="009505D1" w:rsidRDefault="00000000">
      <w:pPr>
        <w:ind w:firstLine="709"/>
        <w:jc w:val="both"/>
        <w:rPr>
          <w:lang w:val="es-CR"/>
        </w:rPr>
      </w:pPr>
      <w:r w:rsidRPr="009505D1">
        <w:rPr>
          <w:lang w:val="es-CR"/>
        </w:rPr>
        <w:t>Para el desarrollo sostenible, este análisis sugiere que cerrar la brecha de Limón exige mucho más que gestos simbólicos: exige inversión sostenida en salud pública y desarrollo cantonal, revisión de los materiales educativos que siguen circulando sin actualizar, y participación real de las organizaciones afrodescendientes en el diseño de esas políticas, no solo su consulta posterior. La responsabilidad recae en varios actores a la vez: en el Estado, por ser quien reconoció los derechos más tarde de lo que reconoció la mano de obra; en las empresas que se beneficiaron históricamente del enclave bananero; y también en las y los profesionales, incluida la ingeniería y otras disciplinas técnicas, que participan en el diseño de infraestructura y servicios públicos en Limón, y que pueden reproducir o corregir esas desigualdades según cómo prioricen sus proyectos.</w:t>
      </w:r>
    </w:p>
    <w:p w14:paraId="3D348A6D" w14:textId="77777777" w:rsidR="00F93D14" w:rsidRPr="009505D1" w:rsidRDefault="00000000">
      <w:pPr>
        <w:pStyle w:val="Ttulo1"/>
        <w:spacing w:before="360" w:after="160" w:line="240" w:lineRule="auto"/>
        <w:rPr>
          <w:color w:val="auto"/>
          <w:lang w:val="es-CR"/>
        </w:rPr>
      </w:pPr>
      <w:r w:rsidRPr="009505D1">
        <w:rPr>
          <w:rFonts w:ascii="Times New Roman" w:hAnsi="Times New Roman"/>
          <w:color w:val="auto"/>
          <w:lang w:val="es-CR"/>
        </w:rPr>
        <w:t>Conclusiones</w:t>
      </w:r>
    </w:p>
    <w:p w14:paraId="23AF3A5C" w14:textId="77777777" w:rsidR="00F93D14" w:rsidRPr="009505D1" w:rsidRDefault="00000000">
      <w:pPr>
        <w:ind w:firstLine="709"/>
        <w:jc w:val="both"/>
        <w:rPr>
          <w:lang w:val="es-CR"/>
        </w:rPr>
      </w:pPr>
      <w:r w:rsidRPr="009505D1">
        <w:rPr>
          <w:lang w:val="es-CR"/>
        </w:rPr>
        <w:t xml:space="preserve">Este análisis muestra que el racismo institucional hacia la población afrodescendiente en Costa Rica no se explica por un episodio aislado, sino por la acumulación de decisiones estatales tomadas a lo largo de casi un siglo. La Ley 31 de 1934 y la ciudadanía negada hasta 1949 muestran que la exclusión fue, desde el inicio, un proyecto deliberado del Estado, no un efecto colateral de la migración. Ese origen jurídico explica en parte por qué el reconocimiento posterior llegó siempre tarde: pasaron 76 años entre la Ley 31 y la primera política pública específica contra el racismo, en 2014, y el propio Poder Judicial fue quien, en 1996, negó la existencia de racismo estructural en el caso </w:t>
      </w:r>
      <w:r w:rsidRPr="009505D1">
        <w:rPr>
          <w:i/>
          <w:lang w:val="es-CR"/>
        </w:rPr>
        <w:t>Cocorí</w:t>
      </w:r>
      <w:r w:rsidRPr="009505D1">
        <w:rPr>
          <w:lang w:val="es-CR"/>
        </w:rPr>
        <w:t>.</w:t>
      </w:r>
    </w:p>
    <w:p w14:paraId="145EAF32" w14:textId="77777777" w:rsidR="00F93D14" w:rsidRPr="009505D1" w:rsidRDefault="00000000">
      <w:pPr>
        <w:ind w:firstLine="709"/>
        <w:jc w:val="both"/>
        <w:rPr>
          <w:lang w:val="es-CR"/>
        </w:rPr>
      </w:pPr>
      <w:r w:rsidRPr="009505D1">
        <w:rPr>
          <w:lang w:val="es-CR"/>
        </w:rPr>
        <w:lastRenderedPageBreak/>
        <w:t>La pregunta que guio este proyecto, por qué Limón sigue concentrando las peores brechas si ya no concentra a la mayoría de la población afrodescendiente, encuentra una respuesta parcial en los datos revisados. La desigualdad no depende solo de dónde vive hoy la población afrodescendiente, depende de dónde se construyó históricamente su exclusión legal y económica. Limón fue el territorio donde el Estado decidió, en 1934, qué población podía moverse y cuál no, y ese origen sigue teniendo eco casi un siglo después en indicadores como la mortalidad materna, que en Limón casi duplica el promedio nacional.</w:t>
      </w:r>
    </w:p>
    <w:p w14:paraId="0F73C77E" w14:textId="77777777" w:rsidR="00F93D14" w:rsidRPr="009505D1" w:rsidRDefault="00000000">
      <w:pPr>
        <w:ind w:firstLine="709"/>
        <w:jc w:val="both"/>
        <w:rPr>
          <w:lang w:val="es-CR"/>
        </w:rPr>
      </w:pPr>
      <w:r w:rsidRPr="009505D1">
        <w:rPr>
          <w:lang w:val="es-CR"/>
        </w:rPr>
        <w:t>El reconocimiento simbólico reciente, el feriado del 31 de agosto y la Política Nacional de 2014, es real, pero conviene no confundirlo con el cierre del problema. Las propias organizaciones y activistas afrodescendientes, desde Quince Duncan hasta Teodoro Symes, coinciden en que el racismo costarricense sigue operando de forma menos visible que antes, lo que en cierto sentido lo hace más difícil de combatir que una exclusión legal explícita como la de 1934. Cerrar esa brecha exige que las instituciones dejen de tratar el racismo como un problema ya resuelto y empiecen a medirlo con la misma seriedad con que hoy se mide, por ejemplo, la mortalidad materna.</w:t>
      </w:r>
    </w:p>
    <w:p w14:paraId="67B8D455" w14:textId="77777777" w:rsidR="00F93D14" w:rsidRPr="009505D1" w:rsidRDefault="00000000">
      <w:pPr>
        <w:pStyle w:val="Ttulo1"/>
        <w:spacing w:before="360" w:after="160" w:line="240" w:lineRule="auto"/>
        <w:rPr>
          <w:color w:val="auto"/>
          <w:lang w:val="es-CR"/>
        </w:rPr>
      </w:pPr>
      <w:r w:rsidRPr="009505D1">
        <w:rPr>
          <w:rFonts w:ascii="Times New Roman" w:hAnsi="Times New Roman"/>
          <w:color w:val="auto"/>
          <w:lang w:val="es-CR"/>
        </w:rPr>
        <w:t>Referencias</w:t>
      </w:r>
    </w:p>
    <w:p w14:paraId="38B6BD7C" w14:textId="77777777" w:rsidR="00F93D14" w:rsidRPr="009505D1" w:rsidRDefault="00000000">
      <w:pPr>
        <w:spacing w:after="120"/>
        <w:ind w:left="709" w:hanging="709"/>
        <w:rPr>
          <w:lang w:val="es-CR"/>
        </w:rPr>
      </w:pPr>
      <w:r w:rsidRPr="009505D1">
        <w:rPr>
          <w:lang w:val="es-CR"/>
        </w:rPr>
        <w:t xml:space="preserve">Acuña Ortega, V. H. (2002). La invención de la diferencia costarricense, 1810-1870. </w:t>
      </w:r>
      <w:r w:rsidRPr="009505D1">
        <w:rPr>
          <w:i/>
          <w:lang w:val="es-CR"/>
        </w:rPr>
        <w:t>Revista de Historia</w:t>
      </w:r>
      <w:r w:rsidRPr="009505D1">
        <w:rPr>
          <w:lang w:val="es-CR"/>
        </w:rPr>
        <w:t>, (45), 191-228.</w:t>
      </w:r>
    </w:p>
    <w:p w14:paraId="55901A82" w14:textId="77777777" w:rsidR="00F93D14" w:rsidRPr="009505D1" w:rsidRDefault="00000000">
      <w:pPr>
        <w:spacing w:after="120"/>
        <w:ind w:left="709" w:hanging="709"/>
      </w:pPr>
      <w:r w:rsidRPr="009505D1">
        <w:rPr>
          <w:lang w:val="es-CR"/>
        </w:rPr>
        <w:t xml:space="preserve">AR.com. (2015, 31 de agosto). Día del Negro: Mayoría de afrodescendientes en Costa Rica vive fuera de Limón. </w:t>
      </w:r>
      <w:r w:rsidRPr="009505D1">
        <w:rPr>
          <w:i/>
        </w:rPr>
        <w:t>AmeliaRueda.com</w:t>
      </w:r>
      <w:r w:rsidRPr="009505D1">
        <w:t>. https://ameliarueda.com/nota/mayoria-afrodescendientes-en-costa-rica-vive-fuera-de-limon</w:t>
      </w:r>
    </w:p>
    <w:p w14:paraId="1455CC9D" w14:textId="77777777" w:rsidR="00F93D14" w:rsidRPr="009505D1" w:rsidRDefault="00000000">
      <w:pPr>
        <w:spacing w:after="120"/>
        <w:ind w:left="709" w:hanging="709"/>
        <w:rPr>
          <w:lang w:val="es-CR"/>
        </w:rPr>
      </w:pPr>
      <w:r w:rsidRPr="009505D1">
        <w:rPr>
          <w:lang w:val="es-CR"/>
        </w:rPr>
        <w:lastRenderedPageBreak/>
        <w:t xml:space="preserve">Arguedas Ramírez, G. (2016). Reflexiones sobre el saber/poder obstétrico, la epistemología feminista y el feminismo descolonial, a partir de una investigación sobre la violencia obstétrica en Costa Rica. </w:t>
      </w:r>
      <w:r w:rsidRPr="009505D1">
        <w:rPr>
          <w:i/>
          <w:lang w:val="es-CR"/>
        </w:rPr>
        <w:t>Solar</w:t>
      </w:r>
      <w:r w:rsidRPr="009505D1">
        <w:rPr>
          <w:lang w:val="es-CR"/>
        </w:rPr>
        <w:t>, 12(1), 65-89.</w:t>
      </w:r>
    </w:p>
    <w:p w14:paraId="3A975F47" w14:textId="77777777" w:rsidR="00F93D14" w:rsidRPr="009505D1" w:rsidRDefault="00000000">
      <w:pPr>
        <w:spacing w:after="120"/>
        <w:ind w:left="709" w:hanging="709"/>
        <w:rPr>
          <w:lang w:val="es-CR"/>
        </w:rPr>
      </w:pPr>
      <w:r w:rsidRPr="009505D1">
        <w:rPr>
          <w:lang w:val="es-CR"/>
        </w:rPr>
        <w:t xml:space="preserve">Hurtado Madrigal, R. (2024). La nacionalización de la enseñanza primaria en Limón, Costa Rica, como política en educación para nacionalizar a la población afrocaribeña (1915-1950). </w:t>
      </w:r>
      <w:r w:rsidRPr="009505D1">
        <w:rPr>
          <w:i/>
          <w:lang w:val="es-CR"/>
        </w:rPr>
        <w:t>Diálogos Revista Electrónica de Historia</w:t>
      </w:r>
      <w:r w:rsidRPr="009505D1">
        <w:rPr>
          <w:lang w:val="es-CR"/>
        </w:rPr>
        <w:t>, 25(2).</w:t>
      </w:r>
    </w:p>
    <w:p w14:paraId="5C2F0221" w14:textId="77777777" w:rsidR="00F93D14" w:rsidRPr="009505D1" w:rsidRDefault="00000000">
      <w:pPr>
        <w:spacing w:after="120"/>
        <w:ind w:left="709" w:hanging="709"/>
        <w:rPr>
          <w:lang w:val="es-CR"/>
        </w:rPr>
      </w:pPr>
      <w:r w:rsidRPr="009505D1">
        <w:rPr>
          <w:lang w:val="es-CR"/>
        </w:rPr>
        <w:t xml:space="preserve">Instituto Nacional de Estadística y Censos [INEC]. (2013). </w:t>
      </w:r>
      <w:r w:rsidRPr="009505D1">
        <w:rPr>
          <w:i/>
          <w:lang w:val="es-CR"/>
        </w:rPr>
        <w:t>Afrodescendientes y multiculturalismo según el Censo 2011</w:t>
      </w:r>
      <w:r w:rsidRPr="009505D1">
        <w:rPr>
          <w:lang w:val="es-CR"/>
        </w:rPr>
        <w:t>. INEC.</w:t>
      </w:r>
    </w:p>
    <w:p w14:paraId="127195F1" w14:textId="77777777" w:rsidR="00F93D14" w:rsidRPr="009505D1" w:rsidRDefault="00000000">
      <w:pPr>
        <w:spacing w:after="120"/>
        <w:ind w:left="709" w:hanging="709"/>
        <w:rPr>
          <w:lang w:val="es-CR"/>
        </w:rPr>
      </w:pPr>
      <w:r w:rsidRPr="009505D1">
        <w:rPr>
          <w:lang w:val="es-CR"/>
        </w:rPr>
        <w:t xml:space="preserve">Ministerio de Planificación Nacional y Política Económica [MIDEPLAN]. (2014). </w:t>
      </w:r>
      <w:r w:rsidRPr="009505D1">
        <w:rPr>
          <w:i/>
          <w:lang w:val="es-CR"/>
        </w:rPr>
        <w:t>Política Nacional para una Sociedad Libre de Racismo, Discriminación Racial y Xenofobia 2014-2025</w:t>
      </w:r>
      <w:r w:rsidRPr="009505D1">
        <w:rPr>
          <w:lang w:val="es-CR"/>
        </w:rPr>
        <w:t>. MIDEPLAN.</w:t>
      </w:r>
    </w:p>
    <w:p w14:paraId="2A91EBE2" w14:textId="77777777" w:rsidR="00F93D14" w:rsidRPr="009505D1" w:rsidRDefault="00000000">
      <w:pPr>
        <w:spacing w:after="120"/>
        <w:ind w:left="709" w:hanging="709"/>
        <w:rPr>
          <w:lang w:val="es-CR"/>
        </w:rPr>
      </w:pPr>
      <w:r w:rsidRPr="009505D1">
        <w:rPr>
          <w:lang w:val="es-CR"/>
        </w:rPr>
        <w:t xml:space="preserve">Pérez Granados, M. (2018). El ejercicio de los derechos ciudadanos de los afrocaribeños: un estudio de casos. En </w:t>
      </w:r>
      <w:r w:rsidRPr="009505D1">
        <w:rPr>
          <w:i/>
          <w:lang w:val="es-CR"/>
        </w:rPr>
        <w:t>Antología del pensamiento crítico costarricense contemporáneo</w:t>
      </w:r>
      <w:r w:rsidRPr="009505D1">
        <w:rPr>
          <w:lang w:val="es-CR"/>
        </w:rPr>
        <w:t xml:space="preserve"> (pp. 423-465). Editorial de la Universidad de Costa Rica.</w:t>
      </w:r>
    </w:p>
    <w:p w14:paraId="3B1312D2" w14:textId="77777777" w:rsidR="00F93D14" w:rsidRPr="009505D1" w:rsidRDefault="00000000">
      <w:pPr>
        <w:spacing w:after="120"/>
        <w:ind w:left="709" w:hanging="709"/>
        <w:rPr>
          <w:lang w:val="es-CR"/>
        </w:rPr>
      </w:pPr>
      <w:r w:rsidRPr="009505D1">
        <w:rPr>
          <w:lang w:val="es-CR"/>
        </w:rPr>
        <w:t xml:space="preserve">Sparisci, E. A. (2026, 16 de agosto). Población afrocostarricense pide más equidad y eliminar el racismo en celebración de su día. </w:t>
      </w:r>
      <w:r w:rsidRPr="009505D1">
        <w:rPr>
          <w:i/>
          <w:lang w:val="es-CR"/>
        </w:rPr>
        <w:t>Monumental</w:t>
      </w:r>
      <w:r w:rsidRPr="009505D1">
        <w:rPr>
          <w:lang w:val="es-CR"/>
        </w:rPr>
        <w:t>. https://www.monumental.co.cr/2026/08/16/poblacion-afrocostarricense-pide-mas-equidad-y-eliminar-el-racismo-en-celebracion-de-su-dia/</w:t>
      </w:r>
    </w:p>
    <w:p w14:paraId="65C5D455" w14:textId="77777777" w:rsidR="00F93D14" w:rsidRPr="009505D1" w:rsidRDefault="00000000">
      <w:pPr>
        <w:pStyle w:val="Ttulo1"/>
        <w:spacing w:before="360" w:after="160" w:line="240" w:lineRule="auto"/>
        <w:rPr>
          <w:color w:val="auto"/>
          <w:lang w:val="es-CR"/>
        </w:rPr>
      </w:pPr>
      <w:r w:rsidRPr="009505D1">
        <w:rPr>
          <w:rFonts w:ascii="Times New Roman" w:hAnsi="Times New Roman"/>
          <w:color w:val="auto"/>
          <w:lang w:val="es-CR"/>
        </w:rPr>
        <w:t>Anexos</w:t>
      </w:r>
    </w:p>
    <w:p w14:paraId="716FBD1B" w14:textId="77777777" w:rsidR="00F93D14" w:rsidRPr="009505D1" w:rsidRDefault="00000000">
      <w:pPr>
        <w:ind w:firstLine="709"/>
        <w:jc w:val="both"/>
        <w:rPr>
          <w:lang w:val="es-CR"/>
        </w:rPr>
      </w:pPr>
      <w:r w:rsidRPr="009505D1">
        <w:rPr>
          <w:lang w:val="es-CR"/>
        </w:rPr>
        <w:t>Pendiente: mapa o datos geográficos de Limón, imágenes o capturas de fuentes primarias, y cualquier entrevista o testimonio que el equipo decida incluir.</w:t>
      </w:r>
    </w:p>
    <w:sectPr w:rsidR="00F93D14" w:rsidRPr="009505D1" w:rsidSect="00034616">
      <w:foot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B3267" w14:textId="77777777" w:rsidR="001A54DF" w:rsidRDefault="001A54DF">
      <w:pPr>
        <w:spacing w:line="240" w:lineRule="auto"/>
      </w:pPr>
      <w:r>
        <w:separator/>
      </w:r>
    </w:p>
  </w:endnote>
  <w:endnote w:type="continuationSeparator" w:id="0">
    <w:p w14:paraId="019C0793" w14:textId="77777777" w:rsidR="001A54DF" w:rsidRDefault="001A54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E3ED" w14:textId="77777777" w:rsidR="00F93D14" w:rsidRDefault="00000000">
    <w:pPr>
      <w:pStyle w:val="Piedepgina"/>
      <w:jc w:val="center"/>
    </w:pPr>
    <w:r>
      <w:fldChar w:fldCharType="begin"/>
    </w:r>
    <w:r>
      <w:instrText>PAGE</w:instrText>
    </w:r>
    <w:r w:rsidR="009505D1">
      <w:fldChar w:fldCharType="separate"/>
    </w:r>
    <w:r w:rsidR="009505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48ED4" w14:textId="77777777" w:rsidR="001A54DF" w:rsidRDefault="001A54DF">
      <w:pPr>
        <w:spacing w:line="240" w:lineRule="auto"/>
      </w:pPr>
      <w:r>
        <w:separator/>
      </w:r>
    </w:p>
  </w:footnote>
  <w:footnote w:type="continuationSeparator" w:id="0">
    <w:p w14:paraId="758278BE" w14:textId="77777777" w:rsidR="001A54DF" w:rsidRDefault="001A54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32839278">
    <w:abstractNumId w:val="8"/>
  </w:num>
  <w:num w:numId="2" w16cid:durableId="1672443263">
    <w:abstractNumId w:val="6"/>
  </w:num>
  <w:num w:numId="3" w16cid:durableId="1332413028">
    <w:abstractNumId w:val="5"/>
  </w:num>
  <w:num w:numId="4" w16cid:durableId="668799015">
    <w:abstractNumId w:val="4"/>
  </w:num>
  <w:num w:numId="5" w16cid:durableId="1105928883">
    <w:abstractNumId w:val="7"/>
  </w:num>
  <w:num w:numId="6" w16cid:durableId="230773834">
    <w:abstractNumId w:val="3"/>
  </w:num>
  <w:num w:numId="7" w16cid:durableId="442918911">
    <w:abstractNumId w:val="2"/>
  </w:num>
  <w:num w:numId="8" w16cid:durableId="633830049">
    <w:abstractNumId w:val="1"/>
  </w:num>
  <w:num w:numId="9" w16cid:durableId="373888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4DF"/>
    <w:rsid w:val="0029639D"/>
    <w:rsid w:val="00326F90"/>
    <w:rsid w:val="009505D1"/>
    <w:rsid w:val="00A17361"/>
    <w:rsid w:val="00AA1D8D"/>
    <w:rsid w:val="00B47730"/>
    <w:rsid w:val="00CB0664"/>
    <w:rsid w:val="00F93D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8DAA8"/>
  <w14:defaultImageDpi w14:val="300"/>
  <w15:docId w15:val="{6D38B449-6910-4DEA-A9CB-EF89E1CC7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3114</Words>
  <Characters>17133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MARIANA VARGAS ROJAS</cp:lastModifiedBy>
  <cp:revision>2</cp:revision>
  <dcterms:created xsi:type="dcterms:W3CDTF">2013-12-23T23:15:00Z</dcterms:created>
  <dcterms:modified xsi:type="dcterms:W3CDTF">2026-08-29T17:20:00Z</dcterms:modified>
  <cp:category/>
</cp:coreProperties>
</file>