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Valor 5% Tarea #3 – Trabajar en Clase, 30 minutos</w:t>
        <w:br w:type="textWrapping"/>
        <w:t xml:space="preserve">Regresar y exponer en 5 minutos o menos</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GRUPO 11</w:t>
      </w:r>
    </w:p>
    <w:p w:rsidR="00000000" w:rsidDel="00000000" w:rsidP="00000000" w:rsidRDefault="00000000" w:rsidRPr="00000000" w14:paraId="00000005">
      <w:pPr>
        <w:rPr/>
      </w:pPr>
      <w:r w:rsidDel="00000000" w:rsidR="00000000" w:rsidRPr="00000000">
        <w:rPr>
          <w:rtl w:val="0"/>
        </w:rPr>
        <w:t xml:space="preserve">- Rachel Monterrey Quesada</w:t>
      </w:r>
    </w:p>
    <w:p w:rsidR="00000000" w:rsidDel="00000000" w:rsidP="00000000" w:rsidRDefault="00000000" w:rsidRPr="00000000" w14:paraId="00000006">
      <w:pPr>
        <w:rPr/>
      </w:pPr>
      <w:r w:rsidDel="00000000" w:rsidR="00000000" w:rsidRPr="00000000">
        <w:rPr>
          <w:rtl w:val="0"/>
        </w:rPr>
        <w:t xml:space="preserve">- Wesley Esquivel Mena</w:t>
      </w:r>
    </w:p>
    <w:p w:rsidR="00000000" w:rsidDel="00000000" w:rsidP="00000000" w:rsidRDefault="00000000" w:rsidRPr="00000000" w14:paraId="00000007">
      <w:pPr>
        <w:rPr/>
      </w:pPr>
      <w:r w:rsidDel="00000000" w:rsidR="00000000" w:rsidRPr="00000000">
        <w:rPr>
          <w:rtl w:val="0"/>
        </w:rPr>
        <w:t xml:space="preserve">- Marcos Zamora Sanchez</w:t>
      </w:r>
    </w:p>
    <w:p w:rsidR="00000000" w:rsidDel="00000000" w:rsidP="00000000" w:rsidRDefault="00000000" w:rsidRPr="00000000" w14:paraId="00000008">
      <w:pPr>
        <w:rPr/>
      </w:pPr>
      <w:r w:rsidDel="00000000" w:rsidR="00000000" w:rsidRPr="00000000">
        <w:rPr>
          <w:rtl w:val="0"/>
        </w:rPr>
        <w:t xml:space="preserve">- Dereck Yariel Cuadra Gonzalez </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Objetivo: </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Aplicar las funciones del NIST Cybersecurity Framework (CSF) para analizar los riesgos de ciberseguridad y proponer controles para proteger los datos de clientes en una empresa ficticia.</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Escenario</w:t>
      </w:r>
    </w:p>
    <w:p w:rsidR="00000000" w:rsidDel="00000000" w:rsidP="00000000" w:rsidRDefault="00000000" w:rsidRPr="00000000" w14:paraId="0000000F">
      <w:pPr>
        <w:rPr>
          <w:b w:val="1"/>
          <w:bCs w:val="1"/>
        </w:rPr>
      </w:pPr>
      <w:r w:rsidDel="00000000" w:rsidR="00000000" w:rsidRPr="00000000">
        <w:rPr>
          <w:rtl w:val="0"/>
        </w:rPr>
        <w:t xml:space="preserve">Utilizar la empresa asignada de la tarea anterior.</w:t>
      </w:r>
      <w:r w:rsidDel="00000000" w:rsidR="00000000" w:rsidRPr="00000000">
        <w:rPr>
          <w:b w:val="1"/>
          <w:bCs w:val="1"/>
          <w:rtl w:val="0"/>
        </w:rPr>
        <w:br w:type="textWrapping"/>
        <w:br w:type="textWrapping"/>
      </w:r>
      <w:r w:rsidDel="00000000" w:rsidR="00000000" w:rsidRPr="00000000">
        <w:rPr>
          <w:rtl w:val="0"/>
        </w:rPr>
        <w:t xml:space="preserve">Recientemente la empresa ha detectado intentos de acceso no autorizado y quiere mejorar su postura de ciberseguridad utilizando el NIST Cybersecurity Framework.</w:t>
      </w: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Instrucciones</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Analice el escenario y responda las siguientes secciones aplicando las funciones del NIST CSF.</w:t>
      </w:r>
    </w:p>
    <w:p w:rsidR="00000000" w:rsidDel="00000000" w:rsidP="00000000" w:rsidRDefault="00000000" w:rsidRPr="00000000" w14:paraId="00000014">
      <w:pPr>
        <w:rPr>
          <w:b w:val="1"/>
          <w:bCs w:val="1"/>
        </w:rPr>
      </w:pPr>
      <w:r w:rsidDel="00000000" w:rsidR="00000000" w:rsidRPr="00000000">
        <w:rPr>
          <w:b w:val="1"/>
          <w:bCs w:val="1"/>
          <w:rtl w:val="0"/>
        </w:rPr>
        <w:t xml:space="preserve">1. IDENTIFY — Identificación de activos y riesgos</w:t>
      </w:r>
    </w:p>
    <w:p w:rsidR="00000000" w:rsidDel="00000000" w:rsidP="00000000" w:rsidRDefault="00000000" w:rsidRPr="00000000" w14:paraId="00000015">
      <w:pPr>
        <w:rPr>
          <w:b w:val="1"/>
          <w:bCs w:val="1"/>
        </w:rPr>
      </w:pPr>
      <w:r w:rsidDel="00000000" w:rsidR="00000000" w:rsidRPr="00000000">
        <w:rPr>
          <w:b w:val="1"/>
          <w:bCs w:val="1"/>
        </w:rPr>
        <w:drawing>
          <wp:inline distB="114300" distT="114300" distL="114300" distR="114300">
            <wp:extent cx="5486400" cy="17399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864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1.1 Liste 4 activos críticos de la empresa:</w:t>
        <w:br w:type="textWrapping"/>
        <w:br w:type="textWrapping"/>
      </w:r>
      <w:r w:rsidDel="00000000" w:rsidR="00000000" w:rsidRPr="00000000">
        <w:rPr>
          <w:rtl w:val="0"/>
        </w:rPr>
        <w:t xml:space="preserve">1. Token del votante es la credencial que autoriza un voto; si se compromete, se puede suplantar a cualquier colegiado.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120" w:line="360" w:lineRule="auto"/>
        <w:jc w:val="both"/>
        <w:rPr/>
      </w:pPr>
      <w:r w:rsidDel="00000000" w:rsidR="00000000" w:rsidRPr="00000000">
        <w:rPr>
          <w:rtl w:val="0"/>
        </w:rPr>
        <w:t xml:space="preserve">2. ID del votante vinculado al voto (misma tabla) de esto depende el secreto del voto.</w:t>
      </w:r>
    </w:p>
    <w:p w:rsidR="00000000" w:rsidDel="00000000" w:rsidP="00000000" w:rsidRDefault="00000000" w:rsidRPr="00000000" w14:paraId="0000001A">
      <w:pPr>
        <w:spacing w:after="120" w:line="360" w:lineRule="auto"/>
        <w:jc w:val="both"/>
        <w:rPr/>
      </w:pPr>
      <w:r w:rsidDel="00000000" w:rsidR="00000000" w:rsidRPr="00000000">
        <w:rPr>
          <w:rtl w:val="0"/>
        </w:rPr>
        <w:t xml:space="preserve">3. Base de datos electoral contiene el resultado completo de la elección.</w:t>
      </w:r>
    </w:p>
    <w:p w:rsidR="00000000" w:rsidDel="00000000" w:rsidP="00000000" w:rsidRDefault="00000000" w:rsidRPr="00000000" w14:paraId="0000001B">
      <w:pPr>
        <w:spacing w:after="120" w:line="360" w:lineRule="auto"/>
        <w:jc w:val="both"/>
        <w:rPr/>
      </w:pPr>
      <w:r w:rsidDel="00000000" w:rsidR="00000000" w:rsidRPr="00000000">
        <w:rPr>
          <w:rtl w:val="0"/>
        </w:rPr>
        <w:t xml:space="preserve">4. Panel de administración / cookie de sesión es la puerta de acceso con más privilegio a todo lo anterior.</w:t>
      </w:r>
    </w:p>
    <w:p w:rsidR="00000000" w:rsidDel="00000000" w:rsidP="00000000" w:rsidRDefault="00000000" w:rsidRPr="00000000" w14:paraId="0000001C">
      <w:pPr>
        <w:rPr/>
      </w:pPr>
      <w:r w:rsidDel="00000000" w:rsidR="00000000" w:rsidRPr="00000000">
        <w:rPr>
          <w:b w:val="1"/>
          <w:bCs w:val="1"/>
          <w:rtl w:val="0"/>
        </w:rPr>
        <w:br w:type="textWrapping"/>
        <w:t xml:space="preserve">1.2 ¿Qué tipos de datos de clientes deben protegerse?</w:t>
        <w:br w:type="textWrapping"/>
        <w:br w:type="textWrapping"/>
      </w:r>
      <w:r w:rsidDel="00000000" w:rsidR="00000000" w:rsidRPr="00000000">
        <w:rPr>
          <w:rtl w:val="0"/>
        </w:rPr>
        <w:t xml:space="preserve">El voto de los estudiantes, los datos privados de cada uno de los estudiantes (cedula y correo) </w:t>
      </w:r>
      <w:r w:rsidDel="00000000" w:rsidR="00000000" w:rsidRPr="00000000">
        <w:rPr>
          <w:b w:val="1"/>
          <w:bCs w:val="1"/>
          <w:rtl w:val="0"/>
        </w:rPr>
        <w:br w:type="textWrapping"/>
        <w:br w:type="textWrapping"/>
        <w:t xml:space="preserve">1.3 Identifique al menos cuatro riesgos de seguridad y explique porque son riesgos:</w:t>
        <w:br w:type="textWrapping"/>
        <w:br w:type="textWrapping"/>
        <w:t xml:space="preserve">1.</w:t>
      </w:r>
      <w:r w:rsidDel="00000000" w:rsidR="00000000" w:rsidRPr="00000000">
        <w:rPr>
          <w:rtl w:val="0"/>
        </w:rPr>
        <w:t xml:space="preserve"> El acceso a la base de datos solo se protege mediante una cookie en el panel de control. Es un riesgo porque con este dato puede entrar al sistema como administrador.</w:t>
      </w:r>
      <w:r w:rsidDel="00000000" w:rsidR="00000000" w:rsidRPr="00000000">
        <w:rPr>
          <w:b w:val="1"/>
          <w:bCs w:val="1"/>
          <w:rtl w:val="0"/>
        </w:rPr>
        <w:br w:type="textWrapping"/>
        <w:br w:type="textWrapping"/>
        <w:t xml:space="preserve">2. </w:t>
      </w:r>
      <w:r w:rsidDel="00000000" w:rsidR="00000000" w:rsidRPr="00000000">
        <w:rPr>
          <w:rtl w:val="0"/>
        </w:rPr>
        <w:t xml:space="preserve">Que se pierda el secreto del voto. Si la base de datos guarda el ID del estudiante junto con el voto que hizo, cualquier persona que tenga acceso al sistema podría ver por quién votó cada estudiante. </w:t>
      </w:r>
      <w:r w:rsidDel="00000000" w:rsidR="00000000" w:rsidRPr="00000000">
        <w:rPr>
          <w:b w:val="1"/>
          <w:bCs w:val="1"/>
          <w:rtl w:val="0"/>
        </w:rPr>
        <w:br w:type="textWrapping"/>
        <w:br w:type="textWrapping"/>
      </w:r>
      <w:r w:rsidDel="00000000" w:rsidR="00000000" w:rsidRPr="00000000">
        <w:rPr>
          <w:rtl w:val="0"/>
        </w:rPr>
        <w:t xml:space="preserve">3.Que al token para el voto se prediga o se filtre y se use para votar suplantando la identidad. Es un riesgo porque el cliente no podría votar anulando la funcionalidad e integridad del sistema.</w:t>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4.Que alguien ingrese a mi cuenta y logre realizar el voto sin mi consentimiento o logre cambiar los votos de los estudiantes: Es un riesgo porque estamos trabajando con datos de personas y una votación para elegir algo o a alguien, cualquier afectación a estos datos puede desencadenar a una elección fraudulenta.</w:t>
      </w:r>
    </w:p>
    <w:p w:rsidR="00000000" w:rsidDel="00000000" w:rsidP="00000000" w:rsidRDefault="00000000" w:rsidRPr="00000000" w14:paraId="0000001F">
      <w:pPr>
        <w:rPr>
          <w:b w:val="1"/>
          <w:bCs w:val="1"/>
        </w:rPr>
      </w:pPr>
      <w:r w:rsidDel="00000000" w:rsidR="00000000" w:rsidRPr="00000000">
        <w:rPr>
          <w:b w:val="1"/>
          <w:bCs w:val="1"/>
          <w:rtl w:val="0"/>
        </w:rPr>
        <w:br w:type="textWrapping"/>
      </w:r>
    </w:p>
    <w:p w:rsidR="00000000" w:rsidDel="00000000" w:rsidP="00000000" w:rsidRDefault="00000000" w:rsidRPr="00000000" w14:paraId="00000020">
      <w:pPr>
        <w:rPr>
          <w:b w:val="1"/>
          <w:bCs w:val="1"/>
        </w:rPr>
      </w:pPr>
      <w:r w:rsidDel="00000000" w:rsidR="00000000" w:rsidRPr="00000000">
        <w:rPr>
          <w:b w:val="1"/>
          <w:bCs w:val="1"/>
          <w:rtl w:val="0"/>
        </w:rPr>
        <w:t xml:space="preserve">2. PROTECT — Controles de protección</w:t>
      </w:r>
    </w:p>
    <w:p w:rsidR="00000000" w:rsidDel="00000000" w:rsidP="00000000" w:rsidRDefault="00000000" w:rsidRPr="00000000" w14:paraId="00000021">
      <w:pPr>
        <w:rPr/>
      </w:pPr>
      <w:r w:rsidDel="00000000" w:rsidR="00000000" w:rsidRPr="00000000">
        <w:rPr>
          <w:b w:val="1"/>
          <w:bCs w:val="1"/>
          <w:rtl w:val="0"/>
        </w:rPr>
        <w:t xml:space="preserve">2.1 ¿Cite 4 controles de acceso deberían implementarse y por qué deben implementarse?</w:t>
        <w:br w:type="textWrapping"/>
        <w:br w:type="textWrapping"/>
      </w:r>
      <w:r w:rsidDel="00000000" w:rsidR="00000000" w:rsidRPr="00000000">
        <w:rPr>
          <w:rtl w:val="0"/>
        </w:rPr>
        <w:t xml:space="preserve">1. MFA en el panel de administración: hoy basta con robar una cookie para auditar toda la elección. Un segundo factor rompe ese ataque de un solo paso.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120" w:line="360" w:lineRule="auto"/>
        <w:jc w:val="both"/>
        <w:rPr/>
      </w:pPr>
      <w:r w:rsidDel="00000000" w:rsidR="00000000" w:rsidRPr="00000000">
        <w:rPr>
          <w:rtl w:val="0"/>
        </w:rPr>
        <w:t xml:space="preserve">2. Mínimo privilegio por rol:  separar “ver participación” de “ver resultado por persona”, porque hoy cualquier admin puede ver el voto individual de alguien.</w:t>
      </w:r>
    </w:p>
    <w:p w:rsidR="00000000" w:rsidDel="00000000" w:rsidP="00000000" w:rsidRDefault="00000000" w:rsidRPr="00000000" w14:paraId="00000024">
      <w:pPr>
        <w:spacing w:after="120" w:line="360" w:lineRule="auto"/>
        <w:jc w:val="both"/>
        <w:rPr/>
      </w:pPr>
      <w:r w:rsidDel="00000000" w:rsidR="00000000" w:rsidRPr="00000000">
        <w:rPr>
          <w:rtl w:val="0"/>
        </w:rPr>
        <w:t xml:space="preserve">3. La autenticación del votante más allá del token derivado de cédula, mitigando directamente el riesgo de predicción de tokens.</w:t>
      </w:r>
    </w:p>
    <w:p w:rsidR="00000000" w:rsidDel="00000000" w:rsidP="00000000" w:rsidRDefault="00000000" w:rsidRPr="00000000" w14:paraId="00000025">
      <w:pPr>
        <w:spacing w:after="120" w:line="360" w:lineRule="auto"/>
        <w:jc w:val="both"/>
        <w:rPr>
          <w:b w:val="1"/>
          <w:bCs w:val="1"/>
        </w:rPr>
      </w:pPr>
      <w:r w:rsidDel="00000000" w:rsidR="00000000" w:rsidRPr="00000000">
        <w:rPr>
          <w:rtl w:val="0"/>
        </w:rPr>
        <w:t xml:space="preserve">4. Separación de tablas (quién votó vs. qué se votó) es control de acceso a nivel de dato: ni un admin con acceso total a una tabla puede reconstruir el secreto del voto.</w:t>
      </w:r>
      <w:r w:rsidDel="00000000" w:rsidR="00000000" w:rsidRPr="00000000">
        <w:rPr>
          <w:b w:val="1"/>
          <w:bCs w:val="1"/>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26">
      <w:pPr>
        <w:spacing w:after="120" w:line="360" w:lineRule="auto"/>
        <w:jc w:val="both"/>
        <w:rPr/>
      </w:pPr>
      <w:r w:rsidDel="00000000" w:rsidR="00000000" w:rsidRPr="00000000">
        <w:rPr>
          <w:b w:val="1"/>
          <w:bCs w:val="1"/>
          <w:rtl w:val="0"/>
        </w:rPr>
        <w:t xml:space="preserve">2.2 ¿Cómo deberían protegerse los datos de clientes, que cambios en el diseño de la aplicación debería aplicar para proteger esos datos de clientes?</w:t>
      </w:r>
      <w:r w:rsidDel="00000000" w:rsidR="00000000" w:rsidRPr="00000000">
        <w:rPr>
          <w:rtl w:val="0"/>
        </w:rPr>
      </w:r>
    </w:p>
    <w:p w:rsidR="00000000" w:rsidDel="00000000" w:rsidP="00000000" w:rsidRDefault="00000000" w:rsidRPr="00000000" w14:paraId="00000027">
      <w:pPr>
        <w:spacing w:after="120" w:line="360" w:lineRule="auto"/>
        <w:jc w:val="both"/>
        <w:rPr/>
      </w:pPr>
      <w:r w:rsidDel="00000000" w:rsidR="00000000" w:rsidRPr="00000000">
        <w:rPr>
          <w:rtl w:val="0"/>
        </w:rPr>
        <w:t xml:space="preserve">Implementación de cifrado TLS para asegurar la comunicación entre votante, servidor y correo, junto con el cifrado en reposo para los registros electorales. Se requiere el rediseño planteado anteriormente: desvincular la identidad del votante de su elección mediante tablas independientes conectadas por un identificador efímero que se elimine tras el proceso. Finalmente, sustituir el uso de SHA-1 por HMAC-SHA256, incorporando una llave privada del servidor y un valor salt exclusivo por cada token generado.</w:t>
      </w:r>
    </w:p>
    <w:p w:rsidR="00000000" w:rsidDel="00000000" w:rsidP="00000000" w:rsidRDefault="00000000" w:rsidRPr="00000000" w14:paraId="00000028">
      <w:pPr>
        <w:spacing w:after="120" w:line="360" w:lineRule="auto"/>
        <w:jc w:val="both"/>
        <w:rPr/>
      </w:pPr>
      <w:r w:rsidDel="00000000" w:rsidR="00000000" w:rsidRPr="00000000">
        <w:rPr>
          <w:b w:val="1"/>
          <w:bCs w:val="1"/>
          <w:rtl w:val="0"/>
        </w:rPr>
        <w:t xml:space="preserve">2.3 Proponga cuatro medidas de capacitación para empleados:</w:t>
        <w:br w:type="textWrapping"/>
      </w:r>
      <w:r w:rsidDel="00000000" w:rsidR="00000000" w:rsidRPr="00000000">
        <w:rPr>
          <w:rtl w:val="0"/>
        </w:rPr>
        <w:t xml:space="preserve">1. Capacitar al comité electoral en manejo de datos sensibles y en no consultar resultados individuales sin que quede registrado el motivo.</w:t>
      </w:r>
    </w:p>
    <w:p w:rsidR="00000000" w:rsidDel="00000000" w:rsidP="00000000" w:rsidRDefault="00000000" w:rsidRPr="00000000" w14:paraId="00000029">
      <w:pPr>
        <w:spacing w:after="120" w:line="360" w:lineRule="auto"/>
        <w:jc w:val="both"/>
        <w:rPr/>
      </w:pPr>
      <w:r w:rsidDel="00000000" w:rsidR="00000000" w:rsidRPr="00000000">
        <w:rPr>
          <w:rtl w:val="0"/>
        </w:rPr>
        <w:t xml:space="preserve">2. Capacitación en phishing dirigida a votantes, para reconocer un correo falso de “token de votación”.</w:t>
      </w:r>
    </w:p>
    <w:p w:rsidR="00000000" w:rsidDel="00000000" w:rsidP="00000000" w:rsidRDefault="00000000" w:rsidRPr="00000000" w14:paraId="0000002A">
      <w:pPr>
        <w:spacing w:after="120" w:line="360" w:lineRule="auto"/>
        <w:jc w:val="both"/>
        <w:rPr/>
      </w:pPr>
      <w:r w:rsidDel="00000000" w:rsidR="00000000" w:rsidRPr="00000000">
        <w:rPr>
          <w:rtl w:val="0"/>
        </w:rPr>
        <w:t xml:space="preserve">3. Capacitación técnica al equipo de desarrollo sobre buenas prácticas de seguridad (OWASP y NIST).</w:t>
      </w:r>
    </w:p>
    <w:p w:rsidR="00000000" w:rsidDel="00000000" w:rsidP="00000000" w:rsidRDefault="00000000" w:rsidRPr="00000000" w14:paraId="0000002B">
      <w:pPr>
        <w:spacing w:after="120" w:line="360" w:lineRule="auto"/>
        <w:jc w:val="both"/>
        <w:rPr>
          <w:b w:val="1"/>
          <w:bCs w:val="1"/>
        </w:rPr>
      </w:pPr>
      <w:r w:rsidDel="00000000" w:rsidR="00000000" w:rsidRPr="00000000">
        <w:rPr>
          <w:rtl w:val="0"/>
        </w:rPr>
        <w:t xml:space="preserve">4. Simulacros internos de respuesta a incidentes para el equipo técnico del colegio, antes de que ocurra uno real.</w:t>
      </w: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3. DETECT — Detección de incidentes</w:t>
      </w:r>
    </w:p>
    <w:p w:rsidR="00000000" w:rsidDel="00000000" w:rsidP="00000000" w:rsidRDefault="00000000" w:rsidRPr="00000000" w14:paraId="0000002D">
      <w:pPr>
        <w:rPr/>
      </w:pPr>
      <w:r w:rsidDel="00000000" w:rsidR="00000000" w:rsidRPr="00000000">
        <w:rPr>
          <w:b w:val="1"/>
          <w:bCs w:val="1"/>
          <w:rtl w:val="0"/>
        </w:rPr>
        <w:t xml:space="preserve">3.1 ¿Qué eventos de seguridad deberían monitorearse, cite y explique 4?</w:t>
        <w:br w:type="textWrapping"/>
        <w:br w:type="textWrapping"/>
      </w:r>
      <w:r w:rsidDel="00000000" w:rsidR="00000000" w:rsidRPr="00000000">
        <w:rPr>
          <w:rtl w:val="0"/>
        </w:rPr>
        <w:t xml:space="preserve">1. Intentos repetidos de voto con tokens secuenciales o muy similares señal directa de que alguien está prediciendo tokens a partir de cédulas.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120" w:line="360" w:lineRule="auto"/>
        <w:jc w:val="both"/>
        <w:rPr/>
      </w:pPr>
      <w:r w:rsidDel="00000000" w:rsidR="00000000" w:rsidRPr="00000000">
        <w:rPr>
          <w:rtl w:val="0"/>
        </w:rPr>
        <w:t xml:space="preserve">2. Accesos al panel de administración fuera de la ventana de elección o desde ubicaciones inusuales el panel sólo debería usarse durante la votación/auditoría.</w:t>
      </w:r>
    </w:p>
    <w:p w:rsidR="00000000" w:rsidDel="00000000" w:rsidP="00000000" w:rsidRDefault="00000000" w:rsidRPr="00000000" w14:paraId="00000030">
      <w:pPr>
        <w:spacing w:after="120" w:line="360" w:lineRule="auto"/>
        <w:jc w:val="both"/>
        <w:rPr/>
      </w:pPr>
      <w:r w:rsidDel="00000000" w:rsidR="00000000" w:rsidRPr="00000000">
        <w:rPr>
          <w:rtl w:val="0"/>
        </w:rPr>
        <w:t xml:space="preserve">3. Consultas inusualmente frecuentes a la tabla de votos por un mismo admin podría ser un insider revisando votos individuales uno por uno.</w:t>
      </w:r>
    </w:p>
    <w:p w:rsidR="00000000" w:rsidDel="00000000" w:rsidP="00000000" w:rsidRDefault="00000000" w:rsidRPr="00000000" w14:paraId="00000031">
      <w:pPr>
        <w:spacing w:after="120" w:line="360" w:lineRule="auto"/>
        <w:jc w:val="both"/>
        <w:rPr/>
      </w:pPr>
      <w:r w:rsidDel="00000000" w:rsidR="00000000" w:rsidRPr="00000000">
        <w:rPr>
          <w:rtl w:val="0"/>
        </w:rPr>
        <w:t xml:space="preserve">4. Picos de errores o reenvíos en el servicio de correo podría indicar interceptación o reenvío masivo de tokens por un atacante.</w:t>
      </w:r>
    </w:p>
    <w:p w:rsidR="00000000" w:rsidDel="00000000" w:rsidP="00000000" w:rsidRDefault="00000000" w:rsidRPr="00000000" w14:paraId="00000032">
      <w:pPr>
        <w:rPr/>
      </w:pPr>
      <w:r w:rsidDel="00000000" w:rsidR="00000000" w:rsidRPr="00000000">
        <w:rPr>
          <w:b w:val="1"/>
          <w:bCs w:val="1"/>
          <w:rtl w:val="0"/>
        </w:rPr>
        <w:br w:type="textWrapping"/>
        <w:br w:type="textWrapping"/>
        <w:t xml:space="preserve">3.2 ¿Qué herramientas o mecanismos podrían utilizarse para detectar incidentes, cite 4 y explique el porqué de la elección de cada uno?</w:t>
        <w:br w:type="textWrapping"/>
        <w:br w:type="textWrapping"/>
      </w:r>
      <w:r w:rsidDel="00000000" w:rsidR="00000000" w:rsidRPr="00000000">
        <w:rPr>
          <w:rtl w:val="0"/>
        </w:rPr>
        <w:t xml:space="preserve">1. Logging centralizado con alertas (SIEM básico) correlaciona eventos del panel, la base de datos y el correo en un solo lugar.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120" w:line="360" w:lineRule="auto"/>
        <w:jc w:val="both"/>
        <w:rPr/>
      </w:pPr>
      <w:r w:rsidDel="00000000" w:rsidR="00000000" w:rsidRPr="00000000">
        <w:rPr>
          <w:rtl w:val="0"/>
        </w:rPr>
        <w:t xml:space="preserve">2. Rate limiting / detección de anomalías en el endpoint de votación el ataque de predicción de tokens necesita probar muchos valores rápido; limitar la tasa lo hace visible.</w:t>
      </w:r>
    </w:p>
    <w:p w:rsidR="00000000" w:rsidDel="00000000" w:rsidP="00000000" w:rsidRDefault="00000000" w:rsidRPr="00000000" w14:paraId="00000035">
      <w:pPr>
        <w:spacing w:after="120" w:line="360" w:lineRule="auto"/>
        <w:jc w:val="both"/>
        <w:rPr/>
      </w:pPr>
      <w:r w:rsidDel="00000000" w:rsidR="00000000" w:rsidRPr="00000000">
        <w:rPr>
          <w:rtl w:val="0"/>
        </w:rPr>
        <w:t xml:space="preserve">3. Monitoreo de integridad de la base de datos electoral detecta si un resultado fue modificado fuera del flujo normal de votación.</w:t>
      </w:r>
    </w:p>
    <w:p w:rsidR="00000000" w:rsidDel="00000000" w:rsidP="00000000" w:rsidRDefault="00000000" w:rsidRPr="00000000" w14:paraId="00000036">
      <w:pPr>
        <w:spacing w:after="120" w:line="360" w:lineRule="auto"/>
        <w:jc w:val="both"/>
        <w:rPr>
          <w:b w:val="1"/>
          <w:bCs w:val="1"/>
        </w:rPr>
      </w:pPr>
      <w:r w:rsidDel="00000000" w:rsidR="00000000" w:rsidRPr="00000000">
        <w:rPr>
          <w:rtl w:val="0"/>
        </w:rPr>
        <w:t xml:space="preserve">4. Auditoría de sesiones del panel detectar la misma cookie usada desde dos ubicaciones a la vez revela directamente un robo de sesión.</w:t>
      </w:r>
      <w:r w:rsidDel="00000000" w:rsidR="00000000" w:rsidRPr="00000000">
        <w:rPr>
          <w:b w:val="1"/>
          <w:bCs w:val="1"/>
          <w:rtl w:val="0"/>
        </w:rPr>
        <w:br w:type="textWrapping"/>
      </w:r>
    </w:p>
    <w:p w:rsidR="00000000" w:rsidDel="00000000" w:rsidP="00000000" w:rsidRDefault="00000000" w:rsidRPr="00000000" w14:paraId="00000037">
      <w:pPr>
        <w:rPr>
          <w:b w:val="1"/>
          <w:bCs w:val="1"/>
        </w:rPr>
      </w:pPr>
      <w:r w:rsidDel="00000000" w:rsidR="00000000" w:rsidRPr="00000000">
        <w:rPr>
          <w:b w:val="1"/>
          <w:bCs w:val="1"/>
          <w:rtl w:val="0"/>
        </w:rPr>
        <w:t xml:space="preserve">4. RESPOND — Respuesta a incidentes</w:t>
      </w:r>
    </w:p>
    <w:p w:rsidR="00000000" w:rsidDel="00000000" w:rsidP="00000000" w:rsidRDefault="00000000" w:rsidRPr="00000000" w14:paraId="00000038">
      <w:pPr>
        <w:rPr/>
      </w:pPr>
      <w:r w:rsidDel="00000000" w:rsidR="00000000" w:rsidRPr="00000000">
        <w:rPr>
          <w:b w:val="1"/>
          <w:bCs w:val="1"/>
          <w:rtl w:val="0"/>
        </w:rPr>
        <w:t xml:space="preserve">Se detectó que un atacante obtuvo acceso a la cuenta de un empleado.</w:t>
        <w:br w:type="textWrapping"/>
        <w:br w:type="textWrapping"/>
        <w:t xml:space="preserve">4.1 ¿Qué acciones inmediatas deberían tomarse, cite y explique 4?</w:t>
        <w:br w:type="textWrapping"/>
        <w:br w:type="textWrapping"/>
      </w:r>
      <w:r w:rsidDel="00000000" w:rsidR="00000000" w:rsidRPr="00000000">
        <w:rPr>
          <w:rtl w:val="0"/>
        </w:rPr>
        <w:t xml:space="preserve">1. Revocar la sesión comprometida y forzar cambio de credenciales, corta el acceso activo del atacante de inmediato.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120" w:line="360" w:lineRule="auto"/>
        <w:jc w:val="both"/>
        <w:rPr/>
      </w:pPr>
      <w:r w:rsidDel="00000000" w:rsidR="00000000" w:rsidRPr="00000000">
        <w:rPr>
          <w:rtl w:val="0"/>
        </w:rPr>
        <w:t xml:space="preserve">2. Poner el panel de administración en modo solo lectura temporalmente evita que el atacante altere resultados mientras dura la investigación.</w:t>
      </w:r>
    </w:p>
    <w:p w:rsidR="00000000" w:rsidDel="00000000" w:rsidP="00000000" w:rsidRDefault="00000000" w:rsidRPr="00000000" w14:paraId="0000003B">
      <w:pPr>
        <w:spacing w:after="120" w:line="360" w:lineRule="auto"/>
        <w:jc w:val="both"/>
        <w:rPr/>
      </w:pPr>
      <w:r w:rsidDel="00000000" w:rsidR="00000000" w:rsidRPr="00000000">
        <w:rPr>
          <w:rtl w:val="0"/>
        </w:rPr>
        <w:t xml:space="preserve">3. Revisar los logs de esa cuenta  permite saber si solo hubo lectura (grave para el secreto del voto) o también alteración de resultados (grave para la integridad de la elección).</w:t>
      </w:r>
    </w:p>
    <w:p w:rsidR="00000000" w:rsidDel="00000000" w:rsidP="00000000" w:rsidRDefault="00000000" w:rsidRPr="00000000" w14:paraId="0000003C">
      <w:pPr>
        <w:spacing w:after="120" w:line="360" w:lineRule="auto"/>
        <w:jc w:val="both"/>
        <w:rPr/>
      </w:pPr>
      <w:r w:rsidDel="00000000" w:rsidR="00000000" w:rsidRPr="00000000">
        <w:rPr>
          <w:rtl w:val="0"/>
        </w:rPr>
        <w:t xml:space="preserve">4. Notificar al equipo técnico/seguridad y activar el plan de respuesta convierte el hallazgo de una persona en una gestión formal del incidente.</w:t>
      </w:r>
    </w:p>
    <w:p w:rsidR="00000000" w:rsidDel="00000000" w:rsidP="00000000" w:rsidRDefault="00000000" w:rsidRPr="00000000" w14:paraId="0000003D">
      <w:pPr>
        <w:rPr>
          <w:b w:val="1"/>
          <w:bCs w:val="1"/>
        </w:rPr>
      </w:pPr>
      <w:r w:rsidDel="00000000" w:rsidR="00000000" w:rsidRPr="00000000">
        <w:rPr>
          <w:b w:val="1"/>
          <w:bCs w:val="1"/>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4.2 ¿Cómo debería comunicarse el incidente dentro de la organización, indique quién realiza qué comunicación?</w:t>
        <w:br w:type="textWrapping"/>
        <w:br w:type="textWrapping"/>
      </w:r>
      <w:r w:rsidDel="00000000" w:rsidR="00000000" w:rsidRPr="00000000">
        <w:rPr>
          <w:rtl w:val="0"/>
        </w:rPr>
        <w:t xml:space="preserve">Quien detecta la anomalía avisa de inmediato al responsable técnico, sin intentar resolverlo por su cuenta. El equipo técnico/TI confirma si es un incidente real y, de serlo, escala a la dirección del colegio profesional. La dirección decide si corresponde notificar a los colegiados o a un ente regulador. Se designa un solo vocero para consolidar la comunicación mientras dura la investigación, evitando versiones contradictorias.</w:t>
      </w:r>
    </w:p>
    <w:p w:rsidR="00000000" w:rsidDel="00000000" w:rsidP="00000000" w:rsidRDefault="00000000" w:rsidRPr="00000000" w14:paraId="0000003F">
      <w:pPr>
        <w:rPr>
          <w:b w:val="1"/>
          <w:bCs w:val="1"/>
        </w:rPr>
      </w:pPr>
      <w:r w:rsidDel="00000000" w:rsidR="00000000" w:rsidRPr="00000000">
        <w:rPr>
          <w:b w:val="1"/>
          <w:bCs w:val="1"/>
          <w:rtl w:val="0"/>
        </w:rPr>
        <w:br w:type="textWrapping"/>
        <w:br w:type="textWrapping"/>
      </w:r>
    </w:p>
    <w:p w:rsidR="00000000" w:rsidDel="00000000" w:rsidP="00000000" w:rsidRDefault="00000000" w:rsidRPr="00000000" w14:paraId="00000040">
      <w:pPr>
        <w:rPr>
          <w:b w:val="1"/>
          <w:bCs w:val="1"/>
        </w:rPr>
      </w:pPr>
      <w:r w:rsidDel="00000000" w:rsidR="00000000" w:rsidRPr="00000000">
        <w:rPr>
          <w:b w:val="1"/>
          <w:bCs w:val="1"/>
          <w:rtl w:val="0"/>
        </w:rPr>
        <w:t xml:space="preserve">5. RECOVER — Recuperación</w:t>
      </w:r>
    </w:p>
    <w:p w:rsidR="00000000" w:rsidDel="00000000" w:rsidP="00000000" w:rsidRDefault="00000000" w:rsidRPr="00000000" w14:paraId="00000041">
      <w:pPr>
        <w:rPr/>
      </w:pPr>
      <w:r w:rsidDel="00000000" w:rsidR="00000000" w:rsidRPr="00000000">
        <w:rPr>
          <w:b w:val="1"/>
          <w:bCs w:val="1"/>
          <w:rtl w:val="0"/>
        </w:rPr>
        <w:t xml:space="preserve">5.1 ¿Qué acciones permitirían restaurar los sistemas, cite y explique 4?</w:t>
        <w:br w:type="textWrapping"/>
        <w:br w:type="textWrapping"/>
      </w:r>
      <w:r w:rsidDel="00000000" w:rsidR="00000000" w:rsidRPr="00000000">
        <w:rPr>
          <w:rtl w:val="0"/>
        </w:rPr>
        <w:t xml:space="preserve">1. Restaurar la cuenta comprometida con credenciales nuevas y MFA obligatorio evita que el mismo atacante reingrese apenas se reabra el acceso.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120" w:line="360" w:lineRule="auto"/>
        <w:jc w:val="both"/>
        <w:rPr/>
      </w:pPr>
      <w:r w:rsidDel="00000000" w:rsidR="00000000" w:rsidRPr="00000000">
        <w:rPr>
          <w:rtl w:val="0"/>
        </w:rPr>
        <w:t xml:space="preserve">2. Verificar la integridad de los votos ya emitidos contra un respaldo previo al incidente confirma si los resultados fueron alterados antes de dar la elección por válida.</w:t>
      </w:r>
    </w:p>
    <w:p w:rsidR="00000000" w:rsidDel="00000000" w:rsidP="00000000" w:rsidRDefault="00000000" w:rsidRPr="00000000" w14:paraId="00000044">
      <w:pPr>
        <w:spacing w:after="120" w:line="360" w:lineRule="auto"/>
        <w:jc w:val="both"/>
        <w:rPr/>
      </w:pPr>
      <w:r w:rsidDel="00000000" w:rsidR="00000000" w:rsidRPr="00000000">
        <w:rPr>
          <w:rtl w:val="0"/>
        </w:rPr>
        <w:t xml:space="preserve">3. Reemitir tokens a los votantes afectados preserva la validez de sus votos sin invalidar toda la elección.</w:t>
      </w:r>
    </w:p>
    <w:p w:rsidR="00000000" w:rsidDel="00000000" w:rsidP="00000000" w:rsidRDefault="00000000" w:rsidRPr="00000000" w14:paraId="00000045">
      <w:pPr>
        <w:spacing w:after="120" w:line="360" w:lineRule="auto"/>
        <w:jc w:val="both"/>
        <w:rPr/>
      </w:pPr>
      <w:r w:rsidDel="00000000" w:rsidR="00000000" w:rsidRPr="00000000">
        <w:rPr>
          <w:rtl w:val="0"/>
        </w:rPr>
        <w:t xml:space="preserve">4. Restaurar desde el último backup íntegro conocido, si se confirma manipulación se vuelve a un estado verificado en vez de confiar en el estado actual.</w:t>
      </w:r>
    </w:p>
    <w:p w:rsidR="00000000" w:rsidDel="00000000" w:rsidP="00000000" w:rsidRDefault="00000000" w:rsidRPr="00000000" w14:paraId="00000046">
      <w:pPr>
        <w:rPr/>
      </w:pPr>
      <w:r w:rsidDel="00000000" w:rsidR="00000000" w:rsidRPr="00000000">
        <w:rPr>
          <w:b w:val="1"/>
          <w:bCs w:val="1"/>
          <w:rtl w:val="0"/>
        </w:rPr>
        <w:br w:type="textWrapping"/>
        <w:br w:type="textWrapping"/>
        <w:t xml:space="preserve">5.2 ¿Qué mejoras de procesos implementaría después del incidente, cite y explique 4?</w:t>
        <w:br w:type="textWrapping"/>
        <w:br w:type="textWrapping"/>
      </w:r>
      <w:r w:rsidDel="00000000" w:rsidR="00000000" w:rsidRPr="00000000">
        <w:rPr>
          <w:rtl w:val="0"/>
        </w:rPr>
        <w:t xml:space="preserve">1. MFA obligatorio en todas las cuentas del panel cierra permanentemente la puerta que se usó esta vez.</w:t>
      </w:r>
    </w:p>
    <w:p w:rsidR="00000000" w:rsidDel="00000000" w:rsidP="00000000" w:rsidRDefault="00000000" w:rsidRPr="00000000" w14:paraId="00000047">
      <w:pPr>
        <w:spacing w:after="120" w:line="360" w:lineRule="auto"/>
        <w:jc w:val="both"/>
        <w:rPr/>
      </w:pPr>
      <w:r w:rsidDel="00000000" w:rsidR="00000000" w:rsidRPr="00000000">
        <w:rPr>
          <w:rtl w:val="0"/>
        </w:rPr>
        <w:t xml:space="preserve">2. Adoptar el rediseño de tokens (HMAC + salt) y la separación de tablas de Tarea 2 convierte una lección aprendida en un cambio de diseño real.</w:t>
      </w:r>
    </w:p>
    <w:p w:rsidR="00000000" w:rsidDel="00000000" w:rsidP="00000000" w:rsidRDefault="00000000" w:rsidRPr="00000000" w14:paraId="00000048">
      <w:pPr>
        <w:spacing w:after="120" w:line="360" w:lineRule="auto"/>
        <w:jc w:val="both"/>
        <w:rPr/>
      </w:pPr>
      <w:r w:rsidDel="00000000" w:rsidR="00000000" w:rsidRPr="00000000">
        <w:rPr>
          <w:rtl w:val="0"/>
        </w:rPr>
        <w:t xml:space="preserve">3. Revisiones periódicas de logs de auditoría, no solo reactivas pasa de detectar por accidente a detectar por proceso.</w:t>
      </w:r>
    </w:p>
    <w:p w:rsidR="00000000" w:rsidDel="00000000" w:rsidP="00000000" w:rsidRDefault="00000000" w:rsidRPr="00000000" w14:paraId="00000049">
      <w:pPr>
        <w:spacing w:after="120" w:line="360" w:lineRule="auto"/>
        <w:jc w:val="both"/>
        <w:rPr/>
      </w:pPr>
      <w:r w:rsidDel="00000000" w:rsidR="00000000" w:rsidRPr="00000000">
        <w:rPr>
          <w:rtl w:val="0"/>
        </w:rPr>
        <w:t xml:space="preserve">4. Post-mortem sin culpa (blameless) que actualice el plan de respuesta mejora continua real del proceso.</w:t>
      </w:r>
    </w:p>
    <w:p w:rsidR="00000000" w:rsidDel="00000000" w:rsidP="00000000" w:rsidRDefault="00000000" w:rsidRPr="00000000" w14:paraId="0000004A">
      <w:pPr>
        <w:spacing w:after="120" w:line="360" w:lineRule="auto"/>
        <w:jc w:val="both"/>
        <w:rPr/>
      </w:pPr>
      <w:r w:rsidDel="00000000" w:rsidR="00000000" w:rsidRPr="00000000">
        <w:rPr>
          <w:rtl w:val="0"/>
        </w:rPr>
      </w:r>
    </w:p>
    <w:p w:rsidR="00000000" w:rsidDel="00000000" w:rsidP="00000000" w:rsidRDefault="00000000" w:rsidRPr="00000000" w14:paraId="0000004B">
      <w:pPr>
        <w:spacing w:after="120" w:line="360" w:lineRule="auto"/>
        <w:jc w:val="both"/>
        <w:rPr>
          <w:b w:val="1"/>
          <w:bCs w:val="1"/>
        </w:rPr>
      </w:pPr>
      <w:r w:rsidDel="00000000" w:rsidR="00000000" w:rsidRPr="00000000">
        <w:rPr>
          <w:b w:val="1"/>
          <w:bCs w:val="1"/>
          <w:rtl w:val="0"/>
        </w:rPr>
        <w:t xml:space="preserve"> </w:t>
        <w:tab/>
      </w:r>
    </w:p>
    <w:p w:rsidR="00000000" w:rsidDel="00000000" w:rsidP="00000000" w:rsidRDefault="00000000" w:rsidRPr="00000000" w14:paraId="0000004C">
      <w:pPr>
        <w:rPr/>
      </w:pPr>
      <w:r w:rsidDel="00000000" w:rsidR="00000000" w:rsidRPr="00000000">
        <w:rPr>
          <w:rtl w:val="0"/>
        </w:rPr>
      </w:r>
    </w:p>
    <w:tbl>
      <w:tblPr>
        <w:tblStyle w:val="Table1"/>
        <w:tblW w:w="10600.0" w:type="dxa"/>
        <w:jc w:val="center"/>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1900"/>
        <w:gridCol w:w="1900"/>
        <w:gridCol w:w="1900"/>
        <w:gridCol w:w="1900"/>
        <w:gridCol w:w="1900"/>
        <w:gridCol w:w="1100"/>
        <w:tblGridChange w:id="0">
          <w:tblGrid>
            <w:gridCol w:w="1900"/>
            <w:gridCol w:w="1900"/>
            <w:gridCol w:w="1900"/>
            <w:gridCol w:w="1900"/>
            <w:gridCol w:w="1900"/>
            <w:gridCol w:w="1100"/>
          </w:tblGrid>
        </w:tblGridChange>
      </w:tblGrid>
      <w:tr>
        <w:trPr>
          <w:cantSplit w:val="0"/>
          <w:tblHeader w:val="1"/>
        </w:trPr>
        <w:tc>
          <w:tcPr>
            <w:tcBorders>
              <w:top w:color="374c80" w:space="0" w:sz="12" w:val="single"/>
              <w:left w:color="d9d9d9" w:space="0" w:sz="8" w:val="single"/>
              <w:bottom w:color="374c80" w:space="0" w:sz="12" w:val="single"/>
              <w:right w:color="d9d9d9" w:space="0" w:sz="8" w:val="single"/>
            </w:tcBorders>
            <w:shd w:fill="4a66ac" w:val="clear"/>
            <w:tcMar>
              <w:top w:w="120.0" w:type="dxa"/>
              <w:left w:w="120.0" w:type="dxa"/>
              <w:bottom w:w="120.0" w:type="dxa"/>
              <w:right w:w="120.0" w:type="dxa"/>
            </w:tcMar>
            <w:vAlign w:val="center"/>
          </w:tcPr>
          <w:p w:rsidR="00000000" w:rsidDel="00000000" w:rsidP="00000000" w:rsidRDefault="00000000" w:rsidRPr="00000000" w14:paraId="0000004D">
            <w:pPr>
              <w:spacing w:line="276" w:lineRule="auto"/>
              <w:jc w:val="left"/>
              <w:rPr/>
            </w:pPr>
            <w:r w:rsidDel="00000000" w:rsidR="00000000" w:rsidRPr="00000000">
              <w:rPr>
                <w:rFonts w:ascii="Calibri" w:cs="Calibri" w:eastAsia="Calibri" w:hAnsi="Calibri"/>
                <w:b w:val="1"/>
                <w:bCs w:val="1"/>
                <w:color w:val="ffffff"/>
                <w:sz w:val="20"/>
                <w:szCs w:val="20"/>
                <w:rtl w:val="0"/>
              </w:rPr>
              <w:t xml:space="preserve">Criterio</w:t>
            </w:r>
            <w:r w:rsidDel="00000000" w:rsidR="00000000" w:rsidRPr="00000000">
              <w:rPr>
                <w:rtl w:val="0"/>
              </w:rPr>
            </w:r>
          </w:p>
        </w:tc>
        <w:tc>
          <w:tcPr>
            <w:tcBorders>
              <w:top w:color="374c80" w:space="0" w:sz="12" w:val="single"/>
              <w:left w:color="d9d9d9" w:space="0" w:sz="8" w:val="single"/>
              <w:bottom w:color="374c80" w:space="0" w:sz="12" w:val="single"/>
              <w:right w:color="d9d9d9" w:space="0" w:sz="8" w:val="single"/>
            </w:tcBorders>
            <w:shd w:fill="4a66ac" w:val="clear"/>
            <w:tcMar>
              <w:top w:w="120.0" w:type="dxa"/>
              <w:left w:w="120.0" w:type="dxa"/>
              <w:bottom w:w="120.0" w:type="dxa"/>
              <w:right w:w="120.0" w:type="dxa"/>
            </w:tcMar>
            <w:vAlign w:val="center"/>
          </w:tcPr>
          <w:p w:rsidR="00000000" w:rsidDel="00000000" w:rsidP="00000000" w:rsidRDefault="00000000" w:rsidRPr="00000000" w14:paraId="0000004E">
            <w:pPr>
              <w:spacing w:line="276" w:lineRule="auto"/>
              <w:jc w:val="left"/>
              <w:rPr/>
            </w:pPr>
            <w:r w:rsidDel="00000000" w:rsidR="00000000" w:rsidRPr="00000000">
              <w:rPr>
                <w:rFonts w:ascii="Calibri" w:cs="Calibri" w:eastAsia="Calibri" w:hAnsi="Calibri"/>
                <w:b w:val="1"/>
                <w:bCs w:val="1"/>
                <w:color w:val="ffffff"/>
                <w:sz w:val="20"/>
                <w:szCs w:val="20"/>
                <w:rtl w:val="0"/>
              </w:rPr>
              <w:t xml:space="preserve">Excelente (100%)</w:t>
            </w:r>
            <w:r w:rsidDel="00000000" w:rsidR="00000000" w:rsidRPr="00000000">
              <w:rPr>
                <w:rtl w:val="0"/>
              </w:rPr>
            </w:r>
          </w:p>
        </w:tc>
        <w:tc>
          <w:tcPr>
            <w:tcBorders>
              <w:top w:color="374c80" w:space="0" w:sz="12" w:val="single"/>
              <w:left w:color="d9d9d9" w:space="0" w:sz="8" w:val="single"/>
              <w:bottom w:color="374c80" w:space="0" w:sz="12" w:val="single"/>
              <w:right w:color="d9d9d9" w:space="0" w:sz="8" w:val="single"/>
            </w:tcBorders>
            <w:shd w:fill="4a66ac" w:val="clear"/>
            <w:tcMar>
              <w:top w:w="120.0" w:type="dxa"/>
              <w:left w:w="120.0" w:type="dxa"/>
              <w:bottom w:w="120.0" w:type="dxa"/>
              <w:right w:w="120.0" w:type="dxa"/>
            </w:tcMar>
            <w:vAlign w:val="center"/>
          </w:tcPr>
          <w:p w:rsidR="00000000" w:rsidDel="00000000" w:rsidP="00000000" w:rsidRDefault="00000000" w:rsidRPr="00000000" w14:paraId="0000004F">
            <w:pPr>
              <w:spacing w:line="276" w:lineRule="auto"/>
              <w:jc w:val="left"/>
              <w:rPr/>
            </w:pPr>
            <w:r w:rsidDel="00000000" w:rsidR="00000000" w:rsidRPr="00000000">
              <w:rPr>
                <w:rFonts w:ascii="Calibri" w:cs="Calibri" w:eastAsia="Calibri" w:hAnsi="Calibri"/>
                <w:b w:val="1"/>
                <w:bCs w:val="1"/>
                <w:color w:val="ffffff"/>
                <w:sz w:val="20"/>
                <w:szCs w:val="20"/>
                <w:rtl w:val="0"/>
              </w:rPr>
              <w:t xml:space="preserve">Aceptable (70%)</w:t>
            </w:r>
            <w:r w:rsidDel="00000000" w:rsidR="00000000" w:rsidRPr="00000000">
              <w:rPr>
                <w:rtl w:val="0"/>
              </w:rPr>
            </w:r>
          </w:p>
        </w:tc>
        <w:tc>
          <w:tcPr>
            <w:tcBorders>
              <w:top w:color="374c80" w:space="0" w:sz="12" w:val="single"/>
              <w:left w:color="d9d9d9" w:space="0" w:sz="8" w:val="single"/>
              <w:bottom w:color="374c80" w:space="0" w:sz="12" w:val="single"/>
              <w:right w:color="d9d9d9" w:space="0" w:sz="8" w:val="single"/>
            </w:tcBorders>
            <w:shd w:fill="4a66ac" w:val="clear"/>
            <w:tcMar>
              <w:top w:w="120.0" w:type="dxa"/>
              <w:left w:w="120.0" w:type="dxa"/>
              <w:bottom w:w="120.0" w:type="dxa"/>
              <w:right w:w="120.0" w:type="dxa"/>
            </w:tcMar>
            <w:vAlign w:val="center"/>
          </w:tcPr>
          <w:p w:rsidR="00000000" w:rsidDel="00000000" w:rsidP="00000000" w:rsidRDefault="00000000" w:rsidRPr="00000000" w14:paraId="00000050">
            <w:pPr>
              <w:spacing w:line="276" w:lineRule="auto"/>
              <w:jc w:val="left"/>
              <w:rPr/>
            </w:pPr>
            <w:r w:rsidDel="00000000" w:rsidR="00000000" w:rsidRPr="00000000">
              <w:rPr>
                <w:rFonts w:ascii="Calibri" w:cs="Calibri" w:eastAsia="Calibri" w:hAnsi="Calibri"/>
                <w:b w:val="1"/>
                <w:bCs w:val="1"/>
                <w:color w:val="ffffff"/>
                <w:sz w:val="20"/>
                <w:szCs w:val="20"/>
                <w:rtl w:val="0"/>
              </w:rPr>
              <w:t xml:space="preserve">Insuficiente (40%)</w:t>
            </w:r>
            <w:r w:rsidDel="00000000" w:rsidR="00000000" w:rsidRPr="00000000">
              <w:rPr>
                <w:rtl w:val="0"/>
              </w:rPr>
            </w:r>
          </w:p>
        </w:tc>
        <w:tc>
          <w:tcPr>
            <w:tcBorders>
              <w:top w:color="374c80" w:space="0" w:sz="12" w:val="single"/>
              <w:left w:color="d9d9d9" w:space="0" w:sz="8" w:val="single"/>
              <w:bottom w:color="374c80" w:space="0" w:sz="12" w:val="single"/>
              <w:right w:color="d9d9d9" w:space="0" w:sz="8" w:val="single"/>
            </w:tcBorders>
            <w:shd w:fill="4a66ac" w:val="clear"/>
            <w:tcMar>
              <w:top w:w="120.0" w:type="dxa"/>
              <w:left w:w="120.0" w:type="dxa"/>
              <w:bottom w:w="120.0" w:type="dxa"/>
              <w:right w:w="120.0" w:type="dxa"/>
            </w:tcMar>
            <w:vAlign w:val="center"/>
          </w:tcPr>
          <w:p w:rsidR="00000000" w:rsidDel="00000000" w:rsidP="00000000" w:rsidRDefault="00000000" w:rsidRPr="00000000" w14:paraId="00000051">
            <w:pPr>
              <w:spacing w:line="276" w:lineRule="auto"/>
              <w:jc w:val="left"/>
              <w:rPr/>
            </w:pPr>
            <w:r w:rsidDel="00000000" w:rsidR="00000000" w:rsidRPr="00000000">
              <w:rPr>
                <w:rFonts w:ascii="Calibri" w:cs="Calibri" w:eastAsia="Calibri" w:hAnsi="Calibri"/>
                <w:b w:val="1"/>
                <w:bCs w:val="1"/>
                <w:color w:val="ffffff"/>
                <w:sz w:val="20"/>
                <w:szCs w:val="20"/>
                <w:rtl w:val="0"/>
              </w:rPr>
              <w:t xml:space="preserve">No cumple / Ausente (0%)</w:t>
            </w:r>
            <w:r w:rsidDel="00000000" w:rsidR="00000000" w:rsidRPr="00000000">
              <w:rPr>
                <w:rtl w:val="0"/>
              </w:rPr>
            </w:r>
          </w:p>
        </w:tc>
        <w:tc>
          <w:tcPr>
            <w:tcBorders>
              <w:top w:color="374c80" w:space="0" w:sz="12" w:val="single"/>
              <w:left w:color="d9d9d9" w:space="0" w:sz="8" w:val="single"/>
              <w:bottom w:color="374c80" w:space="0" w:sz="12" w:val="single"/>
              <w:right w:color="d9d9d9" w:space="0" w:sz="8" w:val="single"/>
            </w:tcBorders>
            <w:shd w:fill="4a66ac" w:val="clear"/>
            <w:tcMar>
              <w:top w:w="120.0" w:type="dxa"/>
              <w:left w:w="120.0" w:type="dxa"/>
              <w:bottom w:w="120.0" w:type="dxa"/>
              <w:right w:w="120.0" w:type="dxa"/>
            </w:tcMar>
            <w:vAlign w:val="center"/>
          </w:tcPr>
          <w:p w:rsidR="00000000" w:rsidDel="00000000" w:rsidP="00000000" w:rsidRDefault="00000000" w:rsidRPr="00000000" w14:paraId="00000052">
            <w:pPr>
              <w:spacing w:line="276" w:lineRule="auto"/>
              <w:jc w:val="center"/>
              <w:rPr/>
            </w:pPr>
            <w:r w:rsidDel="00000000" w:rsidR="00000000" w:rsidRPr="00000000">
              <w:rPr>
                <w:rFonts w:ascii="Calibri" w:cs="Calibri" w:eastAsia="Calibri" w:hAnsi="Calibri"/>
                <w:b w:val="1"/>
                <w:bCs w:val="1"/>
                <w:color w:val="ffffff"/>
                <w:sz w:val="20"/>
                <w:szCs w:val="20"/>
                <w:rtl w:val="0"/>
              </w:rPr>
              <w:t xml:space="preserve">Puntaje</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20.0" w:type="dxa"/>
              <w:left w:w="120.0" w:type="dxa"/>
              <w:bottom w:w="120.0" w:type="dxa"/>
              <w:right w:w="120.0" w:type="dxa"/>
            </w:tcMar>
            <w:vAlign w:val="center"/>
          </w:tcPr>
          <w:p w:rsidR="00000000" w:rsidDel="00000000" w:rsidP="00000000" w:rsidRDefault="00000000" w:rsidRPr="00000000" w14:paraId="00000053">
            <w:pPr>
              <w:spacing w:line="276" w:lineRule="auto"/>
              <w:jc w:val="left"/>
              <w:rPr/>
            </w:pPr>
            <w:r w:rsidDel="00000000" w:rsidR="00000000" w:rsidRPr="00000000">
              <w:rPr>
                <w:rFonts w:ascii="Calibri" w:cs="Calibri" w:eastAsia="Calibri" w:hAnsi="Calibri"/>
                <w:b w:val="1"/>
                <w:bCs w:val="1"/>
                <w:color w:val="333333"/>
                <w:sz w:val="20"/>
                <w:szCs w:val="20"/>
                <w:rtl w:val="0"/>
              </w:rPr>
              <w:t xml:space="preserve">1.1 Identificación de Activos Críticos</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20.0" w:type="dxa"/>
              <w:left w:w="120.0" w:type="dxa"/>
              <w:bottom w:w="120.0" w:type="dxa"/>
              <w:right w:w="120.0" w:type="dxa"/>
            </w:tcMar>
            <w:vAlign w:val="center"/>
          </w:tcPr>
          <w:p w:rsidR="00000000" w:rsidDel="00000000" w:rsidP="00000000" w:rsidRDefault="00000000" w:rsidRPr="00000000" w14:paraId="00000054">
            <w:pPr>
              <w:spacing w:line="276" w:lineRule="auto"/>
              <w:jc w:val="left"/>
              <w:rPr/>
            </w:pPr>
            <w:r w:rsidDel="00000000" w:rsidR="00000000" w:rsidRPr="00000000">
              <w:rPr>
                <w:rFonts w:ascii="Calibri" w:cs="Calibri" w:eastAsia="Calibri" w:hAnsi="Calibri"/>
                <w:color w:val="333333"/>
                <w:sz w:val="20"/>
                <w:szCs w:val="20"/>
                <w:rtl w:val="0"/>
              </w:rPr>
              <w:t xml:space="preserve">Enumera correctamente 4 activos críticos alineados y relevantes al contexto de la empresa.</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20.0" w:type="dxa"/>
              <w:left w:w="120.0" w:type="dxa"/>
              <w:bottom w:w="120.0" w:type="dxa"/>
              <w:right w:w="120.0" w:type="dxa"/>
            </w:tcMar>
            <w:vAlign w:val="center"/>
          </w:tcPr>
          <w:p w:rsidR="00000000" w:rsidDel="00000000" w:rsidP="00000000" w:rsidRDefault="00000000" w:rsidRPr="00000000" w14:paraId="00000055">
            <w:pPr>
              <w:spacing w:line="276" w:lineRule="auto"/>
              <w:jc w:val="left"/>
              <w:rPr/>
            </w:pPr>
            <w:r w:rsidDel="00000000" w:rsidR="00000000" w:rsidRPr="00000000">
              <w:rPr>
                <w:rFonts w:ascii="Calibri" w:cs="Calibri" w:eastAsia="Calibri" w:hAnsi="Calibri"/>
                <w:color w:val="333333"/>
                <w:sz w:val="20"/>
                <w:szCs w:val="20"/>
                <w:rtl w:val="0"/>
              </w:rPr>
              <w:t xml:space="preserve">Enumera entre 2 y 3 activos válidos, o los 4 con alineación parcial al escenario.</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20.0" w:type="dxa"/>
              <w:left w:w="120.0" w:type="dxa"/>
              <w:bottom w:w="120.0" w:type="dxa"/>
              <w:right w:w="120.0" w:type="dxa"/>
            </w:tcMar>
            <w:vAlign w:val="center"/>
          </w:tcPr>
          <w:p w:rsidR="00000000" w:rsidDel="00000000" w:rsidP="00000000" w:rsidRDefault="00000000" w:rsidRPr="00000000" w14:paraId="00000056">
            <w:pPr>
              <w:spacing w:line="276" w:lineRule="auto"/>
              <w:jc w:val="left"/>
              <w:rPr/>
            </w:pPr>
            <w:r w:rsidDel="00000000" w:rsidR="00000000" w:rsidRPr="00000000">
              <w:rPr>
                <w:rFonts w:ascii="Calibri" w:cs="Calibri" w:eastAsia="Calibri" w:hAnsi="Calibri"/>
                <w:color w:val="333333"/>
                <w:sz w:val="20"/>
                <w:szCs w:val="20"/>
                <w:rtl w:val="0"/>
              </w:rPr>
              <w:t xml:space="preserve">Enumera solo 1 activo relevante o presenta activos genéricos/incorrectos.</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20.0" w:type="dxa"/>
              <w:left w:w="120.0" w:type="dxa"/>
              <w:bottom w:w="120.0" w:type="dxa"/>
              <w:right w:w="120.0" w:type="dxa"/>
            </w:tcMar>
            <w:vAlign w:val="center"/>
          </w:tcPr>
          <w:p w:rsidR="00000000" w:rsidDel="00000000" w:rsidP="00000000" w:rsidRDefault="00000000" w:rsidRPr="00000000" w14:paraId="00000057">
            <w:pPr>
              <w:spacing w:line="276" w:lineRule="auto"/>
              <w:jc w:val="left"/>
              <w:rPr/>
            </w:pPr>
            <w:r w:rsidDel="00000000" w:rsidR="00000000" w:rsidRPr="00000000">
              <w:rPr>
                <w:rFonts w:ascii="Calibri" w:cs="Calibri" w:eastAsia="Calibri" w:hAnsi="Calibri"/>
                <w:color w:val="333333"/>
                <w:sz w:val="20"/>
                <w:szCs w:val="20"/>
                <w:rtl w:val="0"/>
              </w:rPr>
              <w:t xml:space="preserve">No especifica activos críticos o la respuesta es errónea.</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20.0" w:type="dxa"/>
              <w:left w:w="120.0" w:type="dxa"/>
              <w:bottom w:w="120.0" w:type="dxa"/>
              <w:right w:w="120.0" w:type="dxa"/>
            </w:tcMar>
            <w:vAlign w:val="center"/>
          </w:tcPr>
          <w:p w:rsidR="00000000" w:rsidDel="00000000" w:rsidP="00000000" w:rsidRDefault="00000000" w:rsidRPr="00000000" w14:paraId="00000058">
            <w:pPr>
              <w:spacing w:line="276" w:lineRule="auto"/>
              <w:jc w:val="center"/>
              <w:rPr/>
            </w:pPr>
            <w:r w:rsidDel="00000000" w:rsidR="00000000" w:rsidRPr="00000000">
              <w:rPr>
                <w:rFonts w:ascii="Calibri" w:cs="Calibri" w:eastAsia="Calibri" w:hAnsi="Calibri"/>
                <w:b w:val="1"/>
                <w:bCs w:val="1"/>
                <w:color w:val="333333"/>
                <w:sz w:val="20"/>
                <w:szCs w:val="20"/>
                <w:rtl w:val="0"/>
              </w:rPr>
              <w:t xml:space="preserve">15 pts</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f8f9fa" w:val="clear"/>
            <w:tcMar>
              <w:top w:w="120.0" w:type="dxa"/>
              <w:left w:w="120.0" w:type="dxa"/>
              <w:bottom w:w="120.0" w:type="dxa"/>
              <w:right w:w="120.0" w:type="dxa"/>
            </w:tcMar>
            <w:vAlign w:val="center"/>
          </w:tcPr>
          <w:p w:rsidR="00000000" w:rsidDel="00000000" w:rsidP="00000000" w:rsidRDefault="00000000" w:rsidRPr="00000000" w14:paraId="00000059">
            <w:pPr>
              <w:spacing w:line="276" w:lineRule="auto"/>
              <w:jc w:val="left"/>
              <w:rPr/>
            </w:pPr>
            <w:r w:rsidDel="00000000" w:rsidR="00000000" w:rsidRPr="00000000">
              <w:rPr>
                <w:rFonts w:ascii="Calibri" w:cs="Calibri" w:eastAsia="Calibri" w:hAnsi="Calibri"/>
                <w:b w:val="1"/>
                <w:bCs w:val="1"/>
                <w:color w:val="333333"/>
                <w:sz w:val="20"/>
                <w:szCs w:val="20"/>
                <w:rtl w:val="0"/>
              </w:rPr>
              <w:t xml:space="preserve">1.2 Clasificación de Datos de Clientes</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f8f9fa" w:val="clear"/>
            <w:tcMar>
              <w:top w:w="120.0" w:type="dxa"/>
              <w:left w:w="120.0" w:type="dxa"/>
              <w:bottom w:w="120.0" w:type="dxa"/>
              <w:right w:w="120.0" w:type="dxa"/>
            </w:tcMar>
            <w:vAlign w:val="center"/>
          </w:tcPr>
          <w:p w:rsidR="00000000" w:rsidDel="00000000" w:rsidP="00000000" w:rsidRDefault="00000000" w:rsidRPr="00000000" w14:paraId="0000005A">
            <w:pPr>
              <w:spacing w:line="276" w:lineRule="auto"/>
              <w:jc w:val="left"/>
              <w:rPr/>
            </w:pPr>
            <w:r w:rsidDel="00000000" w:rsidR="00000000" w:rsidRPr="00000000">
              <w:rPr>
                <w:rFonts w:ascii="Calibri" w:cs="Calibri" w:eastAsia="Calibri" w:hAnsi="Calibri"/>
                <w:color w:val="333333"/>
                <w:sz w:val="20"/>
                <w:szCs w:val="20"/>
                <w:rtl w:val="0"/>
              </w:rPr>
              <w:t xml:space="preserve">Identifica claramente los tipos de datos de clientes que deben protegerse (ej. PI, financieros) en el escenario.</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f8f9fa" w:val="clear"/>
            <w:tcMar>
              <w:top w:w="120.0" w:type="dxa"/>
              <w:left w:w="120.0" w:type="dxa"/>
              <w:bottom w:w="120.0" w:type="dxa"/>
              <w:right w:w="120.0" w:type="dxa"/>
            </w:tcMar>
            <w:vAlign w:val="center"/>
          </w:tcPr>
          <w:p w:rsidR="00000000" w:rsidDel="00000000" w:rsidP="00000000" w:rsidRDefault="00000000" w:rsidRPr="00000000" w14:paraId="0000005B">
            <w:pPr>
              <w:spacing w:line="276" w:lineRule="auto"/>
              <w:jc w:val="left"/>
              <w:rPr/>
            </w:pPr>
            <w:r w:rsidDel="00000000" w:rsidR="00000000" w:rsidRPr="00000000">
              <w:rPr>
                <w:rFonts w:ascii="Calibri" w:cs="Calibri" w:eastAsia="Calibri" w:hAnsi="Calibri"/>
                <w:color w:val="333333"/>
                <w:sz w:val="20"/>
                <w:szCs w:val="20"/>
                <w:rtl w:val="0"/>
              </w:rPr>
              <w:t xml:space="preserve">Identifica datos de clientes de manera general o incompleta sin detallar la categoría.</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f8f9fa" w:val="clear"/>
            <w:tcMar>
              <w:top w:w="120.0" w:type="dxa"/>
              <w:left w:w="120.0" w:type="dxa"/>
              <w:bottom w:w="120.0" w:type="dxa"/>
              <w:right w:w="120.0" w:type="dxa"/>
            </w:tcMar>
            <w:vAlign w:val="center"/>
          </w:tcPr>
          <w:p w:rsidR="00000000" w:rsidDel="00000000" w:rsidP="00000000" w:rsidRDefault="00000000" w:rsidRPr="00000000" w14:paraId="0000005C">
            <w:pPr>
              <w:spacing w:line="276" w:lineRule="auto"/>
              <w:jc w:val="left"/>
              <w:rPr/>
            </w:pPr>
            <w:r w:rsidDel="00000000" w:rsidR="00000000" w:rsidRPr="00000000">
              <w:rPr>
                <w:rFonts w:ascii="Calibri" w:cs="Calibri" w:eastAsia="Calibri" w:hAnsi="Calibri"/>
                <w:color w:val="333333"/>
                <w:sz w:val="20"/>
                <w:szCs w:val="20"/>
                <w:rtl w:val="0"/>
              </w:rPr>
              <w:t xml:space="preserve">Menciona datos de forma vaga o irrelevante para la protección del negocio.</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f8f9fa" w:val="clear"/>
            <w:tcMar>
              <w:top w:w="120.0" w:type="dxa"/>
              <w:left w:w="120.0" w:type="dxa"/>
              <w:bottom w:w="120.0" w:type="dxa"/>
              <w:right w:w="120.0" w:type="dxa"/>
            </w:tcMar>
            <w:vAlign w:val="center"/>
          </w:tcPr>
          <w:p w:rsidR="00000000" w:rsidDel="00000000" w:rsidP="00000000" w:rsidRDefault="00000000" w:rsidRPr="00000000" w14:paraId="0000005D">
            <w:pPr>
              <w:spacing w:line="276" w:lineRule="auto"/>
              <w:jc w:val="left"/>
              <w:rPr/>
            </w:pPr>
            <w:r w:rsidDel="00000000" w:rsidR="00000000" w:rsidRPr="00000000">
              <w:rPr>
                <w:rFonts w:ascii="Calibri" w:cs="Calibri" w:eastAsia="Calibri" w:hAnsi="Calibri"/>
                <w:color w:val="333333"/>
                <w:sz w:val="20"/>
                <w:szCs w:val="20"/>
                <w:rtl w:val="0"/>
              </w:rPr>
              <w:t xml:space="preserve">No responde o no identifica datos a proteger.</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f8f9fa" w:val="clear"/>
            <w:tcMar>
              <w:top w:w="120.0" w:type="dxa"/>
              <w:left w:w="120.0" w:type="dxa"/>
              <w:bottom w:w="120.0" w:type="dxa"/>
              <w:right w:w="120.0" w:type="dxa"/>
            </w:tcMar>
            <w:vAlign w:val="center"/>
          </w:tcPr>
          <w:p w:rsidR="00000000" w:rsidDel="00000000" w:rsidP="00000000" w:rsidRDefault="00000000" w:rsidRPr="00000000" w14:paraId="0000005E">
            <w:pPr>
              <w:spacing w:line="276" w:lineRule="auto"/>
              <w:jc w:val="center"/>
              <w:rPr/>
            </w:pPr>
            <w:r w:rsidDel="00000000" w:rsidR="00000000" w:rsidRPr="00000000">
              <w:rPr>
                <w:rFonts w:ascii="Calibri" w:cs="Calibri" w:eastAsia="Calibri" w:hAnsi="Calibri"/>
                <w:b w:val="1"/>
                <w:bCs w:val="1"/>
                <w:color w:val="333333"/>
                <w:sz w:val="20"/>
                <w:szCs w:val="20"/>
                <w:rtl w:val="0"/>
              </w:rPr>
              <w:t xml:space="preserve">15 pts</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20.0" w:type="dxa"/>
              <w:left w:w="120.0" w:type="dxa"/>
              <w:bottom w:w="120.0" w:type="dxa"/>
              <w:right w:w="120.0" w:type="dxa"/>
            </w:tcMar>
            <w:vAlign w:val="center"/>
          </w:tcPr>
          <w:p w:rsidR="00000000" w:rsidDel="00000000" w:rsidP="00000000" w:rsidRDefault="00000000" w:rsidRPr="00000000" w14:paraId="0000005F">
            <w:pPr>
              <w:spacing w:line="276" w:lineRule="auto"/>
              <w:jc w:val="left"/>
              <w:rPr/>
            </w:pPr>
            <w:r w:rsidDel="00000000" w:rsidR="00000000" w:rsidRPr="00000000">
              <w:rPr>
                <w:rFonts w:ascii="Calibri" w:cs="Calibri" w:eastAsia="Calibri" w:hAnsi="Calibri"/>
                <w:b w:val="1"/>
                <w:bCs w:val="1"/>
                <w:color w:val="333333"/>
                <w:sz w:val="20"/>
                <w:szCs w:val="20"/>
                <w:rtl w:val="0"/>
              </w:rPr>
              <w:t xml:space="preserve">1.3 Análisis y Justificación de Riesgos</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20.0" w:type="dxa"/>
              <w:left w:w="120.0" w:type="dxa"/>
              <w:bottom w:w="120.0" w:type="dxa"/>
              <w:right w:w="120.0" w:type="dxa"/>
            </w:tcMar>
            <w:vAlign w:val="center"/>
          </w:tcPr>
          <w:p w:rsidR="00000000" w:rsidDel="00000000" w:rsidP="00000000" w:rsidRDefault="00000000" w:rsidRPr="00000000" w14:paraId="00000060">
            <w:pPr>
              <w:spacing w:line="276" w:lineRule="auto"/>
              <w:jc w:val="left"/>
              <w:rPr/>
            </w:pPr>
            <w:r w:rsidDel="00000000" w:rsidR="00000000" w:rsidRPr="00000000">
              <w:rPr>
                <w:rFonts w:ascii="Calibri" w:cs="Calibri" w:eastAsia="Calibri" w:hAnsi="Calibri"/>
                <w:color w:val="333333"/>
                <w:sz w:val="20"/>
                <w:szCs w:val="20"/>
                <w:rtl w:val="0"/>
              </w:rPr>
              <w:t xml:space="preserve">Identifica 4 riesgos pertinentes y justifica de manera técnica y clara por qué representan un riesgo real.</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20.0" w:type="dxa"/>
              <w:left w:w="120.0" w:type="dxa"/>
              <w:bottom w:w="120.0" w:type="dxa"/>
              <w:right w:w="120.0" w:type="dxa"/>
            </w:tcMar>
            <w:vAlign w:val="center"/>
          </w:tcPr>
          <w:p w:rsidR="00000000" w:rsidDel="00000000" w:rsidP="00000000" w:rsidRDefault="00000000" w:rsidRPr="00000000" w14:paraId="00000061">
            <w:pPr>
              <w:spacing w:line="276" w:lineRule="auto"/>
              <w:jc w:val="left"/>
              <w:rPr/>
            </w:pPr>
            <w:r w:rsidDel="00000000" w:rsidR="00000000" w:rsidRPr="00000000">
              <w:rPr>
                <w:rFonts w:ascii="Calibri" w:cs="Calibri" w:eastAsia="Calibri" w:hAnsi="Calibri"/>
                <w:color w:val="333333"/>
                <w:sz w:val="20"/>
                <w:szCs w:val="20"/>
                <w:rtl w:val="0"/>
              </w:rPr>
              <w:t xml:space="preserve">Identifica 4 riesgos pero la justificación es débil, o identifica y justifica bien solo 2–3 riesgos.</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20.0" w:type="dxa"/>
              <w:left w:w="120.0" w:type="dxa"/>
              <w:bottom w:w="120.0" w:type="dxa"/>
              <w:right w:w="120.0" w:type="dxa"/>
            </w:tcMar>
            <w:vAlign w:val="center"/>
          </w:tcPr>
          <w:p w:rsidR="00000000" w:rsidDel="00000000" w:rsidP="00000000" w:rsidRDefault="00000000" w:rsidRPr="00000000" w14:paraId="00000062">
            <w:pPr>
              <w:spacing w:line="276" w:lineRule="auto"/>
              <w:jc w:val="left"/>
              <w:rPr/>
            </w:pPr>
            <w:r w:rsidDel="00000000" w:rsidR="00000000" w:rsidRPr="00000000">
              <w:rPr>
                <w:rFonts w:ascii="Calibri" w:cs="Calibri" w:eastAsia="Calibri" w:hAnsi="Calibri"/>
                <w:color w:val="333333"/>
                <w:sz w:val="20"/>
                <w:szCs w:val="20"/>
                <w:rtl w:val="0"/>
              </w:rPr>
              <w:t xml:space="preserve">Identifica 1–2 riesgos con justificación insuficiente o errónea.</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20.0" w:type="dxa"/>
              <w:left w:w="120.0" w:type="dxa"/>
              <w:bottom w:w="120.0" w:type="dxa"/>
              <w:right w:w="120.0" w:type="dxa"/>
            </w:tcMar>
            <w:vAlign w:val="center"/>
          </w:tcPr>
          <w:p w:rsidR="00000000" w:rsidDel="00000000" w:rsidP="00000000" w:rsidRDefault="00000000" w:rsidRPr="00000000" w14:paraId="00000063">
            <w:pPr>
              <w:spacing w:line="276" w:lineRule="auto"/>
              <w:jc w:val="left"/>
              <w:rPr/>
            </w:pPr>
            <w:r w:rsidDel="00000000" w:rsidR="00000000" w:rsidRPr="00000000">
              <w:rPr>
                <w:rFonts w:ascii="Calibri" w:cs="Calibri" w:eastAsia="Calibri" w:hAnsi="Calibri"/>
                <w:color w:val="333333"/>
                <w:sz w:val="20"/>
                <w:szCs w:val="20"/>
                <w:rtl w:val="0"/>
              </w:rPr>
              <w:t xml:space="preserve">No identifica riesgos o la justificación carece de sentido técnico.</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20.0" w:type="dxa"/>
              <w:left w:w="120.0" w:type="dxa"/>
              <w:bottom w:w="120.0" w:type="dxa"/>
              <w:right w:w="120.0" w:type="dxa"/>
            </w:tcMar>
            <w:vAlign w:val="center"/>
          </w:tcPr>
          <w:p w:rsidR="00000000" w:rsidDel="00000000" w:rsidP="00000000" w:rsidRDefault="00000000" w:rsidRPr="00000000" w14:paraId="00000064">
            <w:pPr>
              <w:spacing w:line="276" w:lineRule="auto"/>
              <w:jc w:val="center"/>
              <w:rPr/>
            </w:pPr>
            <w:r w:rsidDel="00000000" w:rsidR="00000000" w:rsidRPr="00000000">
              <w:rPr>
                <w:rFonts w:ascii="Calibri" w:cs="Calibri" w:eastAsia="Calibri" w:hAnsi="Calibri"/>
                <w:b w:val="1"/>
                <w:bCs w:val="1"/>
                <w:color w:val="333333"/>
                <w:sz w:val="20"/>
                <w:szCs w:val="20"/>
                <w:rtl w:val="0"/>
              </w:rPr>
              <w:t xml:space="preserve">35 pts</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f8f9fa" w:val="clear"/>
            <w:tcMar>
              <w:top w:w="120.0" w:type="dxa"/>
              <w:left w:w="120.0" w:type="dxa"/>
              <w:bottom w:w="120.0" w:type="dxa"/>
              <w:right w:w="120.0" w:type="dxa"/>
            </w:tcMar>
            <w:vAlign w:val="center"/>
          </w:tcPr>
          <w:p w:rsidR="00000000" w:rsidDel="00000000" w:rsidP="00000000" w:rsidRDefault="00000000" w:rsidRPr="00000000" w14:paraId="00000065">
            <w:pPr>
              <w:spacing w:line="276" w:lineRule="auto"/>
              <w:jc w:val="left"/>
              <w:rPr/>
            </w:pPr>
            <w:r w:rsidDel="00000000" w:rsidR="00000000" w:rsidRPr="00000000">
              <w:rPr>
                <w:rFonts w:ascii="Calibri" w:cs="Calibri" w:eastAsia="Calibri" w:hAnsi="Calibri"/>
                <w:b w:val="1"/>
                <w:bCs w:val="1"/>
                <w:color w:val="333333"/>
                <w:sz w:val="20"/>
                <w:szCs w:val="20"/>
                <w:rtl w:val="0"/>
              </w:rPr>
              <w:t xml:space="preserve">2.1 Selección y Justificación de Controles de Acceso (Protect)</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f8f9fa" w:val="clear"/>
            <w:tcMar>
              <w:top w:w="120.0" w:type="dxa"/>
              <w:left w:w="120.0" w:type="dxa"/>
              <w:bottom w:w="120.0" w:type="dxa"/>
              <w:right w:w="120.0" w:type="dxa"/>
            </w:tcMar>
            <w:vAlign w:val="center"/>
          </w:tcPr>
          <w:p w:rsidR="00000000" w:rsidDel="00000000" w:rsidP="00000000" w:rsidRDefault="00000000" w:rsidRPr="00000000" w14:paraId="00000066">
            <w:pPr>
              <w:spacing w:line="276" w:lineRule="auto"/>
              <w:jc w:val="left"/>
              <w:rPr/>
            </w:pPr>
            <w:r w:rsidDel="00000000" w:rsidR="00000000" w:rsidRPr="00000000">
              <w:rPr>
                <w:rFonts w:ascii="Calibri" w:cs="Calibri" w:eastAsia="Calibri" w:hAnsi="Calibri"/>
                <w:color w:val="333333"/>
                <w:sz w:val="20"/>
                <w:szCs w:val="20"/>
                <w:rtl w:val="0"/>
              </w:rPr>
              <w:t xml:space="preserve">Cita 4 controles de acceso idóneos y justifica con claridad el motivo y relevancia de su implementación.</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f8f9fa" w:val="clear"/>
            <w:tcMar>
              <w:top w:w="120.0" w:type="dxa"/>
              <w:left w:w="120.0" w:type="dxa"/>
              <w:bottom w:w="120.0" w:type="dxa"/>
              <w:right w:w="120.0" w:type="dxa"/>
            </w:tcMar>
            <w:vAlign w:val="center"/>
          </w:tcPr>
          <w:p w:rsidR="00000000" w:rsidDel="00000000" w:rsidP="00000000" w:rsidRDefault="00000000" w:rsidRPr="00000000" w14:paraId="00000067">
            <w:pPr>
              <w:spacing w:line="276" w:lineRule="auto"/>
              <w:jc w:val="left"/>
              <w:rPr/>
            </w:pPr>
            <w:r w:rsidDel="00000000" w:rsidR="00000000" w:rsidRPr="00000000">
              <w:rPr>
                <w:rFonts w:ascii="Calibri" w:cs="Calibri" w:eastAsia="Calibri" w:hAnsi="Calibri"/>
                <w:color w:val="333333"/>
                <w:sz w:val="20"/>
                <w:szCs w:val="20"/>
                <w:rtl w:val="0"/>
              </w:rPr>
              <w:t xml:space="preserve">Cita 4 controles pero con justificaciones parciales, o justifica adecuadamente solo 2–3 controles.</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f8f9fa" w:val="clear"/>
            <w:tcMar>
              <w:top w:w="120.0" w:type="dxa"/>
              <w:left w:w="120.0" w:type="dxa"/>
              <w:bottom w:w="120.0" w:type="dxa"/>
              <w:right w:w="120.0" w:type="dxa"/>
            </w:tcMar>
            <w:vAlign w:val="center"/>
          </w:tcPr>
          <w:p w:rsidR="00000000" w:rsidDel="00000000" w:rsidP="00000000" w:rsidRDefault="00000000" w:rsidRPr="00000000" w14:paraId="00000068">
            <w:pPr>
              <w:spacing w:line="276" w:lineRule="auto"/>
              <w:jc w:val="left"/>
              <w:rPr/>
            </w:pPr>
            <w:r w:rsidDel="00000000" w:rsidR="00000000" w:rsidRPr="00000000">
              <w:rPr>
                <w:rFonts w:ascii="Calibri" w:cs="Calibri" w:eastAsia="Calibri" w:hAnsi="Calibri"/>
                <w:color w:val="333333"/>
                <w:sz w:val="20"/>
                <w:szCs w:val="20"/>
                <w:rtl w:val="0"/>
              </w:rPr>
              <w:t xml:space="preserve">Cita 1–2 controles con justificación deficiente o desconectada de la problemática.</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f8f9fa" w:val="clear"/>
            <w:tcMar>
              <w:top w:w="120.0" w:type="dxa"/>
              <w:left w:w="120.0" w:type="dxa"/>
              <w:bottom w:w="120.0" w:type="dxa"/>
              <w:right w:w="120.0" w:type="dxa"/>
            </w:tcMar>
            <w:vAlign w:val="center"/>
          </w:tcPr>
          <w:p w:rsidR="00000000" w:rsidDel="00000000" w:rsidP="00000000" w:rsidRDefault="00000000" w:rsidRPr="00000000" w14:paraId="00000069">
            <w:pPr>
              <w:spacing w:line="276" w:lineRule="auto"/>
              <w:jc w:val="left"/>
              <w:rPr/>
            </w:pPr>
            <w:r w:rsidDel="00000000" w:rsidR="00000000" w:rsidRPr="00000000">
              <w:rPr>
                <w:rFonts w:ascii="Calibri" w:cs="Calibri" w:eastAsia="Calibri" w:hAnsi="Calibri"/>
                <w:color w:val="333333"/>
                <w:sz w:val="20"/>
                <w:szCs w:val="20"/>
                <w:rtl w:val="0"/>
              </w:rPr>
              <w:t xml:space="preserve">No cita controles ni presenta justificación alguna.</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f8f9fa" w:val="clear"/>
            <w:tcMar>
              <w:top w:w="120.0" w:type="dxa"/>
              <w:left w:w="120.0" w:type="dxa"/>
              <w:bottom w:w="120.0" w:type="dxa"/>
              <w:right w:w="120.0" w:type="dxa"/>
            </w:tcMar>
            <w:vAlign w:val="center"/>
          </w:tcPr>
          <w:p w:rsidR="00000000" w:rsidDel="00000000" w:rsidP="00000000" w:rsidRDefault="00000000" w:rsidRPr="00000000" w14:paraId="0000006A">
            <w:pPr>
              <w:spacing w:line="276" w:lineRule="auto"/>
              <w:jc w:val="center"/>
              <w:rPr/>
            </w:pPr>
            <w:r w:rsidDel="00000000" w:rsidR="00000000" w:rsidRPr="00000000">
              <w:rPr>
                <w:rFonts w:ascii="Calibri" w:cs="Calibri" w:eastAsia="Calibri" w:hAnsi="Calibri"/>
                <w:b w:val="1"/>
                <w:bCs w:val="1"/>
                <w:color w:val="333333"/>
                <w:sz w:val="20"/>
                <w:szCs w:val="20"/>
                <w:rtl w:val="0"/>
              </w:rPr>
              <w:t xml:space="preserve">35 pts</w:t>
            </w:r>
            <w:r w:rsidDel="00000000" w:rsidR="00000000" w:rsidRPr="00000000">
              <w:rPr>
                <w:rtl w:val="0"/>
              </w:rPr>
            </w:r>
          </w:p>
        </w:tc>
      </w:tr>
    </w:tbl>
    <w:p w:rsidR="00000000" w:rsidDel="00000000" w:rsidP="00000000" w:rsidRDefault="00000000" w:rsidRPr="00000000" w14:paraId="0000006B">
      <w:pPr>
        <w:spacing w:after="120" w:line="360" w:lineRule="auto"/>
        <w:jc w:val="both"/>
        <w:rPr/>
      </w:pPr>
      <w:r w:rsidDel="00000000" w:rsidR="00000000" w:rsidRPr="00000000">
        <w:rPr>
          <w:b w:val="1"/>
          <w:bCs w:val="1"/>
          <w:rtl w:val="0"/>
        </w:rPr>
        <w:br w:type="textWrapping"/>
      </w:r>
      <w:r w:rsidDel="00000000" w:rsidR="00000000" w:rsidRPr="00000000">
        <w:rPr>
          <w:rtl w:val="0"/>
        </w:rPr>
      </w:r>
    </w:p>
    <w:sectPr>
      <w:headerReference r:id="rId7" w:type="default"/>
      <w:headerReference r:id="rId8" w:type="first"/>
      <w:headerReference r:id="rId9" w:type="even"/>
      <w:pgSz w:h="15840" w:w="12240" w:orient="portrait"/>
      <w:pgMar w:bottom="1440" w:top="1440" w:left="1800" w:right="180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align>center</wp:align>
              </wp:positionH>
              <wp:positionV relativeFrom="page">
                <wp:posOffset>296863</wp:posOffset>
              </wp:positionV>
              <wp:extent cx="7455535" cy="292735"/>
              <wp:effectExtent b="0" l="0" r="0" t="0"/>
              <wp:wrapNone/>
              <wp:docPr id="2" name="" title="Document Title"/>
              <a:graphic>
                <a:graphicData uri="http://schemas.microsoft.com/office/word/2010/wordprocessingShape">
                  <wps:wsp>
                    <wps:cNvSpPr/>
                    <wps:cNvPr id="3" name="Shape 3"/>
                    <wps:spPr>
                      <a:xfrm>
                        <a:off x="1623060" y="3638340"/>
                        <a:ext cx="7445880" cy="28332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ptos" w:cs="Aptos" w:eastAsia="Aptos" w:hAnsi="Aptos"/>
                              <w:b w:val="1"/>
                              <w:i w:val="0"/>
                              <w:smallCaps w:val="1"/>
                              <w:strike w:val="0"/>
                              <w:color w:val="000000"/>
                              <w:sz w:val="28"/>
                              <w:vertAlign w:val="baseline"/>
                            </w:rPr>
                            <w:t xml:space="preserve">IC-8071_SEGURIDAD_DE_SOFTWARE</w:t>
                          </w:r>
                          <w:r w:rsidDel="00000000" w:rsidR="00000000" w:rsidRPr="00000000">
                            <w:rPr>
                              <w:rFonts w:ascii="Aptos" w:cs="Aptos" w:eastAsia="Aptos" w:hAnsi="Aptos"/>
                              <w:b w:val="1"/>
                              <w:i w:val="0"/>
                              <w:smallCaps w:val="1"/>
                              <w:strike w:val="0"/>
                              <w:color w:val="ffffff"/>
                              <w:sz w:val="28"/>
                              <w:vertAlign w:val="baseline"/>
                            </w:rPr>
                            <w:t xml:space="preserve"> – ADRIANA ROJAS</w:t>
                          </w:r>
                        </w:p>
                      </w:txbxContent>
                    </wps:txbx>
                    <wps:bodyPr anchorCtr="0" anchor="ctr" bIns="0" lIns="91425" spcFirstLastPara="1" rIns="91425"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align>center</wp:align>
              </wp:positionH>
              <wp:positionV relativeFrom="page">
                <wp:posOffset>296863</wp:posOffset>
              </wp:positionV>
              <wp:extent cx="7455535" cy="292735"/>
              <wp:effectExtent b="0" l="0" r="0" t="0"/>
              <wp:wrapNone/>
              <wp:docPr descr="Document Title" id="2" name="image4.png"/>
              <a:graphic>
                <a:graphicData uri="http://schemas.openxmlformats.org/drawingml/2006/picture">
                  <pic:pic>
                    <pic:nvPicPr>
                      <pic:cNvPr descr="Document Title" id="0" name="image4.png"/>
                      <pic:cNvPicPr preferRelativeResize="0"/>
                    </pic:nvPicPr>
                    <pic:blipFill>
                      <a:blip r:embed="rId1"/>
                      <a:srcRect/>
                      <a:stretch>
                        <a:fillRect/>
                      </a:stretch>
                    </pic:blipFill>
                    <pic:spPr>
                      <a:xfrm>
                        <a:off x="0" y="0"/>
                        <a:ext cx="7455535" cy="29273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0" distR="0">
          <wp:extent cx="5486400" cy="412750"/>
          <wp:effectExtent b="0" l="0" r="0" t="0"/>
          <wp:docPr id="3"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5486400" cy="412750"/>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align>center</wp:align>
              </wp:positionH>
              <wp:positionV relativeFrom="page">
                <wp:posOffset>296863</wp:posOffset>
              </wp:positionV>
              <wp:extent cx="7455535" cy="292735"/>
              <wp:effectExtent b="0" l="0" r="0" t="0"/>
              <wp:wrapNone/>
              <wp:docPr id="1" name="" title="Document Title"/>
              <a:graphic>
                <a:graphicData uri="http://schemas.microsoft.com/office/word/2010/wordprocessingShape">
                  <wps:wsp>
                    <wps:cNvSpPr/>
                    <wps:cNvPr id="2" name="Shape 2"/>
                    <wps:spPr>
                      <a:xfrm>
                        <a:off x="1623060" y="3638340"/>
                        <a:ext cx="7445880" cy="28332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ptos" w:cs="Aptos" w:eastAsia="Aptos" w:hAnsi="Aptos"/>
                              <w:b w:val="1"/>
                              <w:i w:val="0"/>
                              <w:smallCaps w:val="1"/>
                              <w:strike w:val="0"/>
                              <w:color w:val="000000"/>
                              <w:sz w:val="28"/>
                              <w:vertAlign w:val="baseline"/>
                            </w:rPr>
                            <w:t xml:space="preserve">IC-8071_SEGURIDAD_DE_SOFTWARE</w:t>
                          </w:r>
                          <w:r w:rsidDel="00000000" w:rsidR="00000000" w:rsidRPr="00000000">
                            <w:rPr>
                              <w:rFonts w:ascii="Aptos" w:cs="Aptos" w:eastAsia="Aptos" w:hAnsi="Aptos"/>
                              <w:b w:val="1"/>
                              <w:i w:val="0"/>
                              <w:smallCaps w:val="1"/>
                              <w:strike w:val="0"/>
                              <w:color w:val="ffffff"/>
                              <w:sz w:val="28"/>
                              <w:vertAlign w:val="baseline"/>
                            </w:rPr>
                            <w:t xml:space="preserve"> – ADRIANA ROJAS</w:t>
                          </w:r>
                        </w:p>
                      </w:txbxContent>
                    </wps:txbx>
                    <wps:bodyPr anchorCtr="0" anchor="ctr" bIns="0" lIns="91425" spcFirstLastPara="1" rIns="91425"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align>center</wp:align>
              </wp:positionH>
              <wp:positionV relativeFrom="page">
                <wp:posOffset>296863</wp:posOffset>
              </wp:positionV>
              <wp:extent cx="7455535" cy="292735"/>
              <wp:effectExtent b="0" l="0" r="0" t="0"/>
              <wp:wrapNone/>
              <wp:docPr descr="Document Title" id="1" name="image3.png"/>
              <a:graphic>
                <a:graphicData uri="http://schemas.openxmlformats.org/drawingml/2006/picture">
                  <pic:pic>
                    <pic:nvPicPr>
                      <pic:cNvPr descr="Document Title" id="0" name="image3.png"/>
                      <pic:cNvPicPr preferRelativeResize="0"/>
                    </pic:nvPicPr>
                    <pic:blipFill>
                      <a:blip r:embed="rId1"/>
                      <a:srcRect/>
                      <a:stretch>
                        <a:fillRect/>
                      </a:stretch>
                    </pic:blipFill>
                    <pic:spPr>
                      <a:xfrm>
                        <a:off x="0" y="0"/>
                        <a:ext cx="7455535" cy="29273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0" distR="0">
          <wp:extent cx="5486400" cy="412750"/>
          <wp:effectExtent b="0" l="0" r="0" t="0"/>
          <wp:docPr id="4"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5486400" cy="4127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76" w:lineRule="auto"/>
    </w:pPr>
    <w:rPr>
      <w:rFonts w:ascii="Calibri" w:cs="Calibri" w:eastAsia="Calibri" w:hAnsi="Calibri"/>
      <w:b w:val="1"/>
      <w:bCs w:val="1"/>
      <w:color w:val="374c80"/>
      <w:sz w:val="28"/>
      <w:szCs w:val="28"/>
    </w:rPr>
  </w:style>
  <w:style w:type="paragraph" w:styleId="Heading2">
    <w:name w:val="heading 2"/>
    <w:basedOn w:val="Normal"/>
    <w:next w:val="Normal"/>
    <w:pPr>
      <w:keepNext w:val="1"/>
      <w:keepLines w:val="1"/>
      <w:spacing w:after="0" w:before="200" w:line="276" w:lineRule="auto"/>
    </w:pPr>
    <w:rPr>
      <w:rFonts w:ascii="Calibri" w:cs="Calibri" w:eastAsia="Calibri" w:hAnsi="Calibri"/>
      <w:b w:val="1"/>
      <w:bCs w:val="1"/>
      <w:color w:val="4a66ac"/>
      <w:sz w:val="26"/>
      <w:szCs w:val="26"/>
    </w:rPr>
  </w:style>
  <w:style w:type="paragraph" w:styleId="Heading3">
    <w:name w:val="heading 3"/>
    <w:basedOn w:val="Normal"/>
    <w:next w:val="Normal"/>
    <w:pPr>
      <w:keepNext w:val="1"/>
      <w:keepLines w:val="1"/>
      <w:spacing w:after="0" w:before="200" w:line="276" w:lineRule="auto"/>
    </w:pPr>
    <w:rPr>
      <w:rFonts w:ascii="Calibri" w:cs="Calibri" w:eastAsia="Calibri" w:hAnsi="Calibri"/>
      <w:b w:val="1"/>
      <w:bCs w:val="1"/>
      <w:color w:val="4a66ac"/>
      <w:sz w:val="22"/>
      <w:szCs w:val="22"/>
    </w:rPr>
  </w:style>
  <w:style w:type="paragraph" w:styleId="Heading4">
    <w:name w:val="heading 4"/>
    <w:basedOn w:val="Normal"/>
    <w:next w:val="Normal"/>
    <w:pPr>
      <w:keepNext w:val="1"/>
      <w:keepLines w:val="1"/>
      <w:spacing w:after="0" w:before="200" w:line="276" w:lineRule="auto"/>
    </w:pPr>
    <w:rPr>
      <w:rFonts w:ascii="Calibri" w:cs="Calibri" w:eastAsia="Calibri" w:hAnsi="Calibri"/>
      <w:b w:val="1"/>
      <w:bCs w:val="1"/>
      <w:i w:val="1"/>
      <w:iCs w:val="1"/>
      <w:color w:val="4a66ac"/>
      <w:sz w:val="22"/>
      <w:szCs w:val="22"/>
    </w:rPr>
  </w:style>
  <w:style w:type="paragraph" w:styleId="Heading5">
    <w:name w:val="heading 5"/>
    <w:basedOn w:val="Normal"/>
    <w:next w:val="Normal"/>
    <w:pPr>
      <w:keepNext w:val="1"/>
      <w:keepLines w:val="1"/>
      <w:spacing w:after="0" w:before="200" w:lineRule="auto"/>
    </w:pPr>
    <w:rPr>
      <w:rFonts w:ascii="Calibri" w:cs="Calibri" w:eastAsia="Calibri" w:hAnsi="Calibri"/>
      <w:color w:val="243255"/>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255"/>
    </w:rPr>
  </w:style>
  <w:style w:type="paragraph" w:styleId="Title">
    <w:name w:val="Title"/>
    <w:basedOn w:val="Normal"/>
    <w:next w:val="Normal"/>
    <w:pPr>
      <w:pBdr>
        <w:bottom w:color="4a66ac" w:space="4" w:sz="8" w:val="single"/>
      </w:pBdr>
      <w:spacing w:after="300" w:before="0" w:lineRule="auto"/>
    </w:pPr>
    <w:rPr>
      <w:rFonts w:ascii="Calibri" w:cs="Calibri" w:eastAsia="Calibri" w:hAnsi="Calibri"/>
      <w:color w:val="1b1d3d"/>
      <w:sz w:val="52"/>
      <w:szCs w:val="52"/>
    </w:rPr>
  </w:style>
  <w:style w:type="paragraph" w:styleId="Subtitle">
    <w:name w:val="Subtitle"/>
    <w:basedOn w:val="Normal"/>
    <w:next w:val="Normal"/>
    <w:pPr>
      <w:spacing w:after="200" w:before="0" w:line="276" w:lineRule="auto"/>
    </w:pPr>
    <w:rPr>
      <w:rFonts w:ascii="Calibri" w:cs="Calibri" w:eastAsia="Calibri" w:hAnsi="Calibri"/>
      <w:i w:val="1"/>
      <w:iCs w:val="1"/>
      <w:color w:val="4a66ac"/>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2.xml"/><Relationship Id="rId8"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