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F9727D" w14:textId="6800EDA1" w:rsidR="008622B8" w:rsidRPr="007C0211" w:rsidRDefault="002743ED">
      <w:pPr>
        <w:spacing w:before="160" w:after="160"/>
        <w:jc w:val="center"/>
      </w:pPr>
      <w:r w:rsidRPr="007C0211">
        <w:rPr>
          <w:b/>
          <w:bCs/>
          <w:sz w:val="30"/>
          <w:szCs w:val="30"/>
        </w:rPr>
        <w:t xml:space="preserve">COMPARAÇÃO ENTRE OS MODELOS SARIMA, ETS E </w:t>
      </w:r>
      <w:r w:rsidR="007C0211">
        <w:rPr>
          <w:b/>
          <w:bCs/>
          <w:sz w:val="30"/>
          <w:szCs w:val="30"/>
        </w:rPr>
        <w:t>DHR</w:t>
      </w:r>
      <w:r w:rsidRPr="007C0211">
        <w:rPr>
          <w:b/>
          <w:bCs/>
          <w:sz w:val="30"/>
          <w:szCs w:val="30"/>
        </w:rPr>
        <w:t xml:space="preserve"> NA PREVISÃO DA CARGA DIÁRIA DE ENERGIA ELÉTRICA DO SUBSISTEMA SUDESTE/CENTRO-OESTE</w:t>
      </w:r>
    </w:p>
    <w:p w14:paraId="7AF5B239" w14:textId="3377A9D9" w:rsidR="008622B8" w:rsidRDefault="002743ED">
      <w:pPr>
        <w:spacing w:after="40"/>
        <w:jc w:val="center"/>
        <w:rPr>
          <w:b/>
          <w:bCs/>
          <w:sz w:val="22"/>
          <w:szCs w:val="22"/>
        </w:rPr>
      </w:pPr>
      <w:r w:rsidRPr="007C0211">
        <w:rPr>
          <w:b/>
          <w:bCs/>
          <w:sz w:val="22"/>
          <w:szCs w:val="22"/>
        </w:rPr>
        <w:t>Marcos Aurélio da Silva Oliveira</w:t>
      </w:r>
      <w:r w:rsidR="007C0211">
        <w:rPr>
          <w:rStyle w:val="FootnoteReference"/>
          <w:b/>
          <w:bCs/>
          <w:sz w:val="22"/>
          <w:szCs w:val="22"/>
        </w:rPr>
        <w:footnoteReference w:id="1"/>
      </w:r>
      <w:r w:rsidR="0011234C">
        <w:rPr>
          <w:b/>
          <w:bCs/>
          <w:sz w:val="22"/>
          <w:szCs w:val="22"/>
        </w:rPr>
        <w:t>,</w:t>
      </w:r>
    </w:p>
    <w:p w14:paraId="56D1165E" w14:textId="6DB11B4F" w:rsidR="0011234C" w:rsidRDefault="0082016C">
      <w:pPr>
        <w:spacing w:after="40"/>
        <w:jc w:val="center"/>
        <w:rPr>
          <w:sz w:val="22"/>
          <w:szCs w:val="22"/>
        </w:rPr>
      </w:pPr>
      <w:r w:rsidRPr="0082016C">
        <w:rPr>
          <w:sz w:val="22"/>
          <w:szCs w:val="22"/>
        </w:rPr>
        <w:t>marcos_aurelio@hotmail.com</w:t>
      </w:r>
      <w:r w:rsidR="0011234C">
        <w:rPr>
          <w:sz w:val="22"/>
          <w:szCs w:val="22"/>
        </w:rPr>
        <w:t>,</w:t>
      </w:r>
    </w:p>
    <w:p w14:paraId="0E6DB497" w14:textId="50A118DF" w:rsidR="0082016C" w:rsidRDefault="0082016C">
      <w:pPr>
        <w:spacing w:after="4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Vinicius Carvalho de Vasconcelos</w:t>
      </w:r>
      <w:r>
        <w:rPr>
          <w:b/>
          <w:bCs/>
          <w:sz w:val="22"/>
          <w:szCs w:val="22"/>
          <w:vertAlign w:val="superscript"/>
        </w:rPr>
        <w:t>2</w:t>
      </w:r>
      <w:r>
        <w:rPr>
          <w:b/>
          <w:bCs/>
          <w:sz w:val="22"/>
          <w:szCs w:val="22"/>
        </w:rPr>
        <w:t>,</w:t>
      </w:r>
    </w:p>
    <w:p w14:paraId="083C38AF" w14:textId="7C445132" w:rsidR="0082016C" w:rsidRPr="0082016C" w:rsidRDefault="0082016C">
      <w:pPr>
        <w:spacing w:after="40"/>
        <w:jc w:val="center"/>
      </w:pPr>
      <w:r>
        <w:t>vasconcelosvcd@gmail.com</w:t>
      </w:r>
    </w:p>
    <w:p w14:paraId="0E6D00A7" w14:textId="1CEF1E27" w:rsidR="008622B8" w:rsidRPr="007C0211" w:rsidRDefault="4B694E47">
      <w:pPr>
        <w:spacing w:after="40"/>
        <w:jc w:val="center"/>
      </w:pPr>
      <w:r w:rsidRPr="007C0211">
        <w:rPr>
          <w:sz w:val="22"/>
          <w:szCs w:val="22"/>
        </w:rPr>
        <w:t xml:space="preserve">Professor orientador: </w:t>
      </w:r>
      <w:proofErr w:type="spellStart"/>
      <w:r w:rsidR="0097186D" w:rsidRPr="0097186D">
        <w:rPr>
          <w:sz w:val="22"/>
          <w:szCs w:val="22"/>
        </w:rPr>
        <w:t>Luis</w:t>
      </w:r>
      <w:proofErr w:type="spellEnd"/>
      <w:r w:rsidR="0097186D" w:rsidRPr="0097186D">
        <w:rPr>
          <w:sz w:val="22"/>
          <w:szCs w:val="22"/>
        </w:rPr>
        <w:t xml:space="preserve"> Celso Borges</w:t>
      </w:r>
    </w:p>
    <w:p w14:paraId="117F826F" w14:textId="50E52C52" w:rsidR="008622B8" w:rsidRPr="007C0211" w:rsidRDefault="4B694E47">
      <w:pPr>
        <w:spacing w:after="240"/>
        <w:jc w:val="center"/>
      </w:pPr>
      <w:r w:rsidRPr="007C0211">
        <w:rPr>
          <w:sz w:val="22"/>
          <w:szCs w:val="22"/>
        </w:rPr>
        <w:t>Coordenação do Curso de Bacharelado em Estatística</w:t>
      </w:r>
    </w:p>
    <w:p w14:paraId="62DD76C1" w14:textId="77777777" w:rsidR="008622B8" w:rsidRPr="007C0211" w:rsidRDefault="4B694E47">
      <w:pPr>
        <w:pStyle w:val="heading10"/>
      </w:pPr>
      <w:r w:rsidRPr="007C0211">
        <w:rPr>
          <w:caps/>
        </w:rPr>
        <w:t>Resumo</w:t>
      </w:r>
    </w:p>
    <w:p w14:paraId="0788E3DC" w14:textId="64C653B5" w:rsidR="008622B8" w:rsidRPr="007C0211" w:rsidRDefault="4B694E47" w:rsidP="0040501A">
      <w:pPr>
        <w:spacing w:after="200"/>
        <w:jc w:val="both"/>
      </w:pPr>
      <w:r w:rsidRPr="007C0211">
        <w:t>Este estudo comparou o desempenho preditivo dos modelos SARIMA (</w:t>
      </w:r>
      <w:proofErr w:type="spellStart"/>
      <w:r w:rsidRPr="007C0211">
        <w:t>Seasonal</w:t>
      </w:r>
      <w:proofErr w:type="spellEnd"/>
      <w:r w:rsidRPr="007C0211">
        <w:t xml:space="preserve"> </w:t>
      </w:r>
      <w:proofErr w:type="spellStart"/>
      <w:r w:rsidRPr="007C0211">
        <w:t>Autoregressive</w:t>
      </w:r>
      <w:proofErr w:type="spellEnd"/>
      <w:r w:rsidRPr="007C0211">
        <w:t xml:space="preserve"> </w:t>
      </w:r>
      <w:proofErr w:type="spellStart"/>
      <w:r w:rsidRPr="007C0211">
        <w:t>Integrated</w:t>
      </w:r>
      <w:proofErr w:type="spellEnd"/>
      <w:r w:rsidRPr="007C0211">
        <w:t xml:space="preserve"> Moving </w:t>
      </w:r>
      <w:proofErr w:type="spellStart"/>
      <w:r w:rsidRPr="007C0211">
        <w:t>Average</w:t>
      </w:r>
      <w:proofErr w:type="spellEnd"/>
      <w:r w:rsidRPr="007C0211">
        <w:t xml:space="preserve">), ETS (Error, Trend, </w:t>
      </w:r>
      <w:proofErr w:type="spellStart"/>
      <w:r w:rsidRPr="007C0211">
        <w:t>Seasonality</w:t>
      </w:r>
      <w:proofErr w:type="spellEnd"/>
      <w:r w:rsidRPr="007C0211">
        <w:t>) e</w:t>
      </w:r>
      <w:r w:rsidR="00E12004">
        <w:t xml:space="preserve"> </w:t>
      </w:r>
      <w:r w:rsidR="00E12004" w:rsidRPr="007C0211">
        <w:t>DHR</w:t>
      </w:r>
      <w:r w:rsidRPr="007C0211">
        <w:t xml:space="preserve"> </w:t>
      </w:r>
      <w:r w:rsidR="00E12004">
        <w:t>(</w:t>
      </w:r>
      <w:r w:rsidRPr="007C0211">
        <w:t xml:space="preserve">Dynamic </w:t>
      </w:r>
      <w:proofErr w:type="spellStart"/>
      <w:r w:rsidRPr="007C0211">
        <w:t>Harmonic</w:t>
      </w:r>
      <w:proofErr w:type="spellEnd"/>
      <w:r w:rsidRPr="007C0211">
        <w:t xml:space="preserve"> </w:t>
      </w:r>
      <w:proofErr w:type="spellStart"/>
      <w:r w:rsidRPr="007C0211">
        <w:t>Regression</w:t>
      </w:r>
      <w:proofErr w:type="spellEnd"/>
      <w:r w:rsidR="00E12004">
        <w:t>)</w:t>
      </w:r>
      <w:r w:rsidRPr="007C0211">
        <w:t xml:space="preserve"> com termos de Fourier na previsão da carga diária de energia elétrica do subsistema Sudeste/Centro-Oeste do Sistema Interligado Nacional</w:t>
      </w:r>
      <w:r w:rsidR="00917D9D">
        <w:t xml:space="preserve"> (SIN)</w:t>
      </w:r>
      <w:r w:rsidRPr="007C0211">
        <w:t>. Foram utilizados dados públicos e agregados disponibilizados pelo Operador Nacional do Sistema Elétrico</w:t>
      </w:r>
      <w:r w:rsidR="00917D9D">
        <w:t xml:space="preserve"> (ONS</w:t>
      </w:r>
      <w:r w:rsidR="00B16BD9">
        <w:t>)</w:t>
      </w:r>
      <w:r w:rsidRPr="007C0211">
        <w:t xml:space="preserve">. Após análise exploratória, decomposição STL e testes de </w:t>
      </w:r>
      <w:proofErr w:type="spellStart"/>
      <w:r w:rsidRPr="007C0211">
        <w:t>estacionariedade</w:t>
      </w:r>
      <w:proofErr w:type="spellEnd"/>
      <w:r w:rsidRPr="007C0211">
        <w:t xml:space="preserve">, os modelos foram ajustados e avaliados por validação cruzada temporal do tipo </w:t>
      </w:r>
      <w:proofErr w:type="spellStart"/>
      <w:r w:rsidRPr="00B16BD9">
        <w:rPr>
          <w:i/>
          <w:iCs/>
        </w:rPr>
        <w:t>rolling</w:t>
      </w:r>
      <w:proofErr w:type="spellEnd"/>
      <w:r w:rsidRPr="00B16BD9">
        <w:rPr>
          <w:i/>
          <w:iCs/>
        </w:rPr>
        <w:t xml:space="preserve"> </w:t>
      </w:r>
      <w:proofErr w:type="spellStart"/>
      <w:r w:rsidRPr="00B16BD9">
        <w:rPr>
          <w:i/>
          <w:iCs/>
        </w:rPr>
        <w:t>forecast</w:t>
      </w:r>
      <w:proofErr w:type="spellEnd"/>
      <w:r w:rsidRPr="00B16BD9">
        <w:rPr>
          <w:i/>
          <w:iCs/>
        </w:rPr>
        <w:t xml:space="preserve"> origin</w:t>
      </w:r>
      <w:r w:rsidRPr="007C0211">
        <w:t xml:space="preserve">. O desempenho preditivo foi mensurado pelas métricas RMSE, MAE e MAPE, complementadas pelos testes de </w:t>
      </w:r>
      <w:proofErr w:type="spellStart"/>
      <w:r w:rsidRPr="007C0211">
        <w:t>Diebold</w:t>
      </w:r>
      <w:proofErr w:type="spellEnd"/>
      <w:r w:rsidRPr="007C0211">
        <w:t xml:space="preserve">-Mariano, com correção de Holm para comparações múltiplas, e de Friedman. O modelo SARIMA apresentou o menor erro médio nas três métricas, superando o ETS, o DHR-Fourier e o benchmark sazonal ingênuo. Entretanto, os testes estatísticos não indicaram diferenças significativas entre os três modelos principais, sugerindo vantagem numérica, mas não estatisticamente conclusiva, do SARIMA. Conclui-se que a dependência temporal de curto prazo e a sazonalidade semanal constituem os principais determinantes do comportamento da carga elétrica no subsistema estudado, recomendando-se o uso do SARIMA como modelo operacional preferencial, com </w:t>
      </w:r>
      <w:proofErr w:type="spellStart"/>
      <w:r w:rsidRPr="007C0211">
        <w:t>reestimação</w:t>
      </w:r>
      <w:proofErr w:type="spellEnd"/>
      <w:r w:rsidRPr="007C0211">
        <w:t xml:space="preserve"> periódica e incorporação futura de variáveis explicativas exógenas.</w:t>
      </w:r>
    </w:p>
    <w:p w14:paraId="4DB32CF9" w14:textId="472EA34D" w:rsidR="008622B8" w:rsidRPr="007C0211" w:rsidRDefault="4B694E47" w:rsidP="0040501A">
      <w:pPr>
        <w:spacing w:after="200"/>
        <w:jc w:val="both"/>
      </w:pPr>
      <w:r w:rsidRPr="007C0211">
        <w:rPr>
          <w:b/>
          <w:bCs/>
        </w:rPr>
        <w:t xml:space="preserve">Palavras-chave: </w:t>
      </w:r>
      <w:r w:rsidRPr="007C0211">
        <w:t xml:space="preserve">Séries temporais. Previsão de carga elétrica. SARIMA. ETS. </w:t>
      </w:r>
      <w:r w:rsidR="00B16BD9">
        <w:t>DHR</w:t>
      </w:r>
      <w:r w:rsidRPr="007C0211">
        <w:t>.</w:t>
      </w:r>
    </w:p>
    <w:p w14:paraId="0C4D7865" w14:textId="77777777" w:rsidR="008622B8" w:rsidRPr="007C0211" w:rsidRDefault="4B694E47">
      <w:pPr>
        <w:pStyle w:val="heading10"/>
      </w:pPr>
      <w:r w:rsidRPr="007C0211">
        <w:rPr>
          <w:caps/>
        </w:rPr>
        <w:t>1. Introdução</w:t>
      </w:r>
    </w:p>
    <w:p w14:paraId="51FC2FE5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 xml:space="preserve">A previsão da carga elétrica constitui uma das atividades mais relevantes para o planejamento e a operação dos sistemas elétricos de potência, subsidiando a programação da </w:t>
      </w:r>
      <w:r w:rsidRPr="007C0211">
        <w:lastRenderedPageBreak/>
        <w:t>geração, o gerenciamento dos recursos energéticos e a redução de custos associados ao despacho de energia. Segundo Hong e Fan (2016), a previsão de carga tem sido um problema fundamental para a indústria de energia elétrica desde sua origem, e a crescente competição de mercado, o envelhecimento da infraestrutura e a integração de fontes renováveis têm ampliado sua importância estratégica nas últimas décadas. No Brasil, essa atividade é conduzida institucionalmente pelo Operador Nacional do Sistema Elétrico (ONS), responsável pela coordenação e controle da operação do Sistema Interligado Nacional (SIN).</w:t>
      </w:r>
    </w:p>
    <w:p w14:paraId="167A197A" w14:textId="77777777" w:rsidR="008622B8" w:rsidRDefault="4B694E47">
      <w:pPr>
        <w:spacing w:after="200" w:line="360" w:lineRule="auto"/>
        <w:ind w:firstLine="708"/>
        <w:jc w:val="both"/>
      </w:pPr>
      <w:r w:rsidRPr="007C0211">
        <w:t>A carga elétrica diária apresenta comportamento tipicamente temporal, caracterizado por dependência serial, tendência de longo prazo e múltiplos padrões sazonais. Em séries diárias, é comum observar sazonalidade semanal, associada às diferenças de consumo entre dias úteis e finais de semana, e sazonalidade anual, relacionada a fatores climáticos, econômicos e comportamentais (TAYLOR, 2003). Dessa forma, a modelagem estatística dessa variável requer métodos capazes de representar adequadamente tais estruturas temporais, o que torna o tema pertinente ao campo de formação do Bacharelado em Estatística, por exigir a aplicação, a comparação e a avaliação crítica de métodos preditivos sobre dados reais.</w:t>
      </w:r>
    </w:p>
    <w:p w14:paraId="3B31694E" w14:textId="529BBD02" w:rsidR="00E22698" w:rsidRPr="007C0211" w:rsidRDefault="00E22698" w:rsidP="00E22698">
      <w:pPr>
        <w:pStyle w:val="heading20"/>
      </w:pPr>
      <w:r>
        <w:t>1.1 Tema e problema de pesquisa</w:t>
      </w:r>
    </w:p>
    <w:p w14:paraId="71163FA0" w14:textId="0E2E1719" w:rsidR="008622B8" w:rsidRDefault="4B694E47">
      <w:pPr>
        <w:spacing w:after="200" w:line="360" w:lineRule="auto"/>
        <w:ind w:firstLine="708"/>
        <w:jc w:val="both"/>
        <w:rPr>
          <w:b/>
          <w:bCs/>
        </w:rPr>
      </w:pPr>
      <w:r w:rsidRPr="007C0211">
        <w:t xml:space="preserve">O tema geral desta pesquisa é a </w:t>
      </w:r>
      <w:r w:rsidRPr="00E22698">
        <w:rPr>
          <w:b/>
          <w:bCs/>
        </w:rPr>
        <w:t>previsão estatística de demanda energética</w:t>
      </w:r>
      <w:r w:rsidRPr="007C0211">
        <w:t xml:space="preserve">, delimitada à comparação de modelos de séries temporais aplicados à carga diária de energia elétrica do subsistema Sudeste/Centro-Oeste, no período de 1º de janeiro de 2021 a 31 de dezembro de 2025. Diante desse contexto, formulou-se o seguinte problema de pesquisa: </w:t>
      </w:r>
      <w:r w:rsidRPr="00E22698">
        <w:rPr>
          <w:b/>
          <w:bCs/>
        </w:rPr>
        <w:t>qual modelo produz melhor desempenho preditivo para a carga diária de energia do subsistema Sudeste/Centro-Oeste — SARIMA, ETS ou DHR?</w:t>
      </w:r>
    </w:p>
    <w:p w14:paraId="3F89D5E0" w14:textId="621F6E4F" w:rsidR="00822849" w:rsidRPr="007C0211" w:rsidRDefault="00822849" w:rsidP="00822849">
      <w:pPr>
        <w:pStyle w:val="heading20"/>
      </w:pPr>
      <w:r>
        <w:t>1</w:t>
      </w:r>
      <w:r w:rsidRPr="007C0211">
        <w:t>.</w:t>
      </w:r>
      <w:r>
        <w:t>2</w:t>
      </w:r>
      <w:r w:rsidRPr="007C0211">
        <w:t xml:space="preserve"> </w:t>
      </w:r>
      <w:r>
        <w:t>Objetivo geral</w:t>
      </w:r>
    </w:p>
    <w:p w14:paraId="307DE125" w14:textId="77777777" w:rsidR="00A25BFF" w:rsidRDefault="4B694E47">
      <w:pPr>
        <w:spacing w:after="200" w:line="360" w:lineRule="auto"/>
        <w:ind w:firstLine="708"/>
        <w:jc w:val="both"/>
      </w:pPr>
      <w:r w:rsidRPr="007C0211">
        <w:t>Para respond</w:t>
      </w:r>
      <w:r w:rsidR="00822849">
        <w:t>er ao problema de pesquisa</w:t>
      </w:r>
      <w:r w:rsidRPr="007C0211">
        <w:t xml:space="preserve">, definiu-se como objetivo geral </w:t>
      </w:r>
      <w:r w:rsidRPr="00822849">
        <w:rPr>
          <w:b/>
          <w:bCs/>
        </w:rPr>
        <w:t>comparar o desempenho de modelos de séries temporais para a previsão da carga diária de energia elétrica</w:t>
      </w:r>
      <w:r w:rsidRPr="007C0211">
        <w:t>.</w:t>
      </w:r>
    </w:p>
    <w:p w14:paraId="68330FB2" w14:textId="1057645B" w:rsidR="00A25BFF" w:rsidRPr="007C0211" w:rsidRDefault="00A25BFF" w:rsidP="00A25BFF">
      <w:pPr>
        <w:pStyle w:val="heading20"/>
      </w:pPr>
      <w:r>
        <w:lastRenderedPageBreak/>
        <w:t>1.3</w:t>
      </w:r>
      <w:r w:rsidRPr="007C0211">
        <w:t xml:space="preserve"> </w:t>
      </w:r>
      <w:r>
        <w:t>Objetivos específicos</w:t>
      </w:r>
    </w:p>
    <w:p w14:paraId="3BAEDB3B" w14:textId="77777777" w:rsidR="00A25BFF" w:rsidRDefault="4B694E47">
      <w:pPr>
        <w:spacing w:after="200" w:line="360" w:lineRule="auto"/>
        <w:ind w:firstLine="708"/>
        <w:jc w:val="both"/>
      </w:pPr>
      <w:r w:rsidRPr="007C0211">
        <w:t xml:space="preserve"> </w:t>
      </w:r>
      <w:r w:rsidR="00A25BFF">
        <w:t>Definiu-se c</w:t>
      </w:r>
      <w:r w:rsidRPr="007C0211">
        <w:t>omo objetivos específicos</w:t>
      </w:r>
      <w:r w:rsidR="00A25BFF">
        <w:t>:</w:t>
      </w:r>
    </w:p>
    <w:p w14:paraId="57203191" w14:textId="77777777" w:rsidR="00A25BFF" w:rsidRDefault="4B694E47" w:rsidP="00E3372E">
      <w:pPr>
        <w:pStyle w:val="ListParagraph"/>
        <w:numPr>
          <w:ilvl w:val="0"/>
          <w:numId w:val="2"/>
        </w:numPr>
        <w:spacing w:line="360" w:lineRule="auto"/>
        <w:ind w:left="1066" w:hanging="357"/>
        <w:jc w:val="both"/>
      </w:pPr>
      <w:r w:rsidRPr="007C0211">
        <w:t xml:space="preserve">verificar se modelos que incorporam tendência e sazonalidade apresentam melhor desempenho preditivo; </w:t>
      </w:r>
    </w:p>
    <w:p w14:paraId="7AA48D0D" w14:textId="77777777" w:rsidR="00A25BFF" w:rsidRDefault="4B694E47" w:rsidP="00E3372E">
      <w:pPr>
        <w:pStyle w:val="ListParagraph"/>
        <w:numPr>
          <w:ilvl w:val="0"/>
          <w:numId w:val="2"/>
        </w:numPr>
        <w:spacing w:line="360" w:lineRule="auto"/>
        <w:ind w:left="1066" w:hanging="357"/>
        <w:jc w:val="both"/>
      </w:pPr>
      <w:r w:rsidRPr="007C0211">
        <w:t xml:space="preserve">identificar qual modelo produz o menor erro preditivo, utilizando como métricas o RMSE (Root </w:t>
      </w:r>
      <w:proofErr w:type="spellStart"/>
      <w:r w:rsidRPr="007C0211">
        <w:t>Mean</w:t>
      </w:r>
      <w:proofErr w:type="spellEnd"/>
      <w:r w:rsidRPr="007C0211">
        <w:t xml:space="preserve"> </w:t>
      </w:r>
      <w:proofErr w:type="spellStart"/>
      <w:r w:rsidRPr="007C0211">
        <w:t>Squared</w:t>
      </w:r>
      <w:proofErr w:type="spellEnd"/>
      <w:r w:rsidRPr="007C0211">
        <w:t xml:space="preserve"> Error), o MAE (</w:t>
      </w:r>
      <w:proofErr w:type="spellStart"/>
      <w:r w:rsidRPr="007C0211">
        <w:t>Mean</w:t>
      </w:r>
      <w:proofErr w:type="spellEnd"/>
      <w:r w:rsidRPr="007C0211">
        <w:t xml:space="preserve"> Absolute Error) e o MAPE (</w:t>
      </w:r>
      <w:proofErr w:type="spellStart"/>
      <w:r w:rsidRPr="007C0211">
        <w:t>Mean</w:t>
      </w:r>
      <w:proofErr w:type="spellEnd"/>
      <w:r w:rsidRPr="007C0211">
        <w:t xml:space="preserve"> Absolute </w:t>
      </w:r>
      <w:proofErr w:type="spellStart"/>
      <w:r w:rsidRPr="007C0211">
        <w:t>Percentage</w:t>
      </w:r>
      <w:proofErr w:type="spellEnd"/>
      <w:r w:rsidRPr="007C0211">
        <w:t xml:space="preserve"> Error); </w:t>
      </w:r>
    </w:p>
    <w:p w14:paraId="4D9DB013" w14:textId="77777777" w:rsidR="00A25BFF" w:rsidRDefault="4B694E47" w:rsidP="00E3372E">
      <w:pPr>
        <w:pStyle w:val="ListParagraph"/>
        <w:numPr>
          <w:ilvl w:val="0"/>
          <w:numId w:val="2"/>
        </w:numPr>
        <w:spacing w:line="360" w:lineRule="auto"/>
        <w:ind w:left="1066" w:hanging="357"/>
        <w:jc w:val="both"/>
      </w:pPr>
      <w:r w:rsidRPr="007C0211">
        <w:t xml:space="preserve">verificar se há diferenças estatisticamente significativas no desempenho preditivo dos modelos; e </w:t>
      </w:r>
    </w:p>
    <w:p w14:paraId="279D0C8E" w14:textId="4A0C4D4B" w:rsidR="008622B8" w:rsidRPr="007C0211" w:rsidRDefault="4B694E47" w:rsidP="00E3372E">
      <w:pPr>
        <w:pStyle w:val="ListParagraph"/>
        <w:numPr>
          <w:ilvl w:val="0"/>
          <w:numId w:val="2"/>
        </w:numPr>
        <w:spacing w:line="360" w:lineRule="auto"/>
        <w:ind w:left="1066" w:hanging="357"/>
        <w:jc w:val="both"/>
      </w:pPr>
      <w:r w:rsidRPr="007C0211">
        <w:t>elaborar recomendações técnicas para a previsão da carga diária de energia no subsistema estudado.</w:t>
      </w:r>
    </w:p>
    <w:p w14:paraId="59EAF6D0" w14:textId="357AD52C" w:rsidR="00E30A56" w:rsidRPr="007C0211" w:rsidRDefault="00E30A56" w:rsidP="00E30A56">
      <w:pPr>
        <w:pStyle w:val="heading20"/>
      </w:pPr>
      <w:r>
        <w:t>1.4</w:t>
      </w:r>
      <w:r w:rsidRPr="007C0211">
        <w:t xml:space="preserve"> </w:t>
      </w:r>
      <w:r w:rsidR="0051675B">
        <w:t>Hipóteses científica e estatísticas</w:t>
      </w:r>
    </w:p>
    <w:p w14:paraId="590EE373" w14:textId="77777777" w:rsidR="00E30A56" w:rsidRDefault="4B694E47">
      <w:pPr>
        <w:spacing w:after="200" w:line="360" w:lineRule="auto"/>
        <w:ind w:firstLine="708"/>
        <w:jc w:val="both"/>
      </w:pPr>
      <w:r w:rsidRPr="007C0211">
        <w:t xml:space="preserve">A hipótese científica que orientou o estudo é a de que </w:t>
      </w:r>
      <w:r w:rsidRPr="00E30A56">
        <w:rPr>
          <w:b/>
          <w:bCs/>
        </w:rPr>
        <w:t>modelos capazes de incorporar adequadamente tendência e sazonalidade apresentam melhor desempenho preditivo para a carga diária de energia</w:t>
      </w:r>
      <w:r w:rsidRPr="007C0211">
        <w:t xml:space="preserve">. </w:t>
      </w:r>
    </w:p>
    <w:p w14:paraId="221428D2" w14:textId="329D5692" w:rsidR="008622B8" w:rsidRDefault="4B694E47">
      <w:pPr>
        <w:spacing w:after="200" w:line="360" w:lineRule="auto"/>
        <w:ind w:firstLine="708"/>
        <w:jc w:val="both"/>
      </w:pPr>
      <w:r w:rsidRPr="007C0211">
        <w:t>Em termos estatísticos, testaram-se as hipóteses H</w:t>
      </w:r>
      <w:r w:rsidRPr="007C0211">
        <w:rPr>
          <w:vertAlign w:val="subscript"/>
        </w:rPr>
        <w:t>0</w:t>
      </w:r>
      <w:r w:rsidRPr="007C0211">
        <w:t xml:space="preserve"> — não existem diferenças estatisticamente significativas no desempenho preditivo dos modelos — e H</w:t>
      </w:r>
      <w:r w:rsidRPr="007C0211">
        <w:rPr>
          <w:vertAlign w:val="subscript"/>
        </w:rPr>
        <w:t>1</w:t>
      </w:r>
      <w:r w:rsidRPr="007C0211">
        <w:t xml:space="preserve"> — pelo menos um modelo apresenta desempenho preditivo estatisticamente diferente dos demais —, adotando-se nível de significância </w:t>
      </w:r>
      <w:r w:rsidRPr="007C0211">
        <w:rPr>
          <w:i/>
          <w:iCs/>
        </w:rPr>
        <w:t>α</w:t>
      </w:r>
      <w:r w:rsidRPr="007C0211">
        <w:t xml:space="preserve"> = 0,05.</w:t>
      </w:r>
    </w:p>
    <w:p w14:paraId="76F4E4C4" w14:textId="452340BE" w:rsidR="0051675B" w:rsidRPr="007C0211" w:rsidRDefault="0051675B" w:rsidP="0051675B">
      <w:pPr>
        <w:pStyle w:val="heading20"/>
      </w:pPr>
      <w:r>
        <w:t>1.5</w:t>
      </w:r>
      <w:r w:rsidRPr="007C0211">
        <w:t xml:space="preserve"> </w:t>
      </w:r>
      <w:r>
        <w:t>Escolha dos modelos</w:t>
      </w:r>
    </w:p>
    <w:p w14:paraId="6E12890F" w14:textId="77777777" w:rsidR="008622B8" w:rsidRDefault="4B694E47">
      <w:pPr>
        <w:spacing w:after="200" w:line="360" w:lineRule="auto"/>
        <w:ind w:firstLine="708"/>
        <w:jc w:val="both"/>
      </w:pPr>
      <w:r w:rsidRPr="007C0211">
        <w:t xml:space="preserve">A escolha dos três modelos comparados não foi arbitrária: cada um representa um paradigma distinto de modelagem estatística de séries temporais amplamente empregado na literatura de </w:t>
      </w:r>
      <w:proofErr w:type="spellStart"/>
      <w:r w:rsidRPr="0051675B">
        <w:rPr>
          <w:i/>
          <w:iCs/>
        </w:rPr>
        <w:t>forecasting</w:t>
      </w:r>
      <w:proofErr w:type="spellEnd"/>
      <w:r w:rsidRPr="007C0211">
        <w:t xml:space="preserve"> (HYNDMAN; ATHANASOPOULOS, 2021). O SARIMA enfatiza a estrutura de autocorrelação temporal; o ETS decompõe a série em componentes estruturais de nível, tendência e sazonalidade; e o DHR representa ciclos periódicos por meio de funções trigonométricas de Fourier, sendo particularmente indicado para sazonalidades longas </w:t>
      </w:r>
      <w:r w:rsidRPr="007C0211">
        <w:lastRenderedPageBreak/>
        <w:t>(HYNDMAN; ATHANASOPOULOS, 2021; TAYLOR, 2003). A comparação entre esses paradigmas permite não apenas identificar o modelo de menor erro, mas também inferir qual característica da carga elétrica — dependência temporal, estrutura de tendência-sazonalidade ou ciclos harmônicos — exerce maior influência sobre sua previsibilidade, conferindo à pesquisa relevância estatística e prática para o planejamento energético do subsistema Sudeste/Centro-Oeste, responsável pela maior parcela da carga do SIN.</w:t>
      </w:r>
    </w:p>
    <w:p w14:paraId="485E556B" w14:textId="093244AE" w:rsidR="00791EE4" w:rsidRDefault="00791EE4" w:rsidP="00952253">
      <w:pPr>
        <w:spacing w:after="200" w:line="360" w:lineRule="auto"/>
        <w:ind w:firstLine="708"/>
        <w:jc w:val="both"/>
      </w:pPr>
      <w:r>
        <w:t xml:space="preserve">Além dos modelos estatísticos clássicos de séries temporais objetos desse estudo, modelos de inteligência artificial e </w:t>
      </w:r>
      <w:r w:rsidRPr="00791EE4">
        <w:rPr>
          <w:i/>
          <w:iCs/>
        </w:rPr>
        <w:t>machine</w:t>
      </w:r>
      <w:r>
        <w:t xml:space="preserve"> </w:t>
      </w:r>
      <w:r w:rsidRPr="00791EE4">
        <w:rPr>
          <w:i/>
          <w:iCs/>
        </w:rPr>
        <w:t>learning</w:t>
      </w:r>
      <w:r>
        <w:t xml:space="preserve">, como </w:t>
      </w:r>
      <w:proofErr w:type="spellStart"/>
      <w:r w:rsidRPr="00791EE4">
        <w:t>LightGBM</w:t>
      </w:r>
      <w:proofErr w:type="spellEnd"/>
      <w:r w:rsidRPr="00791EE4">
        <w:t xml:space="preserve"> e as </w:t>
      </w:r>
      <w:r w:rsidR="00952253">
        <w:t>r</w:t>
      </w:r>
      <w:r w:rsidRPr="00791EE4">
        <w:t xml:space="preserve">edes </w:t>
      </w:r>
      <w:r w:rsidR="00952253">
        <w:t>n</w:t>
      </w:r>
      <w:r w:rsidRPr="00791EE4">
        <w:t>eurais (como LSTM)</w:t>
      </w:r>
      <w:r>
        <w:t>,</w:t>
      </w:r>
      <w:r w:rsidRPr="00791EE4">
        <w:t xml:space="preserve"> </w:t>
      </w:r>
      <w:r w:rsidR="00952253">
        <w:t xml:space="preserve">também se </w:t>
      </w:r>
      <w:r w:rsidRPr="00791EE4">
        <w:t>destacam atualmente na previsão de carga diária e horária de energia elétrica</w:t>
      </w:r>
      <w:r>
        <w:t xml:space="preserve">, porém são modelos que exigem </w:t>
      </w:r>
      <w:r w:rsidR="00952253">
        <w:t xml:space="preserve">maior custo computacional, com mais dados e mais </w:t>
      </w:r>
      <w:proofErr w:type="spellStart"/>
      <w:r w:rsidR="00952253">
        <w:t>hiperparâmetros</w:t>
      </w:r>
      <w:proofErr w:type="spellEnd"/>
      <w:r w:rsidR="00952253">
        <w:t>. Ademais</w:t>
      </w:r>
      <w:r w:rsidR="00952253" w:rsidRPr="00952253">
        <w:t>, para séries de aproximadamente cinco anos de observações diárias, modelos clássicos frequentemente competem ou superam redes neurais. Isso é amplamente observado na literatura de previsão</w:t>
      </w:r>
      <w:r w:rsidR="00952253">
        <w:t xml:space="preserve"> </w:t>
      </w:r>
      <w:r w:rsidR="00952253" w:rsidRPr="00952253">
        <w:t>(MAKRIDAKIS; SPILIOTIS; ASSIMAKOPOULOS, 2020).</w:t>
      </w:r>
    </w:p>
    <w:p w14:paraId="4BE52E3A" w14:textId="410CFE51" w:rsidR="0051675B" w:rsidRPr="007C0211" w:rsidRDefault="0051675B" w:rsidP="0051675B">
      <w:pPr>
        <w:pStyle w:val="heading20"/>
      </w:pPr>
      <w:r>
        <w:t>1.6</w:t>
      </w:r>
      <w:r w:rsidRPr="007C0211">
        <w:t xml:space="preserve"> </w:t>
      </w:r>
      <w:r>
        <w:t>Adoção da metodologia</w:t>
      </w:r>
    </w:p>
    <w:p w14:paraId="3DF52335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>Do ponto de vista metodológico, a pesquisa caracteriza-se como quantitativa e aplicada, fundamentada exclusivamente em dados secundários, públicos e agregados, disponibilizados pelo ONS em seu Portal de Dados Abertos, em conformidade com os critérios éticos e metodológicos estabelecidos no Manual de TCC do Bacharelado em Estatística, que veda a utilização de dados pessoais, identificáveis ou de acesso restrito e não exige, portanto, submissão a Comitê de Ética em Pesquisa.</w:t>
      </w:r>
    </w:p>
    <w:p w14:paraId="34B283F7" w14:textId="77777777" w:rsidR="008622B8" w:rsidRPr="007C0211" w:rsidRDefault="4B694E47">
      <w:pPr>
        <w:pStyle w:val="heading10"/>
      </w:pPr>
      <w:r w:rsidRPr="007C0211">
        <w:rPr>
          <w:caps/>
        </w:rPr>
        <w:t>2. Referencial teórico</w:t>
      </w:r>
    </w:p>
    <w:p w14:paraId="6B57073C" w14:textId="77777777" w:rsidR="008622B8" w:rsidRPr="007C0211" w:rsidRDefault="4B694E47">
      <w:pPr>
        <w:pStyle w:val="heading20"/>
      </w:pPr>
      <w:r w:rsidRPr="007C0211">
        <w:t>2.1 Previsão de carga elétrica em sistemas de potência</w:t>
      </w:r>
    </w:p>
    <w:p w14:paraId="2FE7E222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 xml:space="preserve">A previsão de carga elétrica é tradicionalmente classificada, quanto ao horizonte temporal, em previsão de curtíssimo prazo (minutos a horas), curto prazo (um dia a duas semanas), médio prazo (meses) e longo prazo (anos), sendo a previsão diária — objeto deste </w:t>
      </w:r>
      <w:r w:rsidRPr="007C0211">
        <w:lastRenderedPageBreak/>
        <w:t>estudo — essencial para a programação da operação e para a definição de reservas operativas (HONG; FAN, 2016). Taylor (2003) destaca que séries de demanda elétrica registradas em alta frequência apresentam mais de um padrão sazonal simultâneo: um ciclo intradiário, evidenciado pela semelhança do perfil de consumo de um dia para o outro, e um ciclo semanal, evidenciado pela comparação entre dias correspondentes de semanas adjacentes. Essa característica torna a série de carga elétrica um caso de aplicação particularmente relevante para o estudo comparado de métodos de séries temporais.</w:t>
      </w:r>
    </w:p>
    <w:p w14:paraId="35CD66FC" w14:textId="77777777" w:rsidR="008622B8" w:rsidRPr="007C0211" w:rsidRDefault="4B694E47">
      <w:pPr>
        <w:pStyle w:val="heading20"/>
      </w:pPr>
      <w:r w:rsidRPr="007C0211">
        <w:t>2.2 Séries temporais: conceitos fundamentais e decomposição</w:t>
      </w:r>
    </w:p>
    <w:p w14:paraId="4FEDD637" w14:textId="6969113D" w:rsidR="008622B8" w:rsidRPr="007C0211" w:rsidRDefault="4B694E47">
      <w:pPr>
        <w:spacing w:after="200" w:line="360" w:lineRule="auto"/>
        <w:ind w:firstLine="708"/>
        <w:jc w:val="both"/>
      </w:pPr>
      <w:r w:rsidRPr="007C0211">
        <w:t xml:space="preserve">Uma série temporal pode ser definida como uma sequência de observações </w:t>
      </w:r>
      <w:proofErr w:type="spellStart"/>
      <w:r w:rsidRPr="007C0211">
        <w:t>Y</w:t>
      </w:r>
      <w:r w:rsidRPr="007C0211">
        <w:rPr>
          <w:vertAlign w:val="subscript"/>
        </w:rPr>
        <w:t>t</w:t>
      </w:r>
      <w:proofErr w:type="spellEnd"/>
      <w:r w:rsidRPr="007C0211">
        <w:t xml:space="preserve"> ordenadas cronologicamente, em que cada observação depende, em maior ou menor grau, das observações anteriores. Tradicionalmente, decompõe-se uma série temporal em quatro componentes: tendência (</w:t>
      </w:r>
      <w:proofErr w:type="spellStart"/>
      <w:r w:rsidRPr="007C0211">
        <w:t>T</w:t>
      </w:r>
      <w:r w:rsidRPr="007C0211">
        <w:rPr>
          <w:vertAlign w:val="subscript"/>
        </w:rPr>
        <w:t>t</w:t>
      </w:r>
      <w:proofErr w:type="spellEnd"/>
      <w:r w:rsidRPr="007C0211">
        <w:t>), sazonalidade (</w:t>
      </w:r>
      <w:proofErr w:type="spellStart"/>
      <w:r w:rsidRPr="007C0211">
        <w:t>S</w:t>
      </w:r>
      <w:r w:rsidRPr="007C0211">
        <w:rPr>
          <w:vertAlign w:val="subscript"/>
        </w:rPr>
        <w:t>t</w:t>
      </w:r>
      <w:proofErr w:type="spellEnd"/>
      <w:r w:rsidRPr="007C0211">
        <w:t>), ciclo de longo prazo (</w:t>
      </w:r>
      <w:proofErr w:type="spellStart"/>
      <w:r w:rsidRPr="007C0211">
        <w:t>C</w:t>
      </w:r>
      <w:r w:rsidRPr="007C0211">
        <w:rPr>
          <w:vertAlign w:val="subscript"/>
        </w:rPr>
        <w:t>t</w:t>
      </w:r>
      <w:proofErr w:type="spellEnd"/>
      <w:r w:rsidRPr="007C0211">
        <w:t>) e erro aleatório (</w:t>
      </w:r>
      <w:proofErr w:type="spellStart"/>
      <w:r w:rsidR="00D113B2" w:rsidRPr="00D113B2">
        <w:t>ε</w:t>
      </w:r>
      <w:r w:rsidR="00D113B2" w:rsidRPr="00D113B2">
        <w:rPr>
          <w:vertAlign w:val="subscript"/>
        </w:rPr>
        <w:t>t</w:t>
      </w:r>
      <w:proofErr w:type="spellEnd"/>
      <w:r w:rsidRPr="007C0211">
        <w:t xml:space="preserve">), de modo que </w:t>
      </w:r>
      <w:proofErr w:type="spellStart"/>
      <w:r w:rsidRPr="007C0211">
        <w:t>Y</w:t>
      </w:r>
      <w:r w:rsidRPr="007C0211">
        <w:rPr>
          <w:vertAlign w:val="subscript"/>
        </w:rPr>
        <w:t>t</w:t>
      </w:r>
      <w:proofErr w:type="spellEnd"/>
      <w:r w:rsidRPr="007C0211">
        <w:t xml:space="preserve"> = </w:t>
      </w:r>
      <w:proofErr w:type="spellStart"/>
      <w:r w:rsidRPr="007C0211">
        <w:t>T</w:t>
      </w:r>
      <w:r w:rsidRPr="007C0211">
        <w:rPr>
          <w:vertAlign w:val="subscript"/>
        </w:rPr>
        <w:t>t</w:t>
      </w:r>
      <w:proofErr w:type="spellEnd"/>
      <w:r w:rsidRPr="007C0211">
        <w:t xml:space="preserve"> + </w:t>
      </w:r>
      <w:proofErr w:type="spellStart"/>
      <w:r w:rsidRPr="007C0211">
        <w:t>S</w:t>
      </w:r>
      <w:r w:rsidRPr="007C0211">
        <w:rPr>
          <w:vertAlign w:val="subscript"/>
        </w:rPr>
        <w:t>t</w:t>
      </w:r>
      <w:proofErr w:type="spellEnd"/>
      <w:r w:rsidRPr="007C0211">
        <w:t xml:space="preserve"> + </w:t>
      </w:r>
      <w:proofErr w:type="spellStart"/>
      <w:r w:rsidRPr="007C0211">
        <w:t>C</w:t>
      </w:r>
      <w:r w:rsidRPr="007C0211">
        <w:rPr>
          <w:vertAlign w:val="subscript"/>
        </w:rPr>
        <w:t>t</w:t>
      </w:r>
      <w:proofErr w:type="spellEnd"/>
      <w:r w:rsidRPr="007C0211">
        <w:t xml:space="preserve"> + </w:t>
      </w:r>
      <w:proofErr w:type="spellStart"/>
      <w:r w:rsidR="00D113B2" w:rsidRPr="00D113B2">
        <w:t>ε</w:t>
      </w:r>
      <w:r w:rsidR="00D113B2" w:rsidRPr="00D113B2">
        <w:rPr>
          <w:vertAlign w:val="subscript"/>
        </w:rPr>
        <w:t>t</w:t>
      </w:r>
      <w:proofErr w:type="spellEnd"/>
      <w:r w:rsidRPr="007C0211">
        <w:t>. No caso da carga elétrica, a tendência reflete o crescimento ou a redução gradual do consumo ao longo dos anos — associada a fatores como crescimento populacional e expansão do consumo residencial e industrial —, enquanto a sazonalidade capta padrões recorrentes, como as diferenças entre dias úteis e finais de semana.</w:t>
      </w:r>
    </w:p>
    <w:p w14:paraId="7B4021C2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>Um dos métodos mais utilizados para a decomposição empírica de séries temporais é o STL (</w:t>
      </w:r>
      <w:proofErr w:type="spellStart"/>
      <w:r w:rsidRPr="007C0211">
        <w:t>Seasonal</w:t>
      </w:r>
      <w:proofErr w:type="spellEnd"/>
      <w:r w:rsidRPr="007C0211">
        <w:t xml:space="preserve"> </w:t>
      </w:r>
      <w:proofErr w:type="spellStart"/>
      <w:r w:rsidRPr="007C0211">
        <w:t>and</w:t>
      </w:r>
      <w:proofErr w:type="spellEnd"/>
      <w:r w:rsidRPr="007C0211">
        <w:t xml:space="preserve"> Trend </w:t>
      </w:r>
      <w:proofErr w:type="spellStart"/>
      <w:r w:rsidRPr="007C0211">
        <w:t>decomposition</w:t>
      </w:r>
      <w:proofErr w:type="spellEnd"/>
      <w:r w:rsidRPr="007C0211">
        <w:t xml:space="preserve"> </w:t>
      </w:r>
      <w:proofErr w:type="spellStart"/>
      <w:r w:rsidRPr="007C0211">
        <w:t>using</w:t>
      </w:r>
      <w:proofErr w:type="spellEnd"/>
      <w:r w:rsidRPr="007C0211">
        <w:t xml:space="preserve"> </w:t>
      </w:r>
      <w:proofErr w:type="spellStart"/>
      <w:r w:rsidRPr="007C0211">
        <w:t>Loess</w:t>
      </w:r>
      <w:proofErr w:type="spellEnd"/>
      <w:r w:rsidRPr="007C0211">
        <w:t xml:space="preserve">), desenvolvido por Cleveland et al. (1990). Trata-se de um procedimento de filtragem baseado em sucessivas aplicações do suavizador </w:t>
      </w:r>
      <w:proofErr w:type="spellStart"/>
      <w:r w:rsidRPr="007C0211">
        <w:t>loess</w:t>
      </w:r>
      <w:proofErr w:type="spellEnd"/>
      <w:r w:rsidRPr="007C0211">
        <w:t>, capaz de lidar com qualquer periodicidade sazonal — e não apenas dados mensais ou trimestrais —, permitindo que o componente sazonal varie ao longo do tempo e oferecendo robustez a valores atípicos (CLEVELAND et al., 1990; HYNDMAN; ATHANASOPOULOS, 2021). Por essas características, o STL foi adotado neste estudo como etapa exploratória para a identificação visual da tendência e da sazonalidade semanal da série de carga elétrica, previamente ao ajuste dos modelos preditivos.</w:t>
      </w:r>
    </w:p>
    <w:p w14:paraId="67D5214F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 xml:space="preserve">A adequada especificação de modelos de séries temporais depende também da verificação da </w:t>
      </w:r>
      <w:proofErr w:type="spellStart"/>
      <w:r w:rsidRPr="007C0211">
        <w:t>estacionariedade</w:t>
      </w:r>
      <w:proofErr w:type="spellEnd"/>
      <w:r w:rsidRPr="007C0211">
        <w:t xml:space="preserve"> da série, ou seja, da estabilidade de suas propriedades </w:t>
      </w:r>
      <w:r w:rsidRPr="007C0211">
        <w:lastRenderedPageBreak/>
        <w:t xml:space="preserve">estatísticas (média e variância) ao longo do tempo. Dois testes complementares são amplamente utilizados para esse fim. O teste de </w:t>
      </w:r>
      <w:proofErr w:type="spellStart"/>
      <w:r w:rsidRPr="007C0211">
        <w:t>Dickey</w:t>
      </w:r>
      <w:proofErr w:type="spellEnd"/>
      <w:r w:rsidRPr="007C0211">
        <w:t xml:space="preserve">-Fuller Aumentado (ADF), proposto por </w:t>
      </w:r>
      <w:proofErr w:type="spellStart"/>
      <w:r w:rsidRPr="007C0211">
        <w:t>Dickey</w:t>
      </w:r>
      <w:proofErr w:type="spellEnd"/>
      <w:r w:rsidRPr="007C0211">
        <w:t xml:space="preserve"> e Fuller (1979), tem como hipótese nula a existência de raiz unitária (não </w:t>
      </w:r>
      <w:proofErr w:type="spellStart"/>
      <w:r w:rsidRPr="007C0211">
        <w:t>estacionariedade</w:t>
      </w:r>
      <w:proofErr w:type="spellEnd"/>
      <w:r w:rsidRPr="007C0211">
        <w:t xml:space="preserve">), e sua rejeição indica evidência de </w:t>
      </w:r>
      <w:proofErr w:type="spellStart"/>
      <w:r w:rsidRPr="007C0211">
        <w:t>estacionariedade</w:t>
      </w:r>
      <w:proofErr w:type="spellEnd"/>
      <w:r w:rsidRPr="007C0211">
        <w:t xml:space="preserve">. Já o teste KPSS, desenvolvido por </w:t>
      </w:r>
      <w:proofErr w:type="spellStart"/>
      <w:r w:rsidRPr="007C0211">
        <w:t>Kwiatkowski</w:t>
      </w:r>
      <w:proofErr w:type="spellEnd"/>
      <w:r w:rsidRPr="007C0211">
        <w:t xml:space="preserve"> et al. (1992), inverte essa lógica: sua hipótese nula é a de que a série é estacionária em torno de uma tendência determinística, de modo que sua rejeição constitui evidência de não </w:t>
      </w:r>
      <w:proofErr w:type="spellStart"/>
      <w:r w:rsidRPr="007C0211">
        <w:t>estacionariedade</w:t>
      </w:r>
      <w:proofErr w:type="spellEnd"/>
      <w:r w:rsidRPr="007C0211">
        <w:t>. A utilização conjunta de ambos os testes permite identificar situações em que os resultados são conflitantes, o que é compatível com séries que apresentam sazonalidade intensa ou mudanças estruturais de nível, não plenamente representadas por um processo de raiz unitária simples nem por uma tendência puramente determinística.</w:t>
      </w:r>
    </w:p>
    <w:p w14:paraId="2498013E" w14:textId="77777777" w:rsidR="008622B8" w:rsidRPr="007C0211" w:rsidRDefault="4B694E47">
      <w:pPr>
        <w:pStyle w:val="heading20"/>
      </w:pPr>
      <w:r w:rsidRPr="007C0211">
        <w:t>2.3 Modelos ARIMA e SARIMA</w:t>
      </w:r>
    </w:p>
    <w:p w14:paraId="050DEC6F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>Os modelos ARIMA (</w:t>
      </w:r>
      <w:proofErr w:type="spellStart"/>
      <w:r w:rsidRPr="007C0211">
        <w:t>AutoRegressive</w:t>
      </w:r>
      <w:proofErr w:type="spellEnd"/>
      <w:r w:rsidRPr="007C0211">
        <w:t xml:space="preserve"> </w:t>
      </w:r>
      <w:proofErr w:type="spellStart"/>
      <w:r w:rsidRPr="007C0211">
        <w:t>Integrated</w:t>
      </w:r>
      <w:proofErr w:type="spellEnd"/>
      <w:r w:rsidRPr="007C0211">
        <w:t xml:space="preserve"> Moving </w:t>
      </w:r>
      <w:proofErr w:type="spellStart"/>
      <w:r w:rsidRPr="007C0211">
        <w:t>Average</w:t>
      </w:r>
      <w:proofErr w:type="spellEnd"/>
      <w:r w:rsidRPr="007C0211">
        <w:t>), formalizados por Box et al. (2015), constituem uma das abordagens mais tradicionais e consolidadas para a modelagem de séries temporais, assumindo que o comportamento futuro de uma variável pode ser explicado por seus próprios valores passados e pelos erros de previsão observados anteriormente. Um modelo ARIMA(</w:t>
      </w:r>
      <w:proofErr w:type="spellStart"/>
      <w:proofErr w:type="gramStart"/>
      <w:r w:rsidRPr="007C0211">
        <w:t>p,d</w:t>
      </w:r>
      <w:proofErr w:type="gramEnd"/>
      <w:r w:rsidRPr="007C0211">
        <w:t>,q</w:t>
      </w:r>
      <w:proofErr w:type="spellEnd"/>
      <w:r w:rsidRPr="007C0211">
        <w:t>) é composto por um componente autorregressivo (AR), de ordem p, um componente de diferenciação (I), de ordem d, responsável por tornar a série estacionária, e um componente de médias móveis (MA), de ordem q. Sua formulação geral pode ser expressa por:</w:t>
      </w:r>
    </w:p>
    <w:p w14:paraId="3756F9FE" w14:textId="77777777" w:rsidR="008622B8" w:rsidRPr="007C0211" w:rsidRDefault="4B694E47">
      <w:pPr>
        <w:spacing w:after="120"/>
        <w:jc w:val="center"/>
      </w:pPr>
      <w:r w:rsidRPr="007C0211">
        <w:rPr>
          <w:i/>
          <w:iCs/>
        </w:rPr>
        <w:t>φ(B</w:t>
      </w:r>
      <w:proofErr w:type="gramStart"/>
      <w:r w:rsidRPr="007C0211">
        <w:rPr>
          <w:i/>
          <w:iCs/>
        </w:rPr>
        <w:t>)(</w:t>
      </w:r>
      <w:proofErr w:type="gramEnd"/>
      <w:r w:rsidRPr="007C0211">
        <w:rPr>
          <w:i/>
          <w:iCs/>
        </w:rPr>
        <w:t xml:space="preserve">1 − </w:t>
      </w:r>
      <w:proofErr w:type="gramStart"/>
      <w:r w:rsidRPr="007C0211">
        <w:rPr>
          <w:i/>
          <w:iCs/>
        </w:rPr>
        <w:t>B)</w:t>
      </w:r>
      <w:r w:rsidRPr="007C0211">
        <w:rPr>
          <w:i/>
          <w:iCs/>
          <w:vertAlign w:val="superscript"/>
        </w:rPr>
        <w:t>d</w:t>
      </w:r>
      <w:proofErr w:type="gramEnd"/>
      <w:r w:rsidRPr="007C0211">
        <w:t xml:space="preserve"> </w:t>
      </w:r>
      <w:proofErr w:type="spellStart"/>
      <w:r w:rsidRPr="007C0211">
        <w:t>Y</w:t>
      </w:r>
      <w:r w:rsidRPr="007C0211">
        <w:rPr>
          <w:vertAlign w:val="subscript"/>
        </w:rPr>
        <w:t>t</w:t>
      </w:r>
      <w:proofErr w:type="spellEnd"/>
      <w:r w:rsidRPr="007C0211">
        <w:t xml:space="preserve"> = θ(B) </w:t>
      </w:r>
      <w:proofErr w:type="spellStart"/>
      <w:r w:rsidRPr="007C0211">
        <w:t>ε</w:t>
      </w:r>
      <w:r w:rsidRPr="007C0211">
        <w:rPr>
          <w:vertAlign w:val="subscript"/>
        </w:rPr>
        <w:t>t</w:t>
      </w:r>
      <w:proofErr w:type="spellEnd"/>
    </w:p>
    <w:p w14:paraId="7FDA9E9F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 xml:space="preserve">em que B é o operador defasagem, φ(B) representa o polinômio autorregressivo, θ(B) o polinômio de médias móveis e </w:t>
      </w:r>
      <w:proofErr w:type="spellStart"/>
      <w:r w:rsidRPr="007C0211">
        <w:t>ε</w:t>
      </w:r>
      <w:r w:rsidRPr="007C0211">
        <w:rPr>
          <w:vertAlign w:val="subscript"/>
        </w:rPr>
        <w:t>t</w:t>
      </w:r>
      <w:proofErr w:type="spellEnd"/>
      <w:r w:rsidRPr="007C0211">
        <w:t xml:space="preserve"> um processo de ruído branco. Quando a série apresenta sazonalidade, utiliza-se a extensão SARIMA (</w:t>
      </w:r>
      <w:proofErr w:type="spellStart"/>
      <w:r w:rsidRPr="007C0211">
        <w:t>Seasonal</w:t>
      </w:r>
      <w:proofErr w:type="spellEnd"/>
      <w:r w:rsidRPr="007C0211">
        <w:t xml:space="preserve"> ARIMA), notada como SARIMA(</w:t>
      </w:r>
      <w:proofErr w:type="spellStart"/>
      <w:proofErr w:type="gramStart"/>
      <w:r w:rsidRPr="007C0211">
        <w:t>p,d</w:t>
      </w:r>
      <w:proofErr w:type="gramEnd"/>
      <w:r w:rsidRPr="007C0211">
        <w:t>,</w:t>
      </w:r>
      <w:proofErr w:type="gramStart"/>
      <w:r w:rsidRPr="007C0211">
        <w:t>q</w:t>
      </w:r>
      <w:proofErr w:type="spellEnd"/>
      <w:r w:rsidRPr="007C0211">
        <w:t>)(P,D</w:t>
      </w:r>
      <w:proofErr w:type="gramEnd"/>
      <w:r w:rsidRPr="007C0211">
        <w:t>,</w:t>
      </w:r>
      <w:proofErr w:type="gramStart"/>
      <w:r w:rsidRPr="007C0211">
        <w:t>Q)</w:t>
      </w:r>
      <w:r w:rsidRPr="007C0211">
        <w:rPr>
          <w:vertAlign w:val="subscript"/>
        </w:rPr>
        <w:t>m</w:t>
      </w:r>
      <w:proofErr w:type="gramEnd"/>
      <w:r w:rsidRPr="007C0211">
        <w:t xml:space="preserve">, em que P, D e Q são os parâmetros sazonais autorregressivo, de diferenciação e de médias móveis, respectivamente, </w:t>
      </w:r>
      <w:proofErr w:type="gramStart"/>
      <w:r w:rsidRPr="007C0211">
        <w:t>e m</w:t>
      </w:r>
      <w:proofErr w:type="gramEnd"/>
      <w:r w:rsidRPr="007C0211">
        <w:t xml:space="preserve"> corresponde ao período sazonal — no caso de séries diárias de carga elétrica, tipicamente m = 7, representando a periodicidade semanal (BOX et al., 2015; HYNDMAN; ATHANASOPOULOS, 2021).</w:t>
      </w:r>
    </w:p>
    <w:p w14:paraId="0EF0B099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lastRenderedPageBreak/>
        <w:t>Entre as características que tornam os modelos SARIMA particularmente atrativos para a previsão de carga elétrica, destacam-se a representação explícita de autocorrelações temporais, a capacidade de acomodar sazonalidades regulares, a sólida fundamentação estatística e a produção de intervalos de previsão probabilísticos. Sua principal limitação reside na representação de sazonalidades muito longas ou de múltiplas sazonalidades simultâneas, situação em que o número de parâmetros sazonais pode crescer substancialmente (HYNDMAN; ATHANASOPOULOS, 2021).</w:t>
      </w:r>
    </w:p>
    <w:p w14:paraId="483D8102" w14:textId="77777777" w:rsidR="008622B8" w:rsidRPr="007C0211" w:rsidRDefault="4B694E47">
      <w:pPr>
        <w:pStyle w:val="heading20"/>
      </w:pPr>
      <w:r w:rsidRPr="007C0211">
        <w:t>2.4 Modelos de suavização exponencial (ETS)</w:t>
      </w:r>
    </w:p>
    <w:p w14:paraId="1CA57839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 xml:space="preserve">Os modelos ETS (Error, Trend, </w:t>
      </w:r>
      <w:proofErr w:type="spellStart"/>
      <w:r w:rsidRPr="007C0211">
        <w:t>Seasonality</w:t>
      </w:r>
      <w:proofErr w:type="spellEnd"/>
      <w:r w:rsidRPr="007C0211">
        <w:t>) constituem uma família de modelos de suavização exponencial fundamentada na decomposição explícita da série em componentes de erro, tendência e sazonalidade, cada um podendo assumir forma aditiva, multiplicativa, amortecida ou inexistente (HYNDMAN; ATHANASOPOULOS, 2021). Diferentemente dos modelos ARIMA, que representam a dependência temporal por meio de autocorrelações e defasagens, os modelos ETS assumem que a série pode ser descrita diretamente por componentes estruturais observáveis, atualizados recursivamente a cada nova observação. Uma notação usual, como ETS(</w:t>
      </w:r>
      <w:proofErr w:type="spellStart"/>
      <w:proofErr w:type="gramStart"/>
      <w:r w:rsidRPr="007C0211">
        <w:t>A,Ad</w:t>
      </w:r>
      <w:proofErr w:type="gramEnd"/>
      <w:r w:rsidRPr="007C0211">
        <w:t>,M</w:t>
      </w:r>
      <w:proofErr w:type="spellEnd"/>
      <w:r w:rsidRPr="007C0211">
        <w:t>), indica erro aditivo, tendência aditiva amortecida e sazonalidade multiplicativa.</w:t>
      </w:r>
    </w:p>
    <w:p w14:paraId="76952955" w14:textId="77777777" w:rsidR="00DE684F" w:rsidRDefault="4B694E47">
      <w:pPr>
        <w:spacing w:after="200" w:line="360" w:lineRule="auto"/>
        <w:ind w:firstLine="708"/>
        <w:jc w:val="both"/>
      </w:pPr>
      <w:r w:rsidRPr="007C0211">
        <w:t xml:space="preserve">Taylor (2003) demonstrou a adequação de extensões da suavização exponencial de Holt-Winters para a previsão de demanda elétrica com múltiplas sazonalidades, evidenciando a robustez operacional desses modelos frente a séries com padrões de tendência e sazonalidade bem definidos. </w:t>
      </w:r>
    </w:p>
    <w:p w14:paraId="0AA109E0" w14:textId="6694D3FB" w:rsidR="008622B8" w:rsidRPr="007C0211" w:rsidRDefault="4B694E47">
      <w:pPr>
        <w:spacing w:after="200" w:line="360" w:lineRule="auto"/>
        <w:ind w:firstLine="708"/>
        <w:jc w:val="both"/>
      </w:pPr>
      <w:r w:rsidRPr="007C0211">
        <w:t>Entre as vantagens dos modelos ETS estão a simplicidade conceitual, a robustez computacional e a facilidade de interpretação; sua principal limitação é não modelar diretamente a estrutura de autocorrelação residual da série, podendo apresentar desempenho inferior em contextos nos quais a dependência temporal de curto prazo é dominante (HYNDMAN; ATHANASOPOULOS, 2021).</w:t>
      </w:r>
    </w:p>
    <w:p w14:paraId="70F7B714" w14:textId="77777777" w:rsidR="008622B8" w:rsidRPr="007C0211" w:rsidRDefault="4B694E47">
      <w:pPr>
        <w:pStyle w:val="heading20"/>
      </w:pPr>
      <w:r w:rsidRPr="007C0211">
        <w:lastRenderedPageBreak/>
        <w:t xml:space="preserve">2.5 Regressão Harmônica Dinâmica (Dynamic </w:t>
      </w:r>
      <w:proofErr w:type="spellStart"/>
      <w:r w:rsidRPr="007C0211">
        <w:t>Harmonic</w:t>
      </w:r>
      <w:proofErr w:type="spellEnd"/>
      <w:r w:rsidRPr="007C0211">
        <w:t xml:space="preserve"> </w:t>
      </w:r>
      <w:proofErr w:type="spellStart"/>
      <w:r w:rsidRPr="007C0211">
        <w:t>Regression</w:t>
      </w:r>
      <w:proofErr w:type="spellEnd"/>
      <w:r w:rsidRPr="007C0211">
        <w:t>)</w:t>
      </w:r>
    </w:p>
    <w:p w14:paraId="0F84FEDE" w14:textId="77777777" w:rsidR="00A604C8" w:rsidRDefault="4B694E47">
      <w:pPr>
        <w:spacing w:after="200" w:line="360" w:lineRule="auto"/>
        <w:ind w:firstLine="708"/>
        <w:jc w:val="both"/>
      </w:pPr>
      <w:r w:rsidRPr="007C0211">
        <w:t xml:space="preserve">A Regressão Harmônica Dinâmica (Dynamic </w:t>
      </w:r>
      <w:proofErr w:type="spellStart"/>
      <w:r w:rsidRPr="007C0211">
        <w:t>Harmonic</w:t>
      </w:r>
      <w:proofErr w:type="spellEnd"/>
      <w:r w:rsidRPr="007C0211">
        <w:t xml:space="preserve"> </w:t>
      </w:r>
      <w:proofErr w:type="spellStart"/>
      <w:r w:rsidRPr="007C0211">
        <w:t>Regression</w:t>
      </w:r>
      <w:proofErr w:type="spellEnd"/>
      <w:r w:rsidRPr="007C0211">
        <w:t xml:space="preserve"> — DHR) representa uma abordagem alternativa para a modelagem de sazonalidades complexas ou longas, utilizando funções trigonométricas senoidais e </w:t>
      </w:r>
      <w:proofErr w:type="spellStart"/>
      <w:r w:rsidRPr="007C0211">
        <w:t>cossenoidais</w:t>
      </w:r>
      <w:proofErr w:type="spellEnd"/>
      <w:r w:rsidRPr="007C0211">
        <w:t xml:space="preserve"> — os denominados termos de Fourier — para representar ciclos periódicos observados na série (HYNDMAN; ATHANASOPOULOS, 2021). A ideia decorre do princípio de que qualquer função periódica pode ser aproximada por uma combinação de senos e cossenos de diferentes frequências, sendo o componente residual frequentemente modelado por um processo ARMA, originando a denominação “dinâmica”. </w:t>
      </w:r>
    </w:p>
    <w:p w14:paraId="76D87C77" w14:textId="14580358" w:rsidR="008622B8" w:rsidRPr="007C0211" w:rsidRDefault="4B694E47">
      <w:pPr>
        <w:spacing w:after="200" w:line="360" w:lineRule="auto"/>
        <w:ind w:firstLine="708"/>
        <w:jc w:val="both"/>
      </w:pPr>
      <w:r w:rsidRPr="007C0211">
        <w:t>Entre as vantagens da DHR, destacam-se a representação eficiente de sazonalidades longas, a redução do número de parâmetros sazonais e a capacidade de representar múltiplas sazonalidades simultaneamente; sua principal limitação decorre da suposição de estabilidade relativa do padrão sazonal ao longo do tempo, de modo que alterações abruptas na forma da sazonalidade — como as associadas a feriados ou eventos atípicos — podem reduzir seu desempenho preditivo (HYNDMAN; ATHANASOPOULOS, 2021).</w:t>
      </w:r>
    </w:p>
    <w:p w14:paraId="420DE5AF" w14:textId="77777777" w:rsidR="008622B8" w:rsidRPr="007C0211" w:rsidRDefault="4B694E47">
      <w:pPr>
        <w:pStyle w:val="heading20"/>
      </w:pPr>
      <w:r w:rsidRPr="007C0211">
        <w:t>2.6 Avaliação e comparação estatística de modelos preditivos</w:t>
      </w:r>
    </w:p>
    <w:p w14:paraId="07FD97FB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 xml:space="preserve">A comparação objetiva do desempenho preditivo entre modelos concorrentes exige, além do cálculo de métricas descritivas de erro, a aplicação de testes estatísticos formais. </w:t>
      </w:r>
      <w:proofErr w:type="spellStart"/>
      <w:r w:rsidRPr="007C0211">
        <w:t>Diebold</w:t>
      </w:r>
      <w:proofErr w:type="spellEnd"/>
      <w:r w:rsidRPr="007C0211">
        <w:t xml:space="preserve"> e Mariano (1995) propuseram um teste amplamente utilizado para avaliar a hipótese nula de que dois modelos apresentam acurácia preditiva equivalente, permitindo o uso de funções de perda assimétricas e admitindo erros de previsão não gaussianos e </w:t>
      </w:r>
      <w:proofErr w:type="spellStart"/>
      <w:r w:rsidRPr="007C0211">
        <w:t>autocorrelacionados</w:t>
      </w:r>
      <w:proofErr w:type="spellEnd"/>
      <w:r w:rsidRPr="007C0211">
        <w:t xml:space="preserve">. Quando </w:t>
      </w:r>
      <w:proofErr w:type="gramStart"/>
      <w:r w:rsidRPr="007C0211">
        <w:t>múltiplas comparações par</w:t>
      </w:r>
      <w:proofErr w:type="gramEnd"/>
      <w:r w:rsidRPr="007C0211">
        <w:t xml:space="preserve"> a par são realizadas simultaneamente, é necessário controlar a taxa de erro do tipo I decorrente da multiplicidade de testes; para tanto, aplicou-se o procedimento sequencial de Holm (1979), que ajusta os valores-p mantendo maior poder estatístico do que a correção de </w:t>
      </w:r>
      <w:proofErr w:type="spellStart"/>
      <w:r w:rsidRPr="007C0211">
        <w:t>Bonferroni</w:t>
      </w:r>
      <w:proofErr w:type="spellEnd"/>
      <w:r w:rsidRPr="007C0211">
        <w:t xml:space="preserve"> tradicional. Complementarmente, o teste não paramétrico de Friedman permite avaliar, de forma conjunta, se há diferença significativa no desempenho de múltiplos modelos avaliados sobre os mesmos períodos de teste, sendo adequado a pequenas amostras de </w:t>
      </w:r>
      <w:proofErr w:type="spellStart"/>
      <w:r w:rsidRPr="007C0211">
        <w:t>folds</w:t>
      </w:r>
      <w:proofErr w:type="spellEnd"/>
      <w:r w:rsidRPr="007C0211">
        <w:t xml:space="preserve"> de validação.</w:t>
      </w:r>
    </w:p>
    <w:p w14:paraId="412B3546" w14:textId="77777777" w:rsidR="008622B8" w:rsidRPr="007C0211" w:rsidRDefault="4B694E47">
      <w:pPr>
        <w:pStyle w:val="heading20"/>
      </w:pPr>
      <w:r w:rsidRPr="007C0211">
        <w:lastRenderedPageBreak/>
        <w:t>2.7 Síntese comparativa e justificativa metodológica</w:t>
      </w:r>
    </w:p>
    <w:p w14:paraId="4223DCE4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>A escolha conjunta de SARIMA, ETS e DHR-Fourier para este estudo justifica-se por representarem três paradigmas conceituais distintos de modelagem estatística de séries temporais, todos amplamente utilizados e consolidados na literatura de previsão de demanda energética (HONG; FAN, 2016; TAYLOR, 2003; HYNDMAN; ATHANASOPOULOS, 2021). Enquanto o SARIMA prioriza a estrutura de dependência serial, o ETS decompõe a série em componentes de nível, tendência e sazonalidade, e o DHR representa a sazonalidade por meio de funções harmônicas. A comparação sistemática entre esses paradigmas, aliada a testes estatísticos formais de significância (DIEBOLD; MARIANO, 1995; HOLM, 1979), permite não apenas apontar o modelo de menor erro, mas também inferir, com rigor estatístico, qual característica estrutural da série de carga elétrica — autocorrelação, tendência-sazonalidade ou ciclos harmônicos — mais influencia sua previsibilidade no subsistema Sudeste/Centro-Oeste.</w:t>
      </w:r>
    </w:p>
    <w:p w14:paraId="325F0C66" w14:textId="77777777" w:rsidR="008622B8" w:rsidRPr="007C0211" w:rsidRDefault="4B694E47">
      <w:pPr>
        <w:pStyle w:val="heading10"/>
      </w:pPr>
      <w:r w:rsidRPr="007C0211">
        <w:rPr>
          <w:caps/>
        </w:rPr>
        <w:t>3. Metodologia</w:t>
      </w:r>
    </w:p>
    <w:p w14:paraId="0D5FFD3C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>A pesquisa classifica-se como quantitativa e aplicada, fundamentada em dados secundários, públicos e agregados, sem qualquer possibilidade de identificação direta ou indireta de pessoas, em conformidade com os delineamentos e a delimitação ética e metodológica estabelecidos, respectivamente, nos itens 2.1 e 2.2 do Manual de TCC do Bacharelado em Estatística. O estudo caracteriza-se como uma comparação de métodos estatísticos de previsão, envolvendo o ajuste, a validação temporal e a avaliação comparativa de três modelos de séries temporais, acompanhados de um benchmark ingênuo sazonal.</w:t>
      </w:r>
    </w:p>
    <w:p w14:paraId="1F611823" w14:textId="77777777" w:rsidR="008622B8" w:rsidRPr="007C0211" w:rsidRDefault="4B694E47">
      <w:pPr>
        <w:pStyle w:val="heading20"/>
      </w:pPr>
      <w:r w:rsidRPr="007C0211">
        <w:t>3.1 Fonte, período e qualidade dos dados</w:t>
      </w:r>
    </w:p>
    <w:p w14:paraId="3A31D2E3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 xml:space="preserve">Os dados utilizados foram extraídos do conjunto “Carga de Energia Diária”, disponibilizado pelo Operador Nacional do Sistema Elétrico (ONS) em seu Portal de Dados Abertos, sob licença </w:t>
      </w:r>
      <w:proofErr w:type="spellStart"/>
      <w:r w:rsidRPr="007C0211">
        <w:t>Creative</w:t>
      </w:r>
      <w:proofErr w:type="spellEnd"/>
      <w:r w:rsidRPr="007C0211">
        <w:t xml:space="preserve"> Commons CC-BY, que permite a reutilização acadêmica mediante atribuição de crédito ao criador (ONS, 2026). O download foi realizado em 5 de setembro de 2026, contemplando observações diárias da carga verificada (em MWmed) do </w:t>
      </w:r>
      <w:r w:rsidRPr="007C0211">
        <w:lastRenderedPageBreak/>
        <w:t>subsistema Sudeste/Centro-Oeste, no período de 1º de janeiro de 2021 a 31 de dezembro de 2025, totalizando 1.826 observações e quatro colunas (identificador do subsistema, nome do subsistema, data e valor da carga). O próprio ONS informa, em seu portal, que “os dados disponibilizados fazem parte de um processo de consistência recorrente e, portanto, podem ser atualizados após a sua publicação” (ONS, 2026), condição registrada como limitação do estudo.</w:t>
      </w:r>
    </w:p>
    <w:p w14:paraId="13AFC081" w14:textId="77777777" w:rsidR="008622B8" w:rsidRPr="007C0211" w:rsidRDefault="4B694E47">
      <w:pPr>
        <w:spacing w:before="120" w:after="60"/>
      </w:pPr>
      <w:r w:rsidRPr="007C0211">
        <w:rPr>
          <w:b/>
          <w:bCs/>
          <w:sz w:val="20"/>
          <w:szCs w:val="20"/>
        </w:rPr>
        <w:t>Tabela 1 – Variáveis identificadas na base de dados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622B8" w:rsidRPr="007C0211" w14:paraId="2B159F47" w14:textId="77777777" w:rsidTr="4B694E47">
        <w:trPr>
          <w:tblHeader/>
        </w:trPr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397FE" w14:textId="77777777" w:rsidR="008622B8" w:rsidRPr="00776AB4" w:rsidRDefault="4B694E47">
            <w:pPr>
              <w:jc w:val="center"/>
              <w:rPr>
                <w:sz w:val="20"/>
                <w:szCs w:val="20"/>
              </w:rPr>
            </w:pPr>
            <w:r w:rsidRPr="00776AB4">
              <w:rPr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EB7CC" w14:textId="77777777" w:rsidR="008622B8" w:rsidRPr="00776AB4" w:rsidRDefault="002743ED">
            <w:pPr>
              <w:jc w:val="center"/>
              <w:rPr>
                <w:sz w:val="20"/>
                <w:szCs w:val="20"/>
              </w:rPr>
            </w:pPr>
            <w:r w:rsidRPr="00776AB4">
              <w:rPr>
                <w:color w:val="FFFFFF"/>
                <w:sz w:val="20"/>
                <w:szCs w:val="20"/>
              </w:rPr>
              <w:t>Função</w:t>
            </w:r>
          </w:p>
        </w:tc>
      </w:tr>
      <w:tr w:rsidR="008622B8" w:rsidRPr="007C0211" w14:paraId="06E5AFD2" w14:textId="77777777" w:rsidTr="4B694E47"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14D79" w14:textId="77777777" w:rsidR="008622B8" w:rsidRPr="00776AB4" w:rsidRDefault="4B694E47">
            <w:pPr>
              <w:rPr>
                <w:sz w:val="20"/>
                <w:szCs w:val="20"/>
              </w:rPr>
            </w:pPr>
            <w:proofErr w:type="spellStart"/>
            <w:r w:rsidRPr="00776AB4">
              <w:rPr>
                <w:sz w:val="20"/>
                <w:szCs w:val="20"/>
              </w:rPr>
              <w:t>id_subsistema</w:t>
            </w:r>
            <w:proofErr w:type="spellEnd"/>
          </w:p>
        </w:tc>
        <w:tc>
          <w:tcPr>
            <w:tcW w:w="6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959DBC" w14:textId="77777777" w:rsidR="008622B8" w:rsidRPr="00776AB4" w:rsidRDefault="4B694E47">
            <w:pPr>
              <w:jc w:val="center"/>
              <w:rPr>
                <w:sz w:val="20"/>
                <w:szCs w:val="20"/>
              </w:rPr>
            </w:pPr>
            <w:r w:rsidRPr="00776AB4">
              <w:rPr>
                <w:sz w:val="20"/>
                <w:szCs w:val="20"/>
              </w:rPr>
              <w:t>Identificador do subsistema</w:t>
            </w:r>
          </w:p>
        </w:tc>
      </w:tr>
      <w:tr w:rsidR="008622B8" w:rsidRPr="007C0211" w14:paraId="0D0C7FDC" w14:textId="77777777" w:rsidTr="4B694E47"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09F62D" w14:textId="77777777" w:rsidR="008622B8" w:rsidRPr="00776AB4" w:rsidRDefault="4B694E47">
            <w:pPr>
              <w:rPr>
                <w:sz w:val="20"/>
                <w:szCs w:val="20"/>
              </w:rPr>
            </w:pPr>
            <w:proofErr w:type="spellStart"/>
            <w:r w:rsidRPr="00776AB4">
              <w:rPr>
                <w:sz w:val="20"/>
                <w:szCs w:val="20"/>
              </w:rPr>
              <w:t>nom_subsistema</w:t>
            </w:r>
            <w:proofErr w:type="spellEnd"/>
          </w:p>
        </w:tc>
        <w:tc>
          <w:tcPr>
            <w:tcW w:w="6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BB57C0" w14:textId="77777777" w:rsidR="008622B8" w:rsidRPr="00776AB4" w:rsidRDefault="4B694E47">
            <w:pPr>
              <w:jc w:val="center"/>
              <w:rPr>
                <w:sz w:val="20"/>
                <w:szCs w:val="20"/>
              </w:rPr>
            </w:pPr>
            <w:r w:rsidRPr="00776AB4">
              <w:rPr>
                <w:sz w:val="20"/>
                <w:szCs w:val="20"/>
              </w:rPr>
              <w:t>Nome do subsistema (filtro: Sudeste/Centro-Oeste)</w:t>
            </w:r>
          </w:p>
        </w:tc>
      </w:tr>
      <w:tr w:rsidR="008622B8" w:rsidRPr="007C0211" w14:paraId="422C8078" w14:textId="77777777" w:rsidTr="4B694E47"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1C50C8" w14:textId="77777777" w:rsidR="008622B8" w:rsidRPr="00776AB4" w:rsidRDefault="4B694E47">
            <w:pPr>
              <w:rPr>
                <w:sz w:val="20"/>
                <w:szCs w:val="20"/>
              </w:rPr>
            </w:pPr>
            <w:proofErr w:type="spellStart"/>
            <w:r w:rsidRPr="00776AB4">
              <w:rPr>
                <w:sz w:val="20"/>
                <w:szCs w:val="20"/>
              </w:rPr>
              <w:t>din_instante</w:t>
            </w:r>
            <w:proofErr w:type="spellEnd"/>
          </w:p>
        </w:tc>
        <w:tc>
          <w:tcPr>
            <w:tcW w:w="6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F80643" w14:textId="77777777" w:rsidR="008622B8" w:rsidRPr="00776AB4" w:rsidRDefault="4B694E47">
            <w:pPr>
              <w:jc w:val="center"/>
              <w:rPr>
                <w:sz w:val="20"/>
                <w:szCs w:val="20"/>
              </w:rPr>
            </w:pPr>
            <w:r w:rsidRPr="00776AB4">
              <w:rPr>
                <w:sz w:val="20"/>
                <w:szCs w:val="20"/>
              </w:rPr>
              <w:t>Data de referência da observação</w:t>
            </w:r>
          </w:p>
        </w:tc>
      </w:tr>
      <w:tr w:rsidR="008622B8" w:rsidRPr="007C0211" w14:paraId="15AC1DD3" w14:textId="77777777" w:rsidTr="4B694E47">
        <w:tc>
          <w:tcPr>
            <w:tcW w:w="3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D1E914" w14:textId="77777777" w:rsidR="008622B8" w:rsidRPr="00776AB4" w:rsidRDefault="4B694E47">
            <w:pPr>
              <w:rPr>
                <w:sz w:val="20"/>
                <w:szCs w:val="20"/>
              </w:rPr>
            </w:pPr>
            <w:proofErr w:type="spellStart"/>
            <w:r w:rsidRPr="00776AB4">
              <w:rPr>
                <w:sz w:val="20"/>
                <w:szCs w:val="20"/>
              </w:rPr>
              <w:t>val_cargaenergiamwmed</w:t>
            </w:r>
            <w:proofErr w:type="spellEnd"/>
          </w:p>
        </w:tc>
        <w:tc>
          <w:tcPr>
            <w:tcW w:w="6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FE815F" w14:textId="77777777" w:rsidR="008622B8" w:rsidRPr="00776AB4" w:rsidRDefault="4B694E47">
            <w:pPr>
              <w:jc w:val="center"/>
              <w:rPr>
                <w:sz w:val="20"/>
                <w:szCs w:val="20"/>
              </w:rPr>
            </w:pPr>
            <w:r w:rsidRPr="00776AB4">
              <w:rPr>
                <w:sz w:val="20"/>
                <w:szCs w:val="20"/>
              </w:rPr>
              <w:t>Carga elétrica diária, em MWmed (variável de interesse)</w:t>
            </w:r>
          </w:p>
        </w:tc>
      </w:tr>
    </w:tbl>
    <w:p w14:paraId="328CE59F" w14:textId="4BD55C19" w:rsidR="008622B8" w:rsidRPr="007C0211" w:rsidRDefault="4B694E47">
      <w:pPr>
        <w:spacing w:after="240"/>
      </w:pPr>
      <w:r w:rsidRPr="007C0211">
        <w:rPr>
          <w:i/>
          <w:iCs/>
          <w:sz w:val="18"/>
          <w:szCs w:val="18"/>
        </w:rPr>
        <w:t>Fonte: Elaborado pelo</w:t>
      </w:r>
      <w:r w:rsidR="00946F1B">
        <w:rPr>
          <w:i/>
          <w:iCs/>
          <w:sz w:val="18"/>
          <w:szCs w:val="18"/>
        </w:rPr>
        <w:t>s</w:t>
      </w:r>
      <w:r w:rsidRPr="007C0211">
        <w:rPr>
          <w:i/>
          <w:iCs/>
          <w:sz w:val="18"/>
          <w:szCs w:val="18"/>
        </w:rPr>
        <w:t xml:space="preserve"> autor</w:t>
      </w:r>
      <w:r w:rsidR="00946F1B">
        <w:rPr>
          <w:i/>
          <w:iCs/>
          <w:sz w:val="18"/>
          <w:szCs w:val="18"/>
        </w:rPr>
        <w:t>es</w:t>
      </w:r>
      <w:r w:rsidRPr="007C0211">
        <w:rPr>
          <w:i/>
          <w:iCs/>
          <w:sz w:val="18"/>
          <w:szCs w:val="18"/>
        </w:rPr>
        <w:t>, com base em ONS (2026).</w:t>
      </w:r>
    </w:p>
    <w:p w14:paraId="4305060F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>O controle de qualidade dos dados não identificou datas duplicadas, datas ausentes, valores nulos, valores negativos, valores iguais a zero ou mais de uma observação por dia. Foram identificados 12 valores potencialmente atípicos pelo critério de 1,5 vezes o intervalo interquartil (IQR), nenhum dos quais foi removido, preservando-se a integridade da série original.</w:t>
      </w:r>
    </w:p>
    <w:p w14:paraId="0D3F45E2" w14:textId="77777777" w:rsidR="008622B8" w:rsidRPr="007C0211" w:rsidRDefault="4B694E47">
      <w:pPr>
        <w:pStyle w:val="heading20"/>
      </w:pPr>
      <w:r w:rsidRPr="007C0211">
        <w:t>3.2 Ambiente computacional</w:t>
      </w:r>
    </w:p>
    <w:p w14:paraId="61BB58B9" w14:textId="19931140" w:rsidR="008622B8" w:rsidRPr="007C0211" w:rsidRDefault="4B694E47">
      <w:pPr>
        <w:spacing w:after="200" w:line="360" w:lineRule="auto"/>
        <w:ind w:firstLine="708"/>
        <w:jc w:val="both"/>
      </w:pPr>
      <w:r w:rsidRPr="007C0211">
        <w:t xml:space="preserve">Toda a análise foi realizada na linguagem Python (PYTHON SOFTWARE FOUNDATION, 2026), utilizando as bibliotecas pandas, para estruturação e manipulação dos dados tabulares (MCKINNEY, 2010; THE PANDAS DEVELOPMENT TEAM, 2026); </w:t>
      </w:r>
      <w:proofErr w:type="spellStart"/>
      <w:r w:rsidRPr="007C0211">
        <w:t>NumPy</w:t>
      </w:r>
      <w:proofErr w:type="spellEnd"/>
      <w:r w:rsidRPr="007C0211">
        <w:t xml:space="preserve">, para operações numéricas vetorizadas (HARRIS et al., 2020; NUMPY DEVELOPERS, 2026); </w:t>
      </w:r>
      <w:proofErr w:type="spellStart"/>
      <w:r w:rsidRPr="007C0211">
        <w:t>SciPy</w:t>
      </w:r>
      <w:proofErr w:type="spellEnd"/>
      <w:r w:rsidRPr="007C0211">
        <w:t xml:space="preserve">, para funções estatísticas complementares (VIRTANEN et al., 2020); </w:t>
      </w:r>
      <w:proofErr w:type="spellStart"/>
      <w:r w:rsidRPr="007C0211">
        <w:t>statsmodels</w:t>
      </w:r>
      <w:proofErr w:type="spellEnd"/>
      <w:r w:rsidRPr="007C0211">
        <w:t xml:space="preserve">, para o ajuste dos modelos SARIMA, da decomposição STL e dos testes de </w:t>
      </w:r>
      <w:proofErr w:type="spellStart"/>
      <w:r w:rsidRPr="007C0211">
        <w:t>estacionariedade</w:t>
      </w:r>
      <w:proofErr w:type="spellEnd"/>
      <w:r w:rsidRPr="007C0211">
        <w:t xml:space="preserve"> (SEABOLD; PERKTOLD, 2010; STATSMODELS DEVELOPERS, 2026); </w:t>
      </w:r>
      <w:proofErr w:type="spellStart"/>
      <w:r w:rsidRPr="007C0211">
        <w:t>matplotlib</w:t>
      </w:r>
      <w:proofErr w:type="spellEnd"/>
      <w:r w:rsidRPr="007C0211">
        <w:t xml:space="preserve">, para a geração dos gráficos (HUNTER, 2007); e </w:t>
      </w:r>
      <w:proofErr w:type="spellStart"/>
      <w:r w:rsidRPr="007C0211">
        <w:t>openpyxl</w:t>
      </w:r>
      <w:proofErr w:type="spellEnd"/>
      <w:r w:rsidRPr="007C0211">
        <w:t>, para a leitura do arquivo de dados em formato XLSX. Todos os procedimentos analíticos foram executados, revisados e validados.</w:t>
      </w:r>
    </w:p>
    <w:p w14:paraId="08704981" w14:textId="77777777" w:rsidR="008622B8" w:rsidRPr="007C0211" w:rsidRDefault="4B694E47">
      <w:pPr>
        <w:pStyle w:val="heading20"/>
      </w:pPr>
      <w:r w:rsidRPr="007C0211">
        <w:lastRenderedPageBreak/>
        <w:t>3.3 Etapas metodológicas</w:t>
      </w:r>
    </w:p>
    <w:p w14:paraId="185FAAF4" w14:textId="77777777" w:rsidR="00E3372E" w:rsidRDefault="4B694E47" w:rsidP="00E3372E">
      <w:pPr>
        <w:spacing w:line="360" w:lineRule="auto"/>
        <w:ind w:firstLine="708"/>
        <w:jc w:val="both"/>
      </w:pPr>
      <w:r w:rsidRPr="007C0211">
        <w:t xml:space="preserve">O processo analítico seguiu as seguintes etapas sequenciais: </w:t>
      </w:r>
    </w:p>
    <w:p w14:paraId="42785AF4" w14:textId="1E4626F9" w:rsidR="00E3372E" w:rsidRDefault="4B694E47" w:rsidP="00E3372E">
      <w:pPr>
        <w:pStyle w:val="ListParagraph"/>
        <w:numPr>
          <w:ilvl w:val="0"/>
          <w:numId w:val="3"/>
        </w:numPr>
        <w:spacing w:line="360" w:lineRule="auto"/>
        <w:ind w:left="1066" w:hanging="357"/>
        <w:jc w:val="both"/>
      </w:pPr>
      <w:r w:rsidRPr="007C0211">
        <w:t xml:space="preserve">importação dos dados; </w:t>
      </w:r>
    </w:p>
    <w:p w14:paraId="7D28EA0E" w14:textId="77777777" w:rsidR="00E3372E" w:rsidRDefault="4B694E47" w:rsidP="00E3372E">
      <w:pPr>
        <w:pStyle w:val="ListParagraph"/>
        <w:numPr>
          <w:ilvl w:val="0"/>
          <w:numId w:val="3"/>
        </w:numPr>
        <w:spacing w:line="360" w:lineRule="auto"/>
        <w:ind w:left="1066" w:hanging="357"/>
        <w:jc w:val="both"/>
      </w:pPr>
      <w:r w:rsidRPr="007C0211">
        <w:t xml:space="preserve">conversão e ordenação cronológica da variável de data; </w:t>
      </w:r>
    </w:p>
    <w:p w14:paraId="3A295A4A" w14:textId="77777777" w:rsidR="00E3372E" w:rsidRDefault="4B694E47" w:rsidP="00E3372E">
      <w:pPr>
        <w:pStyle w:val="ListParagraph"/>
        <w:numPr>
          <w:ilvl w:val="0"/>
          <w:numId w:val="3"/>
        </w:numPr>
        <w:spacing w:line="360" w:lineRule="auto"/>
        <w:ind w:left="1066" w:hanging="357"/>
        <w:jc w:val="both"/>
      </w:pPr>
      <w:r w:rsidRPr="007C0211">
        <w:t xml:space="preserve">controle de qualidade; </w:t>
      </w:r>
    </w:p>
    <w:p w14:paraId="58280798" w14:textId="77777777" w:rsidR="00E3372E" w:rsidRDefault="4B694E47" w:rsidP="00E3372E">
      <w:pPr>
        <w:pStyle w:val="ListParagraph"/>
        <w:numPr>
          <w:ilvl w:val="0"/>
          <w:numId w:val="3"/>
        </w:numPr>
        <w:spacing w:line="360" w:lineRule="auto"/>
        <w:ind w:left="1066" w:hanging="357"/>
        <w:jc w:val="both"/>
      </w:pPr>
      <w:r w:rsidRPr="007C0211">
        <w:t xml:space="preserve">estatística descritiva; decomposição STL; </w:t>
      </w:r>
    </w:p>
    <w:p w14:paraId="3FE65CF5" w14:textId="77777777" w:rsidR="00E3372E" w:rsidRDefault="4B694E47" w:rsidP="00E3372E">
      <w:pPr>
        <w:pStyle w:val="ListParagraph"/>
        <w:numPr>
          <w:ilvl w:val="0"/>
          <w:numId w:val="3"/>
        </w:numPr>
        <w:spacing w:line="360" w:lineRule="auto"/>
        <w:ind w:left="1066" w:hanging="357"/>
        <w:jc w:val="both"/>
      </w:pPr>
      <w:r w:rsidRPr="007C0211">
        <w:t xml:space="preserve">análise das funções de autocorrelação (ACF) e autocorrelação parcial (PACF); </w:t>
      </w:r>
    </w:p>
    <w:p w14:paraId="36D1F93D" w14:textId="77777777" w:rsidR="00E3372E" w:rsidRDefault="4B694E47" w:rsidP="00E3372E">
      <w:pPr>
        <w:pStyle w:val="ListParagraph"/>
        <w:numPr>
          <w:ilvl w:val="0"/>
          <w:numId w:val="3"/>
        </w:numPr>
        <w:spacing w:line="360" w:lineRule="auto"/>
        <w:ind w:left="1066" w:hanging="357"/>
        <w:jc w:val="both"/>
      </w:pPr>
      <w:r w:rsidRPr="007C0211">
        <w:t xml:space="preserve">testes de </w:t>
      </w:r>
      <w:proofErr w:type="spellStart"/>
      <w:r w:rsidRPr="007C0211">
        <w:t>estacionariedade</w:t>
      </w:r>
      <w:proofErr w:type="spellEnd"/>
      <w:r w:rsidRPr="007C0211">
        <w:t xml:space="preserve"> ADF e KPSS; </w:t>
      </w:r>
    </w:p>
    <w:p w14:paraId="0D586E33" w14:textId="77777777" w:rsidR="00E3372E" w:rsidRDefault="4B694E47" w:rsidP="00E3372E">
      <w:pPr>
        <w:pStyle w:val="ListParagraph"/>
        <w:numPr>
          <w:ilvl w:val="0"/>
          <w:numId w:val="3"/>
        </w:numPr>
        <w:spacing w:line="360" w:lineRule="auto"/>
        <w:ind w:left="1066" w:hanging="357"/>
        <w:jc w:val="both"/>
      </w:pPr>
      <w:r w:rsidRPr="007C0211">
        <w:t>definição dos períodos de validação temporal (</w:t>
      </w:r>
      <w:proofErr w:type="spellStart"/>
      <w:r w:rsidRPr="007C0211">
        <w:t>folds</w:t>
      </w:r>
      <w:proofErr w:type="spellEnd"/>
      <w:r w:rsidRPr="007C0211">
        <w:t xml:space="preserve">); </w:t>
      </w:r>
    </w:p>
    <w:p w14:paraId="4DCBDB06" w14:textId="77777777" w:rsidR="00E3372E" w:rsidRDefault="4B694E47" w:rsidP="00E3372E">
      <w:pPr>
        <w:pStyle w:val="ListParagraph"/>
        <w:numPr>
          <w:ilvl w:val="0"/>
          <w:numId w:val="3"/>
        </w:numPr>
        <w:spacing w:line="360" w:lineRule="auto"/>
        <w:ind w:left="1066" w:hanging="357"/>
        <w:jc w:val="both"/>
      </w:pPr>
      <w:r w:rsidRPr="007C0211">
        <w:t xml:space="preserve">ajuste dos modelos; </w:t>
      </w:r>
    </w:p>
    <w:p w14:paraId="756C976C" w14:textId="77777777" w:rsidR="00E3372E" w:rsidRDefault="4B694E47" w:rsidP="00E3372E">
      <w:pPr>
        <w:pStyle w:val="ListParagraph"/>
        <w:numPr>
          <w:ilvl w:val="0"/>
          <w:numId w:val="3"/>
        </w:numPr>
        <w:spacing w:line="360" w:lineRule="auto"/>
        <w:ind w:left="1066" w:hanging="357"/>
        <w:jc w:val="both"/>
      </w:pPr>
      <w:r w:rsidRPr="007C0211">
        <w:t xml:space="preserve">geração das previsões fora da amostra; </w:t>
      </w:r>
    </w:p>
    <w:p w14:paraId="5B42FBA8" w14:textId="77777777" w:rsidR="00E3372E" w:rsidRDefault="4B694E47" w:rsidP="00E3372E">
      <w:pPr>
        <w:pStyle w:val="ListParagraph"/>
        <w:numPr>
          <w:ilvl w:val="0"/>
          <w:numId w:val="3"/>
        </w:numPr>
        <w:spacing w:line="360" w:lineRule="auto"/>
        <w:ind w:left="1066" w:hanging="357"/>
        <w:jc w:val="both"/>
      </w:pPr>
      <w:r w:rsidRPr="007C0211">
        <w:t xml:space="preserve">cálculo das métricas de erro; </w:t>
      </w:r>
    </w:p>
    <w:p w14:paraId="513B5354" w14:textId="1ADE3FD1" w:rsidR="00E3372E" w:rsidRDefault="4B694E47" w:rsidP="00E3372E">
      <w:pPr>
        <w:pStyle w:val="ListParagraph"/>
        <w:numPr>
          <w:ilvl w:val="0"/>
          <w:numId w:val="3"/>
        </w:numPr>
        <w:spacing w:line="360" w:lineRule="auto"/>
        <w:ind w:left="1066" w:hanging="357"/>
        <w:jc w:val="both"/>
      </w:pPr>
      <w:r w:rsidRPr="007C0211">
        <w:t xml:space="preserve">teste de </w:t>
      </w:r>
      <w:proofErr w:type="spellStart"/>
      <w:r w:rsidRPr="007C0211">
        <w:t>Diebold</w:t>
      </w:r>
      <w:proofErr w:type="spellEnd"/>
      <w:r w:rsidRPr="007C0211">
        <w:t xml:space="preserve">-Mariano com correção de Holm; </w:t>
      </w:r>
    </w:p>
    <w:p w14:paraId="393E01F7" w14:textId="77777777" w:rsidR="00E3372E" w:rsidRDefault="4B694E47" w:rsidP="00E3372E">
      <w:pPr>
        <w:pStyle w:val="ListParagraph"/>
        <w:numPr>
          <w:ilvl w:val="0"/>
          <w:numId w:val="3"/>
        </w:numPr>
        <w:spacing w:line="360" w:lineRule="auto"/>
        <w:ind w:left="1066" w:hanging="357"/>
        <w:jc w:val="both"/>
      </w:pPr>
      <w:r w:rsidRPr="007C0211">
        <w:t xml:space="preserve">teste de Friedman; e </w:t>
      </w:r>
    </w:p>
    <w:p w14:paraId="26987143" w14:textId="6BF88CCA" w:rsidR="008622B8" w:rsidRPr="007C0211" w:rsidRDefault="4B694E47" w:rsidP="00E3372E">
      <w:pPr>
        <w:pStyle w:val="ListParagraph"/>
        <w:numPr>
          <w:ilvl w:val="0"/>
          <w:numId w:val="3"/>
        </w:numPr>
        <w:spacing w:line="360" w:lineRule="auto"/>
        <w:ind w:left="1066" w:hanging="357"/>
        <w:jc w:val="both"/>
      </w:pPr>
      <w:r w:rsidRPr="007C0211">
        <w:t>avaliação dos resíduos.</w:t>
      </w:r>
    </w:p>
    <w:p w14:paraId="095DE1F9" w14:textId="77777777" w:rsidR="008622B8" w:rsidRPr="007C0211" w:rsidRDefault="4B694E47">
      <w:pPr>
        <w:pStyle w:val="heading20"/>
      </w:pPr>
      <w:r w:rsidRPr="007C0211">
        <w:t>3.4 Especificação dos modelos</w:t>
      </w:r>
    </w:p>
    <w:p w14:paraId="505D7B71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 xml:space="preserve">Foram ajustados três modelos concorrentes e um benchmark de referência, todos estimados exclusivamente sobre a amostra de treinamento de cada </w:t>
      </w:r>
      <w:proofErr w:type="spellStart"/>
      <w:r w:rsidRPr="007C0211">
        <w:t>fold</w:t>
      </w:r>
      <w:proofErr w:type="spellEnd"/>
      <w:r w:rsidRPr="007C0211">
        <w:t xml:space="preserve"> de validação:</w:t>
      </w:r>
    </w:p>
    <w:p w14:paraId="4FBDD23C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rPr>
          <w:b/>
          <w:bCs/>
        </w:rPr>
        <w:t xml:space="preserve">a) </w:t>
      </w:r>
      <w:proofErr w:type="gramStart"/>
      <w:r w:rsidRPr="007C0211">
        <w:rPr>
          <w:b/>
          <w:bCs/>
        </w:rPr>
        <w:t>SARIMA(</w:t>
      </w:r>
      <w:proofErr w:type="gramEnd"/>
      <w:r w:rsidRPr="007C0211">
        <w:rPr>
          <w:b/>
          <w:bCs/>
        </w:rPr>
        <w:t>1,0,</w:t>
      </w:r>
      <w:proofErr w:type="gramStart"/>
      <w:r w:rsidRPr="007C0211">
        <w:rPr>
          <w:b/>
          <w:bCs/>
        </w:rPr>
        <w:t>1)(</w:t>
      </w:r>
      <w:proofErr w:type="gramEnd"/>
      <w:r w:rsidRPr="007C0211">
        <w:rPr>
          <w:b/>
          <w:bCs/>
        </w:rPr>
        <w:t>0,1,1)</w:t>
      </w:r>
      <w:r w:rsidRPr="007C0211">
        <w:rPr>
          <w:vertAlign w:val="subscript"/>
        </w:rPr>
        <w:t>7</w:t>
      </w:r>
      <w:r w:rsidRPr="007C0211">
        <w:t xml:space="preserve"> — modelo selecionado pelo critério de informação </w:t>
      </w:r>
      <w:proofErr w:type="spellStart"/>
      <w:r w:rsidRPr="007C0211">
        <w:t>AICc</w:t>
      </w:r>
      <w:proofErr w:type="spellEnd"/>
      <w:r w:rsidRPr="007C0211">
        <w:t xml:space="preserve"> no conjunto de treinamento, combinando um termo autorregressivo, um termo de médias móveis e diferenciação sazonal semanal com médias móveis sazonais;</w:t>
      </w:r>
    </w:p>
    <w:p w14:paraId="24C6E4C7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rPr>
          <w:b/>
          <w:bCs/>
        </w:rPr>
        <w:t>b) ETS(</w:t>
      </w:r>
      <w:proofErr w:type="spellStart"/>
      <w:proofErr w:type="gramStart"/>
      <w:r w:rsidRPr="007C0211">
        <w:rPr>
          <w:b/>
          <w:bCs/>
        </w:rPr>
        <w:t>A,Ad</w:t>
      </w:r>
      <w:proofErr w:type="gramEnd"/>
      <w:r w:rsidRPr="007C0211">
        <w:rPr>
          <w:b/>
          <w:bCs/>
        </w:rPr>
        <w:t>,M</w:t>
      </w:r>
      <w:proofErr w:type="spellEnd"/>
      <w:r w:rsidRPr="007C0211">
        <w:rPr>
          <w:b/>
          <w:bCs/>
        </w:rPr>
        <w:t>)</w:t>
      </w:r>
      <w:r w:rsidRPr="007C0211">
        <w:t xml:space="preserve"> — erro aditivo, tendência aditiva amortecida e sazonalidade multiplicativa;</w:t>
      </w:r>
    </w:p>
    <w:p w14:paraId="7F7D93B9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rPr>
          <w:b/>
          <w:bCs/>
        </w:rPr>
        <w:t>c) DHR-Fourier</w:t>
      </w:r>
      <w:r w:rsidRPr="007C0211">
        <w:t xml:space="preserve"> — estrutura harmônica composta por três pares de termos de Fourier para a sazonalidade semanal (K = 3) e dois pares para a sazonalidade anual (K = 2), com componente residual modelado por um processo </w:t>
      </w:r>
      <w:proofErr w:type="gramStart"/>
      <w:r w:rsidRPr="007C0211">
        <w:t>ARMA(</w:t>
      </w:r>
      <w:proofErr w:type="gramEnd"/>
      <w:r w:rsidRPr="007C0211">
        <w:t xml:space="preserve">1,1), conforme yₜ = β₀ + Σₖ₌₁³ [aₖ </w:t>
      </w:r>
      <w:proofErr w:type="spellStart"/>
      <w:r w:rsidRPr="007C0211">
        <w:t>sen</w:t>
      </w:r>
      <w:proofErr w:type="spellEnd"/>
      <w:r w:rsidRPr="007C0211">
        <w:t>(2π</w:t>
      </w:r>
      <w:proofErr w:type="spellStart"/>
      <w:r w:rsidRPr="007C0211">
        <w:t>kt</w:t>
      </w:r>
      <w:proofErr w:type="spellEnd"/>
      <w:r w:rsidRPr="007C0211">
        <w:t>/7) + bₖ cos(2π</w:t>
      </w:r>
      <w:proofErr w:type="spellStart"/>
      <w:r w:rsidRPr="007C0211">
        <w:t>kt</w:t>
      </w:r>
      <w:proofErr w:type="spellEnd"/>
      <w:r w:rsidRPr="007C0211">
        <w:t xml:space="preserve">/7)] + Σⱼ₌₁² [cⱼ </w:t>
      </w:r>
      <w:proofErr w:type="spellStart"/>
      <w:r w:rsidRPr="007C0211">
        <w:t>sen</w:t>
      </w:r>
      <w:proofErr w:type="spellEnd"/>
      <w:r w:rsidRPr="007C0211">
        <w:t>(2π</w:t>
      </w:r>
      <w:proofErr w:type="spellStart"/>
      <w:r w:rsidRPr="007C0211">
        <w:t>jt</w:t>
      </w:r>
      <w:proofErr w:type="spellEnd"/>
      <w:r w:rsidRPr="007C0211">
        <w:t>/365,25) + dⱼ cos(2π</w:t>
      </w:r>
      <w:proofErr w:type="spellStart"/>
      <w:r w:rsidRPr="007C0211">
        <w:t>jt</w:t>
      </w:r>
      <w:proofErr w:type="spellEnd"/>
      <w:r w:rsidRPr="007C0211">
        <w:t>/365,25)] + nₜ; e</w:t>
      </w:r>
    </w:p>
    <w:p w14:paraId="42A275AA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rPr>
          <w:b/>
          <w:bCs/>
        </w:rPr>
        <w:lastRenderedPageBreak/>
        <w:t>d) Benchmark ingênuo sazonal (SNaive7)</w:t>
      </w:r>
      <w:r w:rsidRPr="007C0211">
        <w:t xml:space="preserve"> — yₜ = yₜ₋₇, utilizado como referência mínima de desempenho aceitável.</w:t>
      </w:r>
    </w:p>
    <w:p w14:paraId="386288F1" w14:textId="77777777" w:rsidR="008622B8" w:rsidRPr="00922072" w:rsidRDefault="4B694E47">
      <w:pPr>
        <w:pStyle w:val="heading20"/>
        <w:rPr>
          <w:lang w:val="en-US"/>
        </w:rPr>
      </w:pPr>
      <w:r w:rsidRPr="00922072">
        <w:rPr>
          <w:lang w:val="en-US"/>
        </w:rPr>
        <w:t xml:space="preserve">3.5 </w:t>
      </w:r>
      <w:proofErr w:type="spellStart"/>
      <w:r w:rsidRPr="00922072">
        <w:rPr>
          <w:lang w:val="en-US"/>
        </w:rPr>
        <w:t>Validação</w:t>
      </w:r>
      <w:proofErr w:type="spellEnd"/>
      <w:r w:rsidRPr="00922072">
        <w:rPr>
          <w:lang w:val="en-US"/>
        </w:rPr>
        <w:t xml:space="preserve"> temporal (</w:t>
      </w:r>
      <w:r w:rsidRPr="00922072">
        <w:rPr>
          <w:i/>
          <w:iCs/>
          <w:lang w:val="en-US"/>
        </w:rPr>
        <w:t>rolling forecast origin</w:t>
      </w:r>
      <w:r w:rsidRPr="00922072">
        <w:rPr>
          <w:lang w:val="en-US"/>
        </w:rPr>
        <w:t>)</w:t>
      </w:r>
    </w:p>
    <w:p w14:paraId="5789C8CF" w14:textId="2E1BBCC7" w:rsidR="008622B8" w:rsidRPr="007C0211" w:rsidRDefault="00922072">
      <w:pPr>
        <w:spacing w:after="200" w:line="360" w:lineRule="auto"/>
        <w:ind w:firstLine="708"/>
        <w:jc w:val="both"/>
      </w:pPr>
      <w:r w:rsidRPr="00922072">
        <w:t xml:space="preserve">A avaliação preditiva foi conduzida por meio de validação cruzada temporal do tipo </w:t>
      </w:r>
      <w:proofErr w:type="spellStart"/>
      <w:r w:rsidRPr="00922072">
        <w:t>rolling</w:t>
      </w:r>
      <w:proofErr w:type="spellEnd"/>
      <w:r w:rsidRPr="00922072">
        <w:t xml:space="preserve"> </w:t>
      </w:r>
      <w:proofErr w:type="spellStart"/>
      <w:r w:rsidRPr="00922072">
        <w:t>forecast</w:t>
      </w:r>
      <w:proofErr w:type="spellEnd"/>
      <w:r w:rsidRPr="00922072">
        <w:t xml:space="preserve"> </w:t>
      </w:r>
      <w:proofErr w:type="spellStart"/>
      <w:r w:rsidRPr="00922072">
        <w:t>origin</w:t>
      </w:r>
      <w:proofErr w:type="spellEnd"/>
      <w:r w:rsidRPr="00922072">
        <w:t xml:space="preserve">, com janela expansiva, horizonte de previsão de sete dias e passo de sete dias entre origens sucessivas. O primeiro conjunto de treinamento compreendeu o período de 01/01/2021 a 31/12/2024 (1.461 observações). A cada </w:t>
      </w:r>
      <w:proofErr w:type="spellStart"/>
      <w:r w:rsidRPr="00922072">
        <w:t>fold</w:t>
      </w:r>
      <w:proofErr w:type="spellEnd"/>
      <w:r w:rsidRPr="00922072">
        <w:t>, a origem de previsão avançou sete dias e as observações anteriores foram incorporadas ao treinamento, até o último conjunto de treinamento, encerrado em 23/12/2025 (1.818 observações). Resultaram 52 períodos de teste (</w:t>
      </w:r>
      <w:proofErr w:type="spellStart"/>
      <w:r w:rsidRPr="00922072">
        <w:t>folds</w:t>
      </w:r>
      <w:proofErr w:type="spellEnd"/>
      <w:r w:rsidRPr="00922072">
        <w:t>) semanais, consecutivos e sem sobreposição, que totalizam 364 dias de previsão fora da amostra, de 01/01/2025 a 30/12/2025 (Tabela 2). Essa estratégia preserva a ordem cronológica dos dados e impede vazamento de informação futura para o conjunto de treinamento. Por cobrir um ano completo, a avaliação inclui todas as estações e os principais feriados nacionais, o que evita que as conclusões dependam de um período específico do calendário.</w:t>
      </w:r>
    </w:p>
    <w:p w14:paraId="48CA954A" w14:textId="77777777" w:rsidR="008622B8" w:rsidRPr="007C0211" w:rsidRDefault="4B694E47">
      <w:pPr>
        <w:spacing w:before="120" w:after="60"/>
      </w:pPr>
      <w:r w:rsidRPr="007C0211">
        <w:rPr>
          <w:b/>
          <w:bCs/>
          <w:sz w:val="20"/>
          <w:szCs w:val="20"/>
        </w:rPr>
        <w:t>Tabela 2 – Estrutura dos períodos de validação (</w:t>
      </w:r>
      <w:proofErr w:type="spellStart"/>
      <w:r w:rsidRPr="007C0211">
        <w:rPr>
          <w:b/>
          <w:bCs/>
          <w:sz w:val="20"/>
          <w:szCs w:val="20"/>
        </w:rPr>
        <w:t>folds</w:t>
      </w:r>
      <w:proofErr w:type="spellEnd"/>
      <w:r w:rsidRPr="007C0211">
        <w:rPr>
          <w:b/>
          <w:bCs/>
          <w:sz w:val="20"/>
          <w:szCs w:val="20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"/>
        <w:gridCol w:w="2584"/>
        <w:gridCol w:w="2584"/>
        <w:gridCol w:w="2582"/>
      </w:tblGrid>
      <w:tr w:rsidR="00922072" w:rsidRPr="00922072" w14:paraId="0B450DD1" w14:textId="69C5099D" w:rsidTr="00922072">
        <w:trPr>
          <w:tblHeader/>
        </w:trPr>
        <w:tc>
          <w:tcPr>
            <w:tcW w:w="588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9B3DE" w14:textId="77777777" w:rsidR="00922072" w:rsidRPr="00922072" w:rsidRDefault="00922072">
            <w:pPr>
              <w:jc w:val="center"/>
              <w:rPr>
                <w:sz w:val="20"/>
                <w:szCs w:val="20"/>
              </w:rPr>
            </w:pPr>
            <w:proofErr w:type="spellStart"/>
            <w:r w:rsidRPr="00922072">
              <w:rPr>
                <w:color w:val="FFFFFF"/>
                <w:sz w:val="20"/>
                <w:szCs w:val="20"/>
              </w:rPr>
              <w:t>Fold</w:t>
            </w:r>
            <w:proofErr w:type="spellEnd"/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73628" w14:textId="5BA00D0C" w:rsidR="00922072" w:rsidRPr="00922072" w:rsidRDefault="00922072">
            <w:pPr>
              <w:jc w:val="center"/>
              <w:rPr>
                <w:sz w:val="20"/>
                <w:szCs w:val="20"/>
              </w:rPr>
            </w:pPr>
            <w:r w:rsidRPr="00922072">
              <w:rPr>
                <w:color w:val="FFFFFF"/>
                <w:sz w:val="20"/>
                <w:szCs w:val="20"/>
              </w:rPr>
              <w:t>Períodos de treinamento</w:t>
            </w:r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BF565" w14:textId="77777777" w:rsidR="00922072" w:rsidRPr="00922072" w:rsidRDefault="00922072">
            <w:pPr>
              <w:jc w:val="center"/>
              <w:rPr>
                <w:sz w:val="20"/>
                <w:szCs w:val="20"/>
              </w:rPr>
            </w:pPr>
            <w:r w:rsidRPr="00922072">
              <w:rPr>
                <w:color w:val="FFFFFF"/>
                <w:sz w:val="20"/>
                <w:szCs w:val="20"/>
              </w:rPr>
              <w:t>Período de teste</w:t>
            </w:r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</w:tcPr>
          <w:p w14:paraId="470EB78F" w14:textId="77777777" w:rsidR="00922072" w:rsidRPr="00922072" w:rsidRDefault="00922072">
            <w:pPr>
              <w:jc w:val="center"/>
              <w:rPr>
                <w:color w:val="FFFFFF"/>
                <w:sz w:val="20"/>
                <w:szCs w:val="20"/>
              </w:rPr>
            </w:pPr>
          </w:p>
        </w:tc>
      </w:tr>
      <w:tr w:rsidR="00922072" w:rsidRPr="00922072" w14:paraId="79D8095D" w14:textId="1AA4B587" w:rsidTr="00922072">
        <w:tc>
          <w:tcPr>
            <w:tcW w:w="588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841BE" w14:textId="3E7DFB1A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 w:rsidRPr="00922072">
              <w:rPr>
                <w:sz w:val="20"/>
                <w:szCs w:val="20"/>
              </w:rPr>
              <w:t>1</w:t>
            </w:r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1446A" w14:textId="4281520F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 w:rsidRPr="00922072">
              <w:rPr>
                <w:sz w:val="20"/>
                <w:szCs w:val="20"/>
              </w:rPr>
              <w:t>01/01/2021 a 31/12/2024</w:t>
            </w:r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B4C84A" w14:textId="0955597B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 w:rsidRPr="00922072">
              <w:rPr>
                <w:sz w:val="20"/>
                <w:szCs w:val="20"/>
              </w:rPr>
              <w:t>01/01 a 07/01/2025</w:t>
            </w:r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BD4C7F2" w14:textId="1BF515DD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1.461</w:t>
            </w:r>
          </w:p>
        </w:tc>
      </w:tr>
      <w:tr w:rsidR="00922072" w:rsidRPr="00922072" w14:paraId="63E83B2D" w14:textId="6D0768D3" w:rsidTr="00922072">
        <w:tc>
          <w:tcPr>
            <w:tcW w:w="588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999B5" w14:textId="50C1C19A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 w:rsidRPr="00922072">
              <w:rPr>
                <w:sz w:val="20"/>
                <w:szCs w:val="20"/>
              </w:rPr>
              <w:t>2</w:t>
            </w:r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7B933" w14:textId="40C9BE42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 w:rsidRPr="00922072">
              <w:rPr>
                <w:sz w:val="20"/>
                <w:szCs w:val="20"/>
              </w:rPr>
              <w:t>01/01/2021 a 07/01/2025</w:t>
            </w:r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1A45C" w14:textId="643FF990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 w:rsidRPr="00922072">
              <w:rPr>
                <w:sz w:val="20"/>
                <w:szCs w:val="20"/>
              </w:rPr>
              <w:t>08/01 a 14/01/2025</w:t>
            </w:r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</w:tcPr>
          <w:p w14:paraId="504D65A8" w14:textId="61283494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1.468</w:t>
            </w:r>
          </w:p>
        </w:tc>
      </w:tr>
      <w:tr w:rsidR="00922072" w:rsidRPr="00922072" w14:paraId="6C42E426" w14:textId="4441B360" w:rsidTr="00922072">
        <w:tc>
          <w:tcPr>
            <w:tcW w:w="588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CD5EC4" w14:textId="4CACBD02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11558" w14:textId="69F35283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358FE" w14:textId="31AE00B7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78B3F72" w14:textId="5E75ECE0" w:rsidR="00922072" w:rsidRPr="00922072" w:rsidRDefault="00922072" w:rsidP="00922072">
            <w:pPr>
              <w:jc w:val="center"/>
              <w:rPr>
                <w:rFonts w:ascii="Cambria Math" w:hAnsi="Cambria Math" w:cs="Cambria Math"/>
                <w:sz w:val="20"/>
                <w:szCs w:val="20"/>
              </w:rPr>
            </w:pPr>
            <w:r>
              <w:rPr>
                <w:rFonts w:ascii="Cambria Math" w:hAnsi="Cambria Math" w:cs="Cambria Math"/>
                <w:sz w:val="20"/>
                <w:szCs w:val="20"/>
              </w:rPr>
              <w:t>:</w:t>
            </w:r>
          </w:p>
        </w:tc>
      </w:tr>
      <w:tr w:rsidR="00922072" w:rsidRPr="00922072" w14:paraId="01B485A1" w14:textId="240DBC87" w:rsidTr="00922072">
        <w:tc>
          <w:tcPr>
            <w:tcW w:w="588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8DEE6" w14:textId="65E5D76B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 w:rsidRPr="00922072">
              <w:rPr>
                <w:sz w:val="20"/>
                <w:szCs w:val="20"/>
              </w:rPr>
              <w:t>51</w:t>
            </w:r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0E0D32" w14:textId="5C25F577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 w:rsidRPr="00922072">
              <w:rPr>
                <w:sz w:val="20"/>
                <w:szCs w:val="20"/>
              </w:rPr>
              <w:t>01/01/2021 a 16/12/2025</w:t>
            </w:r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BB1B6" w14:textId="2DE05415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 w:rsidRPr="00922072">
              <w:rPr>
                <w:sz w:val="20"/>
                <w:szCs w:val="20"/>
              </w:rPr>
              <w:t>17/12 a 23/12/2025</w:t>
            </w:r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</w:tcPr>
          <w:p w14:paraId="3E063ECA" w14:textId="46C55826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1.811</w:t>
            </w:r>
          </w:p>
        </w:tc>
      </w:tr>
      <w:tr w:rsidR="00922072" w:rsidRPr="00922072" w14:paraId="6DB8572B" w14:textId="10A3AA9F" w:rsidTr="00922072">
        <w:tc>
          <w:tcPr>
            <w:tcW w:w="588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68704" w14:textId="0C3C664A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B66558" w14:textId="4DB20A9D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 w:rsidRPr="00922072">
              <w:rPr>
                <w:sz w:val="20"/>
                <w:szCs w:val="20"/>
              </w:rPr>
              <w:t>01/01/2021 a 23/12/2025</w:t>
            </w:r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5A9FFB" w14:textId="4CAD37F6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 w:rsidRPr="00922072">
              <w:rPr>
                <w:sz w:val="20"/>
                <w:szCs w:val="20"/>
              </w:rPr>
              <w:t>24/12 a 30/12/2025</w:t>
            </w:r>
          </w:p>
        </w:tc>
        <w:tc>
          <w:tcPr>
            <w:tcW w:w="147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</w:tcPr>
          <w:p w14:paraId="71D54411" w14:textId="666DBCBD" w:rsidR="00922072" w:rsidRPr="00922072" w:rsidRDefault="00922072" w:rsidP="00922072">
            <w:pPr>
              <w:jc w:val="center"/>
              <w:rPr>
                <w:sz w:val="20"/>
                <w:szCs w:val="20"/>
              </w:rPr>
            </w:pPr>
            <w:r w:rsidRPr="00922072">
              <w:rPr>
                <w:sz w:val="20"/>
                <w:szCs w:val="20"/>
              </w:rPr>
              <w:t>1.818</w:t>
            </w:r>
          </w:p>
        </w:tc>
      </w:tr>
    </w:tbl>
    <w:p w14:paraId="3E6C3DF5" w14:textId="274E0856" w:rsidR="008622B8" w:rsidRPr="007C0211" w:rsidRDefault="4B694E47">
      <w:pPr>
        <w:spacing w:after="240"/>
      </w:pPr>
      <w:r w:rsidRPr="007C0211">
        <w:rPr>
          <w:i/>
          <w:iCs/>
          <w:sz w:val="18"/>
          <w:szCs w:val="18"/>
        </w:rPr>
        <w:t>Fonte: Elaborado pelo</w:t>
      </w:r>
      <w:r w:rsidR="00BB5CCC">
        <w:rPr>
          <w:i/>
          <w:iCs/>
          <w:sz w:val="18"/>
          <w:szCs w:val="18"/>
        </w:rPr>
        <w:t>s</w:t>
      </w:r>
      <w:r w:rsidRPr="007C0211">
        <w:rPr>
          <w:i/>
          <w:iCs/>
          <w:sz w:val="18"/>
          <w:szCs w:val="18"/>
        </w:rPr>
        <w:t xml:space="preserve"> autor</w:t>
      </w:r>
      <w:r w:rsidR="00BB5CCC">
        <w:rPr>
          <w:i/>
          <w:iCs/>
          <w:sz w:val="18"/>
          <w:szCs w:val="18"/>
        </w:rPr>
        <w:t>es</w:t>
      </w:r>
      <w:r w:rsidRPr="007C0211">
        <w:rPr>
          <w:i/>
          <w:iCs/>
          <w:sz w:val="18"/>
          <w:szCs w:val="18"/>
        </w:rPr>
        <w:t xml:space="preserve"> a partir dos dados da pesquisa.</w:t>
      </w:r>
    </w:p>
    <w:p w14:paraId="205A98B1" w14:textId="77777777" w:rsidR="008622B8" w:rsidRPr="007C0211" w:rsidRDefault="4B694E47">
      <w:pPr>
        <w:pStyle w:val="heading20"/>
      </w:pPr>
      <w:r w:rsidRPr="007C0211">
        <w:t>3.6 Métricas de desempenho e testes estatísticos</w:t>
      </w:r>
    </w:p>
    <w:p w14:paraId="56569C1C" w14:textId="7F128D80" w:rsidR="008622B8" w:rsidRDefault="4B694E47">
      <w:pPr>
        <w:spacing w:after="200" w:line="360" w:lineRule="auto"/>
        <w:ind w:firstLine="708"/>
        <w:jc w:val="both"/>
      </w:pPr>
      <w:r w:rsidRPr="007C0211">
        <w:t xml:space="preserve">O desempenho preditivo foi mensurado pelas métricas RMSE (raiz do erro quadrático médio), MAE (erro absoluto médio) e MAPE (erro percentual absoluto médio), calculadas para cada </w:t>
      </w:r>
      <w:proofErr w:type="spellStart"/>
      <w:r w:rsidRPr="007C0211">
        <w:t>fold</w:t>
      </w:r>
      <w:proofErr w:type="spellEnd"/>
      <w:r w:rsidRPr="007C0211">
        <w:t xml:space="preserve"> e consolidadas pela média entre os </w:t>
      </w:r>
      <w:r w:rsidR="00922072">
        <w:t xml:space="preserve">52 </w:t>
      </w:r>
      <w:r w:rsidRPr="007C0211">
        <w:t xml:space="preserve">períodos de teste. A significância das diferenças de desempenho entre pares de modelos foi avaliada pelo teste de </w:t>
      </w:r>
      <w:proofErr w:type="spellStart"/>
      <w:r w:rsidRPr="007C0211">
        <w:t>Diebold</w:t>
      </w:r>
      <w:proofErr w:type="spellEnd"/>
      <w:r w:rsidRPr="007C0211">
        <w:t xml:space="preserve">-Mariano (DIEBOLD; MARIANO, 1995), com correção de Holm (HOLM, 1979) </w:t>
      </w:r>
      <w:r w:rsidRPr="007C0211">
        <w:lastRenderedPageBreak/>
        <w:t xml:space="preserve">para controle da taxa de erro do tipo I nas três comparações par a par (SARIMA × ETS, SARIMA × DHR e ETS × DHR). Complementarmente, aplicou-se o teste de Friedman para avaliar, de forma conjunta, se havia diferença estatisticamente significativa no desempenho dos três modelos ao longo dos </w:t>
      </w:r>
      <w:proofErr w:type="spellStart"/>
      <w:r w:rsidRPr="007C0211">
        <w:t>folds</w:t>
      </w:r>
      <w:proofErr w:type="spellEnd"/>
      <w:r w:rsidRPr="007C0211">
        <w:t>, adotando-se nível de significância α = 0,05 em todos os testes.</w:t>
      </w:r>
    </w:p>
    <w:p w14:paraId="11D44279" w14:textId="77777777" w:rsidR="008622B8" w:rsidRPr="007C0211" w:rsidRDefault="4B694E47">
      <w:pPr>
        <w:pStyle w:val="heading20"/>
      </w:pPr>
      <w:r w:rsidRPr="007C0211">
        <w:t>3.7 Considerações éticas e de integridade dos dados</w:t>
      </w:r>
    </w:p>
    <w:p w14:paraId="2B165D99" w14:textId="77777777" w:rsidR="008D0161" w:rsidRDefault="4B694E47" w:rsidP="008D0161">
      <w:pPr>
        <w:spacing w:after="200" w:line="360" w:lineRule="auto"/>
        <w:ind w:firstLine="708"/>
        <w:jc w:val="both"/>
      </w:pPr>
      <w:r w:rsidRPr="007C0211">
        <w:t>Os dados utilizados são públicos, agregados por subsistema elétrico e disponibilizados oficialmente pelo ONS, não havendo qualquer possibilidade de identificação direta ou indireta de pessoas, tampouco coleta direta com participantes, uso de prontuários, questionários ou informações institucionais restritas. O estudo, portanto, enquadra-se integralmente nas modalidades de delineamento admitidas no item 2.1 e na delimitação ética e metodológica do item 2.2 do Manual de TCC do Bacharelado em Estatística, dispensando submissão a Comitê de Ética em Pesquisa.</w:t>
      </w:r>
    </w:p>
    <w:p w14:paraId="1B4E0F6B" w14:textId="3C7D3992" w:rsidR="008622B8" w:rsidRPr="007C0211" w:rsidRDefault="4B694E47" w:rsidP="008D0161">
      <w:pPr>
        <w:spacing w:after="200" w:line="360" w:lineRule="auto"/>
        <w:jc w:val="both"/>
      </w:pPr>
      <w:r w:rsidRPr="007C0211">
        <w:rPr>
          <w:b/>
          <w:bCs/>
          <w:caps/>
          <w:sz w:val="26"/>
          <w:szCs w:val="26"/>
        </w:rPr>
        <w:t>4. Resultados e discussão</w:t>
      </w:r>
    </w:p>
    <w:p w14:paraId="4552316B" w14:textId="77777777" w:rsidR="008622B8" w:rsidRPr="007C0211" w:rsidRDefault="4B694E47">
      <w:pPr>
        <w:pStyle w:val="heading20"/>
      </w:pPr>
      <w:r w:rsidRPr="007C0211">
        <w:t>4.1 Análise exploratória</w:t>
      </w:r>
    </w:p>
    <w:p w14:paraId="7B67E226" w14:textId="77777777" w:rsidR="00020AA0" w:rsidRDefault="4B694E47">
      <w:pPr>
        <w:spacing w:after="200" w:line="360" w:lineRule="auto"/>
        <w:ind w:firstLine="708"/>
        <w:jc w:val="both"/>
      </w:pPr>
      <w:r w:rsidRPr="007C0211">
        <w:t>No período analisado, a carga diária do subsistema Sudeste/Centro-Oeste apresentou</w:t>
      </w:r>
      <w:r w:rsidR="00020AA0">
        <w:t>:</w:t>
      </w:r>
    </w:p>
    <w:p w14:paraId="550B6522" w14:textId="5E69E78E" w:rsidR="00020AA0" w:rsidRPr="007C0211" w:rsidRDefault="00020AA0" w:rsidP="00523AE9">
      <w:pPr>
        <w:spacing w:before="120" w:after="60"/>
        <w:jc w:val="both"/>
      </w:pPr>
      <w:r w:rsidRPr="007C0211">
        <w:rPr>
          <w:b/>
          <w:bCs/>
          <w:sz w:val="20"/>
          <w:szCs w:val="20"/>
        </w:rPr>
        <w:t xml:space="preserve">Tabela </w:t>
      </w:r>
      <w:r>
        <w:rPr>
          <w:b/>
          <w:bCs/>
          <w:sz w:val="20"/>
          <w:szCs w:val="20"/>
        </w:rPr>
        <w:t>3</w:t>
      </w:r>
      <w:r w:rsidRPr="007C0211">
        <w:rPr>
          <w:b/>
          <w:bCs/>
          <w:sz w:val="20"/>
          <w:szCs w:val="20"/>
        </w:rPr>
        <w:t xml:space="preserve"> – </w:t>
      </w:r>
      <w:r>
        <w:rPr>
          <w:b/>
          <w:bCs/>
          <w:sz w:val="20"/>
          <w:szCs w:val="20"/>
        </w:rPr>
        <w:t>Análise descritiva</w:t>
      </w:r>
    </w:p>
    <w:tbl>
      <w:tblPr>
        <w:tblW w:w="6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4"/>
        <w:gridCol w:w="3686"/>
      </w:tblGrid>
      <w:tr w:rsidR="00020AA0" w:rsidRPr="007C0211" w14:paraId="698169EA" w14:textId="77777777" w:rsidTr="00523AE9">
        <w:trPr>
          <w:tblHeader/>
          <w:jc w:val="center"/>
        </w:trPr>
        <w:tc>
          <w:tcPr>
            <w:tcW w:w="297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3BD31" w14:textId="6D542C74" w:rsidR="00020AA0" w:rsidRPr="00776AB4" w:rsidRDefault="00020AA0" w:rsidP="00020AA0">
            <w:pPr>
              <w:jc w:val="center"/>
              <w:rPr>
                <w:sz w:val="20"/>
                <w:szCs w:val="20"/>
              </w:rPr>
            </w:pPr>
            <w:r w:rsidRPr="00776AB4">
              <w:rPr>
                <w:sz w:val="20"/>
                <w:szCs w:val="20"/>
              </w:rPr>
              <w:t>Estatística</w:t>
            </w:r>
          </w:p>
        </w:tc>
        <w:tc>
          <w:tcPr>
            <w:tcW w:w="36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D399" w14:textId="4387D2A7" w:rsidR="00020AA0" w:rsidRPr="00776AB4" w:rsidRDefault="00020AA0" w:rsidP="00020AA0">
            <w:pPr>
              <w:jc w:val="center"/>
              <w:rPr>
                <w:sz w:val="20"/>
                <w:szCs w:val="20"/>
              </w:rPr>
            </w:pPr>
            <w:r w:rsidRPr="00776AB4">
              <w:rPr>
                <w:sz w:val="20"/>
                <w:szCs w:val="20"/>
              </w:rPr>
              <w:t>MWmed</w:t>
            </w:r>
          </w:p>
        </w:tc>
      </w:tr>
      <w:tr w:rsidR="00020AA0" w:rsidRPr="007C0211" w14:paraId="024813BF" w14:textId="77777777" w:rsidTr="00523AE9">
        <w:trPr>
          <w:jc w:val="center"/>
        </w:trPr>
        <w:tc>
          <w:tcPr>
            <w:tcW w:w="297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92DBF" w14:textId="76A40EA9" w:rsidR="00020AA0" w:rsidRPr="00776AB4" w:rsidRDefault="00020AA0" w:rsidP="00523AE9">
            <w:pPr>
              <w:rPr>
                <w:sz w:val="20"/>
                <w:szCs w:val="20"/>
              </w:rPr>
            </w:pPr>
            <w:r w:rsidRPr="00776AB4">
              <w:rPr>
                <w:sz w:val="20"/>
                <w:szCs w:val="20"/>
              </w:rPr>
              <w:t>Média</w:t>
            </w:r>
          </w:p>
        </w:tc>
        <w:tc>
          <w:tcPr>
            <w:tcW w:w="36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CB5E7" w14:textId="5D257FBF" w:rsidR="00020AA0" w:rsidRPr="00776AB4" w:rsidRDefault="00020AA0" w:rsidP="00020AA0">
            <w:pPr>
              <w:jc w:val="center"/>
              <w:rPr>
                <w:sz w:val="20"/>
                <w:szCs w:val="20"/>
              </w:rPr>
            </w:pPr>
            <w:r w:rsidRPr="00776AB4">
              <w:rPr>
                <w:sz w:val="20"/>
                <w:szCs w:val="20"/>
              </w:rPr>
              <w:t>41.883,73</w:t>
            </w:r>
          </w:p>
        </w:tc>
      </w:tr>
      <w:tr w:rsidR="00020AA0" w:rsidRPr="007C0211" w14:paraId="18B36DD3" w14:textId="77777777" w:rsidTr="00523AE9">
        <w:trPr>
          <w:jc w:val="center"/>
        </w:trPr>
        <w:tc>
          <w:tcPr>
            <w:tcW w:w="297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A3A17" w14:textId="32FCD27E" w:rsidR="00020AA0" w:rsidRPr="00776AB4" w:rsidRDefault="00020AA0" w:rsidP="00523AE9">
            <w:pPr>
              <w:rPr>
                <w:sz w:val="20"/>
                <w:szCs w:val="20"/>
              </w:rPr>
            </w:pPr>
            <w:r w:rsidRPr="00776AB4">
              <w:rPr>
                <w:sz w:val="20"/>
                <w:szCs w:val="20"/>
              </w:rPr>
              <w:t>Mediana</w:t>
            </w:r>
          </w:p>
        </w:tc>
        <w:tc>
          <w:tcPr>
            <w:tcW w:w="36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034492" w14:textId="099099DC" w:rsidR="00020AA0" w:rsidRPr="00776AB4" w:rsidRDefault="00020AA0" w:rsidP="00020AA0">
            <w:pPr>
              <w:jc w:val="center"/>
              <w:rPr>
                <w:sz w:val="20"/>
                <w:szCs w:val="20"/>
              </w:rPr>
            </w:pPr>
            <w:r w:rsidRPr="00776AB4">
              <w:rPr>
                <w:sz w:val="20"/>
                <w:szCs w:val="20"/>
              </w:rPr>
              <w:t>41.641,55</w:t>
            </w:r>
          </w:p>
        </w:tc>
      </w:tr>
      <w:tr w:rsidR="00020AA0" w:rsidRPr="007C0211" w14:paraId="36936295" w14:textId="77777777" w:rsidTr="00523AE9">
        <w:trPr>
          <w:jc w:val="center"/>
        </w:trPr>
        <w:tc>
          <w:tcPr>
            <w:tcW w:w="297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8F9AA" w14:textId="2CE896D9" w:rsidR="00020AA0" w:rsidRPr="00776AB4" w:rsidRDefault="00020AA0" w:rsidP="00523AE9">
            <w:pPr>
              <w:rPr>
                <w:sz w:val="20"/>
                <w:szCs w:val="20"/>
              </w:rPr>
            </w:pPr>
            <w:r w:rsidRPr="00776AB4">
              <w:rPr>
                <w:sz w:val="20"/>
                <w:szCs w:val="20"/>
              </w:rPr>
              <w:t>Desvio-padrão</w:t>
            </w:r>
          </w:p>
        </w:tc>
        <w:tc>
          <w:tcPr>
            <w:tcW w:w="36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EC992" w14:textId="189893AE" w:rsidR="00020AA0" w:rsidRPr="00776AB4" w:rsidRDefault="00020AA0" w:rsidP="00020AA0">
            <w:pPr>
              <w:jc w:val="center"/>
              <w:rPr>
                <w:sz w:val="20"/>
                <w:szCs w:val="20"/>
              </w:rPr>
            </w:pPr>
            <w:r w:rsidRPr="00776AB4">
              <w:rPr>
                <w:sz w:val="20"/>
                <w:szCs w:val="20"/>
              </w:rPr>
              <w:t>4.419,49</w:t>
            </w:r>
          </w:p>
        </w:tc>
      </w:tr>
      <w:tr w:rsidR="00020AA0" w:rsidRPr="007C0211" w14:paraId="4F1BB145" w14:textId="77777777" w:rsidTr="00523AE9">
        <w:trPr>
          <w:jc w:val="center"/>
        </w:trPr>
        <w:tc>
          <w:tcPr>
            <w:tcW w:w="297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9C139" w14:textId="5A47125E" w:rsidR="00020AA0" w:rsidRPr="00776AB4" w:rsidRDefault="00020AA0" w:rsidP="00523AE9">
            <w:pPr>
              <w:rPr>
                <w:sz w:val="20"/>
                <w:szCs w:val="20"/>
              </w:rPr>
            </w:pPr>
            <w:r w:rsidRPr="00776AB4">
              <w:rPr>
                <w:sz w:val="20"/>
                <w:szCs w:val="20"/>
              </w:rPr>
              <w:t>Mínimo</w:t>
            </w:r>
          </w:p>
        </w:tc>
        <w:tc>
          <w:tcPr>
            <w:tcW w:w="36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69267" w14:textId="3E0AD3DF" w:rsidR="00020AA0" w:rsidRPr="00776AB4" w:rsidRDefault="00020AA0" w:rsidP="00020AA0">
            <w:pPr>
              <w:jc w:val="center"/>
              <w:rPr>
                <w:sz w:val="20"/>
                <w:szCs w:val="20"/>
              </w:rPr>
            </w:pPr>
            <w:r w:rsidRPr="00776AB4">
              <w:rPr>
                <w:sz w:val="20"/>
                <w:szCs w:val="20"/>
              </w:rPr>
              <w:t>31.015,95</w:t>
            </w:r>
          </w:p>
        </w:tc>
      </w:tr>
      <w:tr w:rsidR="00020AA0" w:rsidRPr="007C0211" w14:paraId="08885261" w14:textId="77777777" w:rsidTr="00523AE9">
        <w:trPr>
          <w:jc w:val="center"/>
        </w:trPr>
        <w:tc>
          <w:tcPr>
            <w:tcW w:w="297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A5E35E" w14:textId="406EF13F" w:rsidR="00020AA0" w:rsidRPr="00776AB4" w:rsidRDefault="00020AA0" w:rsidP="00523AE9">
            <w:pPr>
              <w:rPr>
                <w:sz w:val="20"/>
                <w:szCs w:val="20"/>
              </w:rPr>
            </w:pPr>
            <w:r w:rsidRPr="00776AB4">
              <w:rPr>
                <w:sz w:val="20"/>
                <w:szCs w:val="20"/>
              </w:rPr>
              <w:t>Máximo</w:t>
            </w:r>
          </w:p>
        </w:tc>
        <w:tc>
          <w:tcPr>
            <w:tcW w:w="36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061E4" w14:textId="7B29D28D" w:rsidR="00020AA0" w:rsidRPr="00776AB4" w:rsidRDefault="00020AA0" w:rsidP="00020AA0">
            <w:pPr>
              <w:jc w:val="center"/>
              <w:rPr>
                <w:sz w:val="20"/>
                <w:szCs w:val="20"/>
              </w:rPr>
            </w:pPr>
            <w:r w:rsidRPr="00776AB4">
              <w:rPr>
                <w:sz w:val="20"/>
                <w:szCs w:val="20"/>
              </w:rPr>
              <w:t>55.584,90</w:t>
            </w:r>
          </w:p>
        </w:tc>
      </w:tr>
    </w:tbl>
    <w:p w14:paraId="746C80E6" w14:textId="77777777" w:rsidR="00020AA0" w:rsidRPr="007C0211" w:rsidRDefault="00020AA0" w:rsidP="00523AE9">
      <w:pPr>
        <w:spacing w:after="240"/>
        <w:jc w:val="both"/>
      </w:pPr>
      <w:r w:rsidRPr="007C0211">
        <w:rPr>
          <w:i/>
          <w:iCs/>
          <w:sz w:val="18"/>
          <w:szCs w:val="18"/>
        </w:rPr>
        <w:t>Fonte: Elaborado pelo</w:t>
      </w:r>
      <w:r>
        <w:rPr>
          <w:i/>
          <w:iCs/>
          <w:sz w:val="18"/>
          <w:szCs w:val="18"/>
        </w:rPr>
        <w:t>s</w:t>
      </w:r>
      <w:r w:rsidRPr="007C0211">
        <w:rPr>
          <w:i/>
          <w:iCs/>
          <w:sz w:val="18"/>
          <w:szCs w:val="18"/>
        </w:rPr>
        <w:t xml:space="preserve"> autor</w:t>
      </w:r>
      <w:r>
        <w:rPr>
          <w:i/>
          <w:iCs/>
          <w:sz w:val="18"/>
          <w:szCs w:val="18"/>
        </w:rPr>
        <w:t>es</w:t>
      </w:r>
      <w:r w:rsidRPr="007C0211">
        <w:rPr>
          <w:i/>
          <w:iCs/>
          <w:sz w:val="18"/>
          <w:szCs w:val="18"/>
        </w:rPr>
        <w:t xml:space="preserve"> a partir dos dados da pesquisa.</w:t>
      </w:r>
    </w:p>
    <w:p w14:paraId="716C06D7" w14:textId="52EC01A0" w:rsidR="008622B8" w:rsidRPr="007C0211" w:rsidRDefault="4B694E47">
      <w:pPr>
        <w:spacing w:after="200" w:line="360" w:lineRule="auto"/>
        <w:ind w:firstLine="708"/>
        <w:jc w:val="both"/>
      </w:pPr>
      <w:r w:rsidRPr="007C0211">
        <w:t>A Figura 1 apresenta a série completa, evidenciando tendência ascendente de longo prazo a partir de 2023 e oscilação sazonal de alta frequência ao longo de todo o período.</w:t>
      </w:r>
    </w:p>
    <w:p w14:paraId="0A37501D" w14:textId="77777777" w:rsidR="008622B8" w:rsidRPr="007C0211" w:rsidRDefault="002743ED">
      <w:pPr>
        <w:spacing w:before="120" w:after="60"/>
        <w:jc w:val="center"/>
      </w:pPr>
      <w:r w:rsidRPr="007C0211">
        <w:rPr>
          <w:noProof/>
        </w:rPr>
        <w:lastRenderedPageBreak/>
        <w:drawing>
          <wp:inline distT="0" distB="0" distL="0" distR="0" wp14:anchorId="444F0473" wp14:editId="07777777">
            <wp:extent cx="5715000" cy="2095500"/>
            <wp:effectExtent l="0" t="0" r="0" b="0"/>
            <wp:docPr id="1" name="fig01_serie.png" descr="fig01_serie.png" title="fig01_ser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B5C8" w14:textId="26D6E9BB" w:rsidR="008622B8" w:rsidRPr="007C0211" w:rsidRDefault="4B694E47">
      <w:pPr>
        <w:spacing w:before="120" w:after="60"/>
      </w:pPr>
      <w:r w:rsidRPr="007C0211">
        <w:rPr>
          <w:b/>
          <w:bCs/>
          <w:sz w:val="20"/>
          <w:szCs w:val="20"/>
        </w:rPr>
        <w:t>Figura 1 – Carga diária de energia elétrica, subsistema Sudeste/Centro-Oeste (2021–202</w:t>
      </w:r>
      <w:r w:rsidR="007865AE">
        <w:rPr>
          <w:b/>
          <w:bCs/>
          <w:sz w:val="20"/>
          <w:szCs w:val="20"/>
        </w:rPr>
        <w:t>5</w:t>
      </w:r>
      <w:r w:rsidRPr="007C0211">
        <w:rPr>
          <w:b/>
          <w:bCs/>
          <w:sz w:val="20"/>
          <w:szCs w:val="20"/>
        </w:rPr>
        <w:t>)</w:t>
      </w:r>
    </w:p>
    <w:p w14:paraId="17698E41" w14:textId="27A9E1BC" w:rsidR="008622B8" w:rsidRPr="007C0211" w:rsidRDefault="4B694E47">
      <w:pPr>
        <w:spacing w:after="240"/>
      </w:pPr>
      <w:r w:rsidRPr="007C0211">
        <w:rPr>
          <w:i/>
          <w:iCs/>
          <w:sz w:val="18"/>
          <w:szCs w:val="18"/>
        </w:rPr>
        <w:t>Fonte: Elaborado pelo</w:t>
      </w:r>
      <w:r w:rsidR="00267BA4">
        <w:rPr>
          <w:i/>
          <w:iCs/>
          <w:sz w:val="18"/>
          <w:szCs w:val="18"/>
        </w:rPr>
        <w:t>s</w:t>
      </w:r>
      <w:r w:rsidRPr="007C0211">
        <w:rPr>
          <w:i/>
          <w:iCs/>
          <w:sz w:val="18"/>
          <w:szCs w:val="18"/>
        </w:rPr>
        <w:t xml:space="preserve"> autor</w:t>
      </w:r>
      <w:r w:rsidR="00267BA4">
        <w:rPr>
          <w:i/>
          <w:iCs/>
          <w:sz w:val="18"/>
          <w:szCs w:val="18"/>
        </w:rPr>
        <w:t>es</w:t>
      </w:r>
      <w:r w:rsidRPr="007C0211">
        <w:rPr>
          <w:i/>
          <w:iCs/>
          <w:sz w:val="18"/>
          <w:szCs w:val="18"/>
        </w:rPr>
        <w:t xml:space="preserve"> a partir dos dados do ONS (2026).</w:t>
      </w:r>
    </w:p>
    <w:p w14:paraId="336B40E2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>A análise da sazonalidade semanal confirmou o padrão esperado para séries de consumo elétrico: quarta-feira apresentou a maior média de carga (43.529,57 MWmed), enquanto domingo apresentou a menor (36.889,95 MWmed), uma diferença de aproximadamente 15,3%. Em termos mensais, março registrou a maior média (45.064,89 MWmed) e julho a menor (38.808,87 MWmed), padrão compatível com a influência de fatores climáticos e de calendário sobre o consumo (TAYLOR, 2003).</w:t>
      </w:r>
    </w:p>
    <w:p w14:paraId="37FA80F5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>A decomposição STL (Figura 2) evidenciou os três componentes esperados: tendência de longo prazo, com elevação expressiva a partir de 2023; forte sazonalidade semanal, de amplitude relativamente estável ao longo do período; e componente residual de magnitude reduzida frente às demais, indicando que a maior parte da variabilidade da série é explicada pela tendência e pela sazonalidade (CLEVELAND et al., 1990).</w:t>
      </w:r>
    </w:p>
    <w:p w14:paraId="5DAB6C7B" w14:textId="77777777" w:rsidR="008622B8" w:rsidRPr="007C0211" w:rsidRDefault="002743ED">
      <w:pPr>
        <w:spacing w:before="120" w:after="60"/>
        <w:jc w:val="center"/>
      </w:pPr>
      <w:r w:rsidRPr="007C0211">
        <w:rPr>
          <w:noProof/>
        </w:rPr>
        <w:lastRenderedPageBreak/>
        <w:drawing>
          <wp:inline distT="0" distB="0" distL="0" distR="0" wp14:anchorId="770680FD" wp14:editId="0974615B">
            <wp:extent cx="5632939" cy="3849174"/>
            <wp:effectExtent l="0" t="0" r="6350" b="0"/>
            <wp:docPr id="1317995748" name="fig02_stl.png" descr="fig02_stl.png" title="fig02_st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972" cy="388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375D" w14:textId="77777777" w:rsidR="008622B8" w:rsidRPr="007C0211" w:rsidRDefault="4B694E47">
      <w:pPr>
        <w:spacing w:before="120" w:after="60"/>
      </w:pPr>
      <w:r w:rsidRPr="007C0211">
        <w:rPr>
          <w:b/>
          <w:bCs/>
          <w:sz w:val="20"/>
          <w:szCs w:val="20"/>
        </w:rPr>
        <w:t>Figura 2 – Decomposição STL semanal da série de carga elétrica</w:t>
      </w:r>
    </w:p>
    <w:p w14:paraId="18A54707" w14:textId="35EFE14B" w:rsidR="008622B8" w:rsidRPr="007C0211" w:rsidRDefault="4B694E47">
      <w:pPr>
        <w:spacing w:after="240"/>
      </w:pPr>
      <w:r w:rsidRPr="007C0211">
        <w:rPr>
          <w:i/>
          <w:iCs/>
          <w:sz w:val="18"/>
          <w:szCs w:val="18"/>
        </w:rPr>
        <w:t>Fonte: Elaborado pelo</w:t>
      </w:r>
      <w:r w:rsidR="001937DF">
        <w:rPr>
          <w:i/>
          <w:iCs/>
          <w:sz w:val="18"/>
          <w:szCs w:val="18"/>
        </w:rPr>
        <w:t>s</w:t>
      </w:r>
      <w:r w:rsidRPr="007C0211">
        <w:rPr>
          <w:i/>
          <w:iCs/>
          <w:sz w:val="18"/>
          <w:szCs w:val="18"/>
        </w:rPr>
        <w:t xml:space="preserve"> autor</w:t>
      </w:r>
      <w:r w:rsidR="001937DF">
        <w:rPr>
          <w:i/>
          <w:iCs/>
          <w:sz w:val="18"/>
          <w:szCs w:val="18"/>
        </w:rPr>
        <w:t>es</w:t>
      </w:r>
      <w:r w:rsidRPr="007C0211">
        <w:rPr>
          <w:i/>
          <w:iCs/>
          <w:sz w:val="18"/>
          <w:szCs w:val="18"/>
        </w:rPr>
        <w:t xml:space="preserve"> a partir dos dados do ONS (2026).</w:t>
      </w:r>
    </w:p>
    <w:p w14:paraId="37103377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>As funções de autocorrelação (ACF) e autocorrelação parcial (PACF), apresentadas na Figura 3, confirmam a presença de forte dependência temporal e de um padrão sazonal semanal nítido: a ACF exibe picos recorrentes a cada sete defasagens, com decaimento lento, característico de séries com componente sazonal persistente, enquanto a PACF apresenta corte abrupto após poucas defasagens, com destaque para o valor negativo acentuado na defasagem 7 — indicativo da necessidade de diferenciação sazonal, posteriormente incorporada ao modelo SARIMA.</w:t>
      </w:r>
    </w:p>
    <w:p w14:paraId="02EB378F" w14:textId="77777777" w:rsidR="008622B8" w:rsidRPr="007C0211" w:rsidRDefault="002743ED">
      <w:pPr>
        <w:spacing w:before="120" w:after="60"/>
        <w:jc w:val="center"/>
      </w:pPr>
      <w:r w:rsidRPr="007C0211">
        <w:rPr>
          <w:noProof/>
        </w:rPr>
        <w:lastRenderedPageBreak/>
        <w:drawing>
          <wp:inline distT="0" distB="0" distL="0" distR="0" wp14:anchorId="03B32B7A" wp14:editId="07777777">
            <wp:extent cx="5715000" cy="1790700"/>
            <wp:effectExtent l="0" t="0" r="0" b="0"/>
            <wp:docPr id="1327570384" name="fig03_acf_pacf.png" descr="fig03_acf_pacf.png" title="fig03_acf_pac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933B" w14:textId="77777777" w:rsidR="008622B8" w:rsidRPr="007C0211" w:rsidRDefault="4B694E47">
      <w:pPr>
        <w:spacing w:before="120" w:after="60"/>
      </w:pPr>
      <w:r w:rsidRPr="007C0211">
        <w:rPr>
          <w:b/>
          <w:bCs/>
          <w:sz w:val="20"/>
          <w:szCs w:val="20"/>
        </w:rPr>
        <w:t>Figura 3 – Funções de autocorrelação (ACF) e autocorrelação parcial (PACF)</w:t>
      </w:r>
    </w:p>
    <w:p w14:paraId="5A0C97F3" w14:textId="7BA8D8B1" w:rsidR="008622B8" w:rsidRPr="007C0211" w:rsidRDefault="4B694E47">
      <w:pPr>
        <w:spacing w:after="240"/>
      </w:pPr>
      <w:r w:rsidRPr="007C0211">
        <w:rPr>
          <w:i/>
          <w:iCs/>
          <w:sz w:val="18"/>
          <w:szCs w:val="18"/>
        </w:rPr>
        <w:t>Fonte: Elaborado pelo</w:t>
      </w:r>
      <w:r w:rsidR="0099153E">
        <w:rPr>
          <w:i/>
          <w:iCs/>
          <w:sz w:val="18"/>
          <w:szCs w:val="18"/>
        </w:rPr>
        <w:t>s</w:t>
      </w:r>
      <w:r w:rsidRPr="007C0211">
        <w:rPr>
          <w:i/>
          <w:iCs/>
          <w:sz w:val="18"/>
          <w:szCs w:val="18"/>
        </w:rPr>
        <w:t xml:space="preserve"> autor</w:t>
      </w:r>
      <w:r w:rsidR="0099153E">
        <w:rPr>
          <w:i/>
          <w:iCs/>
          <w:sz w:val="18"/>
          <w:szCs w:val="18"/>
        </w:rPr>
        <w:t>es</w:t>
      </w:r>
      <w:r w:rsidRPr="007C0211">
        <w:rPr>
          <w:i/>
          <w:iCs/>
          <w:sz w:val="18"/>
          <w:szCs w:val="18"/>
        </w:rPr>
        <w:t xml:space="preserve"> a partir dos dados do ONS (2026).</w:t>
      </w:r>
    </w:p>
    <w:p w14:paraId="73D162DB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 xml:space="preserve">A Figura 4 apresenta a distribuição da carga elétrica e sua desagregação por dia da semana. O histograma revela distribuição aproximadamente simétrica, com leve assimetria positiva, enquanto os </w:t>
      </w:r>
      <w:proofErr w:type="spellStart"/>
      <w:r w:rsidRPr="007C0211">
        <w:t>boxplots</w:t>
      </w:r>
      <w:proofErr w:type="spellEnd"/>
      <w:r w:rsidRPr="007C0211">
        <w:t xml:space="preserve"> por dia da semana confirmam visualmente a redução de consumo nos finais de semana, sobretudo aos domingos, corroborando a análise numérica da sazonalidade semanal.</w:t>
      </w:r>
    </w:p>
    <w:p w14:paraId="6A05A809" w14:textId="77777777" w:rsidR="008622B8" w:rsidRPr="007C0211" w:rsidRDefault="002743ED">
      <w:pPr>
        <w:spacing w:before="120" w:after="60"/>
        <w:jc w:val="center"/>
      </w:pPr>
      <w:r w:rsidRPr="007C0211">
        <w:rPr>
          <w:noProof/>
        </w:rPr>
        <w:drawing>
          <wp:inline distT="0" distB="0" distL="0" distR="0" wp14:anchorId="79856822" wp14:editId="117985EB">
            <wp:extent cx="5912591" cy="1852612"/>
            <wp:effectExtent l="0" t="0" r="0" b="0"/>
            <wp:docPr id="836062268" name="fig04_distribuicao_boxplot.png" descr="fig04_distribuicao_boxplot.png" title="fig04_distribuicao_box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591" cy="185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D2C9" w14:textId="77777777" w:rsidR="008622B8" w:rsidRPr="007C0211" w:rsidRDefault="4B694E47">
      <w:pPr>
        <w:spacing w:before="120" w:after="60"/>
      </w:pPr>
      <w:r w:rsidRPr="007C0211">
        <w:rPr>
          <w:b/>
          <w:bCs/>
          <w:sz w:val="20"/>
          <w:szCs w:val="20"/>
        </w:rPr>
        <w:t xml:space="preserve">Figura 4 – Distribuição da carga elétrica (A) e </w:t>
      </w:r>
      <w:proofErr w:type="spellStart"/>
      <w:r w:rsidRPr="007C0211">
        <w:rPr>
          <w:b/>
          <w:bCs/>
          <w:sz w:val="20"/>
          <w:szCs w:val="20"/>
        </w:rPr>
        <w:t>boxplot</w:t>
      </w:r>
      <w:proofErr w:type="spellEnd"/>
      <w:r w:rsidRPr="007C0211">
        <w:rPr>
          <w:b/>
          <w:bCs/>
          <w:sz w:val="20"/>
          <w:szCs w:val="20"/>
        </w:rPr>
        <w:t xml:space="preserve"> por dia da semana (B)</w:t>
      </w:r>
    </w:p>
    <w:p w14:paraId="44D8DED8" w14:textId="2B8F4B57" w:rsidR="008622B8" w:rsidRPr="007C0211" w:rsidRDefault="4B694E47">
      <w:pPr>
        <w:spacing w:after="240"/>
      </w:pPr>
      <w:r w:rsidRPr="007C0211">
        <w:rPr>
          <w:i/>
          <w:iCs/>
          <w:sz w:val="18"/>
          <w:szCs w:val="18"/>
        </w:rPr>
        <w:t>Fonte: Elaborado pelo</w:t>
      </w:r>
      <w:r w:rsidR="00267BA4">
        <w:rPr>
          <w:i/>
          <w:iCs/>
          <w:sz w:val="18"/>
          <w:szCs w:val="18"/>
        </w:rPr>
        <w:t>s</w:t>
      </w:r>
      <w:r w:rsidRPr="007C0211">
        <w:rPr>
          <w:i/>
          <w:iCs/>
          <w:sz w:val="18"/>
          <w:szCs w:val="18"/>
        </w:rPr>
        <w:t xml:space="preserve"> autor</w:t>
      </w:r>
      <w:r w:rsidR="00267BA4">
        <w:rPr>
          <w:i/>
          <w:iCs/>
          <w:sz w:val="18"/>
          <w:szCs w:val="18"/>
        </w:rPr>
        <w:t>es</w:t>
      </w:r>
      <w:r w:rsidRPr="007C0211">
        <w:rPr>
          <w:i/>
          <w:iCs/>
          <w:sz w:val="18"/>
          <w:szCs w:val="18"/>
        </w:rPr>
        <w:t xml:space="preserve"> a partir dos dados do ONS (2026).</w:t>
      </w:r>
    </w:p>
    <w:p w14:paraId="27A081B3" w14:textId="77777777" w:rsidR="008622B8" w:rsidRPr="007C0211" w:rsidRDefault="4B694E47">
      <w:pPr>
        <w:pStyle w:val="heading20"/>
      </w:pPr>
      <w:r w:rsidRPr="007C0211">
        <w:t xml:space="preserve">4.2 </w:t>
      </w:r>
      <w:proofErr w:type="spellStart"/>
      <w:r w:rsidRPr="007C0211">
        <w:t>Estacionariedade</w:t>
      </w:r>
      <w:proofErr w:type="spellEnd"/>
    </w:p>
    <w:p w14:paraId="651EE456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 xml:space="preserve">Os testes de </w:t>
      </w:r>
      <w:proofErr w:type="spellStart"/>
      <w:r w:rsidRPr="007C0211">
        <w:t>estacionariedade</w:t>
      </w:r>
      <w:proofErr w:type="spellEnd"/>
      <w:r w:rsidRPr="007C0211">
        <w:t xml:space="preserve"> produziram resultados formalmente distintos, porém interpretativamente complementares. O teste ADF (DICKEY; FULLER, 1979) rejeitou a hipótese nula de raiz unitária a 5% de significância (estatística de -3,098; valor-p = 0,0267), sugerindo </w:t>
      </w:r>
      <w:proofErr w:type="spellStart"/>
      <w:r w:rsidRPr="007C0211">
        <w:t>estacionariedade</w:t>
      </w:r>
      <w:proofErr w:type="spellEnd"/>
      <w:r w:rsidRPr="007C0211">
        <w:t xml:space="preserve">. Já o teste KPSS (KWIATKOWSKI et al., 1992), cuja hipótese </w:t>
      </w:r>
      <w:r w:rsidRPr="007C0211">
        <w:lastRenderedPageBreak/>
        <w:t xml:space="preserve">nula é a </w:t>
      </w:r>
      <w:proofErr w:type="spellStart"/>
      <w:r w:rsidRPr="007C0211">
        <w:t>estacionariedade</w:t>
      </w:r>
      <w:proofErr w:type="spellEnd"/>
      <w:r w:rsidRPr="007C0211">
        <w:t xml:space="preserve"> em torno de uma tendência determinística, também foi rejeitado (estatística = 0,250; valor-p = 0,010). A ocorrência simultânea de rejeição em ambos os testes é compatível com uma série que não se comporta como um processo de raiz unitária simples, mas que tampouco é adequadamente descrita por uma tendência puramente determinística, apresentando, em vez disso, sazonalidade intensa e possíveis mudanças de nível — cenário que justifica a diferenciação sazonal incorporada ao modelo SARIMA selecionado.</w:t>
      </w:r>
    </w:p>
    <w:p w14:paraId="2A7B3FEF" w14:textId="77777777" w:rsidR="008622B8" w:rsidRPr="007C0211" w:rsidRDefault="4B694E47">
      <w:pPr>
        <w:pStyle w:val="heading20"/>
      </w:pPr>
      <w:r w:rsidRPr="007C0211">
        <w:t>4.3 Modelos ajustados e desempenho preditivo</w:t>
      </w:r>
    </w:p>
    <w:p w14:paraId="1937F3AC" w14:textId="08256EDA" w:rsidR="000729C0" w:rsidRPr="007C0211" w:rsidRDefault="00D12A75" w:rsidP="00922072">
      <w:pPr>
        <w:spacing w:after="200" w:line="360" w:lineRule="auto"/>
        <w:ind w:firstLine="708"/>
        <w:jc w:val="both"/>
      </w:pPr>
      <w:r w:rsidRPr="00D12A75">
        <w:t xml:space="preserve">Após a etapa exploratória, os quatro modelos descritos na seção de metodologia — </w:t>
      </w:r>
      <w:proofErr w:type="gramStart"/>
      <w:r w:rsidRPr="00D12A75">
        <w:t>SARIMA(</w:t>
      </w:r>
      <w:proofErr w:type="gramEnd"/>
      <w:r w:rsidRPr="00D12A75">
        <w:t>1,0,</w:t>
      </w:r>
      <w:proofErr w:type="gramStart"/>
      <w:r w:rsidRPr="00D12A75">
        <w:t>1)(</w:t>
      </w:r>
      <w:proofErr w:type="gramEnd"/>
      <w:r w:rsidRPr="00D12A75">
        <w:t>0,1,</w:t>
      </w:r>
      <w:proofErr w:type="gramStart"/>
      <w:r w:rsidRPr="00D12A75">
        <w:t>1)₇</w:t>
      </w:r>
      <w:proofErr w:type="gramEnd"/>
      <w:r w:rsidRPr="00D12A75">
        <w:t>, ETS(</w:t>
      </w:r>
      <w:proofErr w:type="spellStart"/>
      <w:proofErr w:type="gramStart"/>
      <w:r w:rsidRPr="00D12A75">
        <w:t>A,Ad</w:t>
      </w:r>
      <w:proofErr w:type="gramEnd"/>
      <w:r w:rsidRPr="00D12A75">
        <w:t>,M</w:t>
      </w:r>
      <w:proofErr w:type="spellEnd"/>
      <w:r w:rsidRPr="00D12A75">
        <w:t xml:space="preserve">), DHR-Fourier e o benchmark ingênuo sazonal (SNaive7) — foram ajustados e avaliados nos 52 </w:t>
      </w:r>
      <w:proofErr w:type="spellStart"/>
      <w:r w:rsidRPr="00D12A75">
        <w:t>folds</w:t>
      </w:r>
      <w:proofErr w:type="spellEnd"/>
      <w:r w:rsidRPr="00D12A75">
        <w:t xml:space="preserve"> de validação temporal. A Tabela 4 apresenta as métricas médias de erro fora da amostra para cada modelo.</w:t>
      </w:r>
    </w:p>
    <w:p w14:paraId="1BEE4E3D" w14:textId="38A4F729" w:rsidR="008622B8" w:rsidRPr="007C0211" w:rsidRDefault="4B694E47">
      <w:pPr>
        <w:spacing w:before="120" w:after="60"/>
      </w:pPr>
      <w:r w:rsidRPr="007C0211">
        <w:rPr>
          <w:b/>
          <w:bCs/>
          <w:sz w:val="20"/>
          <w:szCs w:val="20"/>
        </w:rPr>
        <w:t xml:space="preserve">Tabela </w:t>
      </w:r>
      <w:r w:rsidR="00083735">
        <w:rPr>
          <w:b/>
          <w:bCs/>
          <w:sz w:val="20"/>
          <w:szCs w:val="20"/>
        </w:rPr>
        <w:t>4</w:t>
      </w:r>
      <w:r w:rsidRPr="007C0211">
        <w:rPr>
          <w:b/>
          <w:bCs/>
          <w:sz w:val="20"/>
          <w:szCs w:val="20"/>
        </w:rPr>
        <w:t xml:space="preserve"> – Desempenho preditivo médio fora da amostra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4"/>
        <w:gridCol w:w="1800"/>
        <w:gridCol w:w="1779"/>
        <w:gridCol w:w="1691"/>
        <w:gridCol w:w="898"/>
      </w:tblGrid>
      <w:tr w:rsidR="00922072" w:rsidRPr="007C0211" w14:paraId="76BE74B9" w14:textId="77777777" w:rsidTr="00922072">
        <w:trPr>
          <w:tblHeader/>
        </w:trPr>
        <w:tc>
          <w:tcPr>
            <w:tcW w:w="1488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35947" w14:textId="77777777" w:rsidR="00922072" w:rsidRPr="00776AB4" w:rsidRDefault="00922072">
            <w:pPr>
              <w:jc w:val="center"/>
              <w:rPr>
                <w:sz w:val="20"/>
                <w:szCs w:val="20"/>
              </w:rPr>
            </w:pPr>
            <w:r w:rsidRPr="00776AB4">
              <w:rPr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025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B1542" w14:textId="691CB6F8" w:rsidR="00922072" w:rsidRPr="00776AB4" w:rsidRDefault="00922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RMSE (MWmed)</w:t>
            </w:r>
          </w:p>
        </w:tc>
        <w:tc>
          <w:tcPr>
            <w:tcW w:w="1013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</w:tcPr>
          <w:p w14:paraId="45DF2585" w14:textId="2EBE6D75" w:rsidR="00922072" w:rsidRPr="00776AB4" w:rsidRDefault="00922072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IC 95% do RMSE</w:t>
            </w:r>
          </w:p>
        </w:tc>
        <w:tc>
          <w:tcPr>
            <w:tcW w:w="963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A2B1C" w14:textId="7B4CA191" w:rsidR="00922072" w:rsidRPr="00776AB4" w:rsidRDefault="00922072">
            <w:pPr>
              <w:jc w:val="center"/>
              <w:rPr>
                <w:sz w:val="20"/>
                <w:szCs w:val="20"/>
              </w:rPr>
            </w:pPr>
            <w:r w:rsidRPr="00776AB4">
              <w:rPr>
                <w:color w:val="FFFFFF"/>
                <w:sz w:val="20"/>
                <w:szCs w:val="20"/>
              </w:rPr>
              <w:t>MAE (MWmed)</w:t>
            </w:r>
          </w:p>
        </w:tc>
        <w:tc>
          <w:tcPr>
            <w:tcW w:w="51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C8842" w14:textId="77777777" w:rsidR="00922072" w:rsidRPr="00776AB4" w:rsidRDefault="00922072">
            <w:pPr>
              <w:jc w:val="center"/>
              <w:rPr>
                <w:sz w:val="20"/>
                <w:szCs w:val="20"/>
              </w:rPr>
            </w:pPr>
            <w:r w:rsidRPr="00776AB4">
              <w:rPr>
                <w:color w:val="FFFFFF"/>
                <w:sz w:val="20"/>
                <w:szCs w:val="20"/>
              </w:rPr>
              <w:t>MAPE</w:t>
            </w:r>
          </w:p>
        </w:tc>
      </w:tr>
      <w:tr w:rsidR="00AC5BC5" w:rsidRPr="007C0211" w14:paraId="411613F6" w14:textId="77777777" w:rsidTr="0062473A">
        <w:tc>
          <w:tcPr>
            <w:tcW w:w="1488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509DD" w14:textId="14A5F9B5" w:rsidR="00AC5BC5" w:rsidRPr="00AC5BC5" w:rsidRDefault="00AC5BC5" w:rsidP="00AC5BC5">
            <w:pPr>
              <w:rPr>
                <w:sz w:val="20"/>
                <w:szCs w:val="20"/>
              </w:rPr>
            </w:pPr>
            <w:proofErr w:type="gramStart"/>
            <w:r w:rsidRPr="00AC5BC5">
              <w:rPr>
                <w:sz w:val="20"/>
                <w:szCs w:val="20"/>
              </w:rPr>
              <w:t>SARIMA(</w:t>
            </w:r>
            <w:proofErr w:type="gramEnd"/>
            <w:r w:rsidRPr="00AC5BC5">
              <w:rPr>
                <w:sz w:val="20"/>
                <w:szCs w:val="20"/>
              </w:rPr>
              <w:t>1,0,</w:t>
            </w:r>
            <w:proofErr w:type="gramStart"/>
            <w:r w:rsidRPr="00AC5BC5">
              <w:rPr>
                <w:sz w:val="20"/>
                <w:szCs w:val="20"/>
              </w:rPr>
              <w:t>1)(</w:t>
            </w:r>
            <w:proofErr w:type="gramEnd"/>
            <w:r w:rsidRPr="00AC5BC5">
              <w:rPr>
                <w:sz w:val="20"/>
                <w:szCs w:val="20"/>
              </w:rPr>
              <w:t>0,1,</w:t>
            </w:r>
            <w:proofErr w:type="gramStart"/>
            <w:r w:rsidRPr="00AC5BC5">
              <w:rPr>
                <w:sz w:val="20"/>
                <w:szCs w:val="20"/>
              </w:rPr>
              <w:t>1)₇</w:t>
            </w:r>
            <w:proofErr w:type="gramEnd"/>
          </w:p>
        </w:tc>
        <w:tc>
          <w:tcPr>
            <w:tcW w:w="1025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BE24E" w14:textId="68B70916" w:rsidR="00AC5BC5" w:rsidRPr="00AC5BC5" w:rsidRDefault="00AC5BC5" w:rsidP="00AC5BC5">
            <w:pPr>
              <w:jc w:val="center"/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1.860,57</w:t>
            </w:r>
          </w:p>
        </w:tc>
        <w:tc>
          <w:tcPr>
            <w:tcW w:w="1013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0AD43253" w14:textId="67C62952" w:rsidR="00AC5BC5" w:rsidRPr="00AC5BC5" w:rsidRDefault="00AC5BC5" w:rsidP="00AC5BC5">
            <w:pPr>
              <w:jc w:val="center"/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1.546,72 – 2.174,42</w:t>
            </w:r>
          </w:p>
        </w:tc>
        <w:tc>
          <w:tcPr>
            <w:tcW w:w="963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D4BF0" w14:textId="11BD5BD4" w:rsidR="00AC5BC5" w:rsidRPr="00AC5BC5" w:rsidRDefault="00AC5BC5" w:rsidP="00AC5BC5">
            <w:pPr>
              <w:jc w:val="center"/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1.614,21</w:t>
            </w:r>
          </w:p>
        </w:tc>
        <w:tc>
          <w:tcPr>
            <w:tcW w:w="51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282B0" w14:textId="3429307B" w:rsidR="00AC5BC5" w:rsidRPr="00AC5BC5" w:rsidRDefault="00AC5BC5" w:rsidP="00AC5BC5">
            <w:pPr>
              <w:jc w:val="center"/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3,661%</w:t>
            </w:r>
          </w:p>
        </w:tc>
      </w:tr>
      <w:tr w:rsidR="00AC5BC5" w:rsidRPr="007C0211" w14:paraId="37A0BBC2" w14:textId="77777777" w:rsidTr="0062473A">
        <w:tc>
          <w:tcPr>
            <w:tcW w:w="1488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7CC75" w14:textId="436E26F6" w:rsidR="00AC5BC5" w:rsidRPr="00AC5BC5" w:rsidRDefault="00AC5BC5" w:rsidP="00AC5BC5">
            <w:pPr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ETS(</w:t>
            </w:r>
            <w:proofErr w:type="spellStart"/>
            <w:proofErr w:type="gramStart"/>
            <w:r w:rsidRPr="00AC5BC5">
              <w:rPr>
                <w:sz w:val="20"/>
                <w:szCs w:val="20"/>
              </w:rPr>
              <w:t>A,Ad</w:t>
            </w:r>
            <w:proofErr w:type="gramEnd"/>
            <w:r w:rsidRPr="00AC5BC5">
              <w:rPr>
                <w:sz w:val="20"/>
                <w:szCs w:val="20"/>
              </w:rPr>
              <w:t>,M</w:t>
            </w:r>
            <w:proofErr w:type="spellEnd"/>
            <w:r w:rsidRPr="00AC5BC5">
              <w:rPr>
                <w:sz w:val="20"/>
                <w:szCs w:val="20"/>
              </w:rPr>
              <w:t>)</w:t>
            </w:r>
          </w:p>
        </w:tc>
        <w:tc>
          <w:tcPr>
            <w:tcW w:w="1025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C7E60" w14:textId="793A268C" w:rsidR="00AC5BC5" w:rsidRPr="00AC5BC5" w:rsidRDefault="00AC5BC5" w:rsidP="00AC5BC5">
            <w:pPr>
              <w:jc w:val="center"/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2.020,14</w:t>
            </w:r>
          </w:p>
        </w:tc>
        <w:tc>
          <w:tcPr>
            <w:tcW w:w="1013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</w:tcPr>
          <w:p w14:paraId="27BE56FD" w14:textId="75402082" w:rsidR="00AC5BC5" w:rsidRPr="00AC5BC5" w:rsidRDefault="00AC5BC5" w:rsidP="00AC5BC5">
            <w:pPr>
              <w:jc w:val="center"/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1.657,82 – 2.382,46</w:t>
            </w:r>
          </w:p>
        </w:tc>
        <w:tc>
          <w:tcPr>
            <w:tcW w:w="963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D7FAEC" w14:textId="0F55FA70" w:rsidR="00AC5BC5" w:rsidRPr="00AC5BC5" w:rsidRDefault="00AC5BC5" w:rsidP="00AC5BC5">
            <w:pPr>
              <w:jc w:val="center"/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1.751,80</w:t>
            </w:r>
          </w:p>
        </w:tc>
        <w:tc>
          <w:tcPr>
            <w:tcW w:w="51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082651" w14:textId="60330832" w:rsidR="00AC5BC5" w:rsidRPr="00AC5BC5" w:rsidRDefault="00AC5BC5" w:rsidP="00AC5BC5">
            <w:pPr>
              <w:jc w:val="center"/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3,966%</w:t>
            </w:r>
          </w:p>
        </w:tc>
      </w:tr>
      <w:tr w:rsidR="00AC5BC5" w:rsidRPr="007C0211" w14:paraId="6CA0121B" w14:textId="77777777" w:rsidTr="0062473A">
        <w:tc>
          <w:tcPr>
            <w:tcW w:w="1488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D5A32B" w14:textId="23E7731F" w:rsidR="00AC5BC5" w:rsidRPr="00AC5BC5" w:rsidRDefault="00AC5BC5" w:rsidP="00AC5BC5">
            <w:pPr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DHR-Fourier</w:t>
            </w:r>
          </w:p>
        </w:tc>
        <w:tc>
          <w:tcPr>
            <w:tcW w:w="1025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3F565" w14:textId="665C2B53" w:rsidR="00AC5BC5" w:rsidRPr="00AC5BC5" w:rsidRDefault="00AC5BC5" w:rsidP="00AC5BC5">
            <w:pPr>
              <w:jc w:val="center"/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2.034,57</w:t>
            </w:r>
          </w:p>
        </w:tc>
        <w:tc>
          <w:tcPr>
            <w:tcW w:w="1013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50F6760" w14:textId="3429EBD7" w:rsidR="00AC5BC5" w:rsidRPr="00AC5BC5" w:rsidRDefault="00AC5BC5" w:rsidP="00AC5BC5">
            <w:pPr>
              <w:jc w:val="center"/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1.674,42 – 2.394,72</w:t>
            </w:r>
          </w:p>
        </w:tc>
        <w:tc>
          <w:tcPr>
            <w:tcW w:w="963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98936" w14:textId="668790B5" w:rsidR="00AC5BC5" w:rsidRPr="00AC5BC5" w:rsidRDefault="00AC5BC5" w:rsidP="00AC5BC5">
            <w:pPr>
              <w:jc w:val="center"/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1.771,00</w:t>
            </w:r>
          </w:p>
        </w:tc>
        <w:tc>
          <w:tcPr>
            <w:tcW w:w="51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6F65E" w14:textId="6EAC8EE3" w:rsidR="00AC5BC5" w:rsidRPr="00AC5BC5" w:rsidRDefault="00AC5BC5" w:rsidP="00AC5BC5">
            <w:pPr>
              <w:jc w:val="center"/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3,979%</w:t>
            </w:r>
          </w:p>
        </w:tc>
      </w:tr>
      <w:tr w:rsidR="00AC5BC5" w:rsidRPr="007C0211" w14:paraId="2BF0BBA1" w14:textId="77777777" w:rsidTr="0062473A">
        <w:tc>
          <w:tcPr>
            <w:tcW w:w="1488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91A90" w14:textId="2F6CC32B" w:rsidR="00AC5BC5" w:rsidRPr="00AC5BC5" w:rsidRDefault="00AC5BC5" w:rsidP="00AC5BC5">
            <w:pPr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Ingênuo sazonal (SNaive7)</w:t>
            </w:r>
          </w:p>
        </w:tc>
        <w:tc>
          <w:tcPr>
            <w:tcW w:w="1025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B793D" w14:textId="4ED651A2" w:rsidR="00AC5BC5" w:rsidRPr="00AC5BC5" w:rsidRDefault="00AC5BC5" w:rsidP="00AC5BC5">
            <w:pPr>
              <w:jc w:val="center"/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2.507,44</w:t>
            </w:r>
          </w:p>
        </w:tc>
        <w:tc>
          <w:tcPr>
            <w:tcW w:w="1013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</w:tcPr>
          <w:p w14:paraId="11E3D477" w14:textId="0806A188" w:rsidR="00AC5BC5" w:rsidRPr="00AC5BC5" w:rsidRDefault="00AC5BC5" w:rsidP="00AC5BC5">
            <w:pPr>
              <w:jc w:val="center"/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2.191,20 – 2.823,68</w:t>
            </w:r>
          </w:p>
        </w:tc>
        <w:tc>
          <w:tcPr>
            <w:tcW w:w="963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224DEE" w14:textId="2EBB2E1B" w:rsidR="00AC5BC5" w:rsidRPr="00AC5BC5" w:rsidRDefault="00AC5BC5" w:rsidP="00AC5BC5">
            <w:pPr>
              <w:jc w:val="center"/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2.121,49</w:t>
            </w:r>
          </w:p>
        </w:tc>
        <w:tc>
          <w:tcPr>
            <w:tcW w:w="511" w:type="pct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AFAB7" w14:textId="22A7B559" w:rsidR="00AC5BC5" w:rsidRPr="00AC5BC5" w:rsidRDefault="00AC5BC5" w:rsidP="00AC5BC5">
            <w:pPr>
              <w:jc w:val="center"/>
              <w:rPr>
                <w:sz w:val="20"/>
                <w:szCs w:val="20"/>
              </w:rPr>
            </w:pPr>
            <w:r w:rsidRPr="00AC5BC5">
              <w:rPr>
                <w:sz w:val="20"/>
                <w:szCs w:val="20"/>
              </w:rPr>
              <w:t>4,780%</w:t>
            </w:r>
          </w:p>
        </w:tc>
      </w:tr>
    </w:tbl>
    <w:p w14:paraId="7F15F811" w14:textId="2DF1C5BE" w:rsidR="008622B8" w:rsidRPr="007C0211" w:rsidRDefault="4B694E47">
      <w:pPr>
        <w:spacing w:after="240"/>
      </w:pPr>
      <w:r w:rsidRPr="007C0211">
        <w:rPr>
          <w:i/>
          <w:iCs/>
          <w:sz w:val="18"/>
          <w:szCs w:val="18"/>
        </w:rPr>
        <w:t>Fonte: Elaborado pelo</w:t>
      </w:r>
      <w:r w:rsidR="00FB0D67">
        <w:rPr>
          <w:i/>
          <w:iCs/>
          <w:sz w:val="18"/>
          <w:szCs w:val="18"/>
        </w:rPr>
        <w:t>s</w:t>
      </w:r>
      <w:r w:rsidRPr="007C0211">
        <w:rPr>
          <w:i/>
          <w:iCs/>
          <w:sz w:val="18"/>
          <w:szCs w:val="18"/>
        </w:rPr>
        <w:t xml:space="preserve"> autor</w:t>
      </w:r>
      <w:r w:rsidR="00FB0D67">
        <w:rPr>
          <w:i/>
          <w:iCs/>
          <w:sz w:val="18"/>
          <w:szCs w:val="18"/>
        </w:rPr>
        <w:t>es</w:t>
      </w:r>
      <w:r w:rsidRPr="007C0211">
        <w:rPr>
          <w:i/>
          <w:iCs/>
          <w:sz w:val="18"/>
          <w:szCs w:val="18"/>
        </w:rPr>
        <w:t xml:space="preserve"> a partir dos dados da pesquisa.</w:t>
      </w:r>
    </w:p>
    <w:p w14:paraId="148CDCCE" w14:textId="22190707" w:rsidR="00922072" w:rsidRDefault="00AC5BC5" w:rsidP="00922072">
      <w:pPr>
        <w:spacing w:after="200" w:line="360" w:lineRule="auto"/>
        <w:ind w:firstLine="708"/>
        <w:jc w:val="both"/>
      </w:pPr>
      <w:r w:rsidRPr="00AC5BC5">
        <w:t>O modelo SARIMA foi o vencedor nas três métricas simultaneamente. Em relação ao ETS, observou-se redução absoluta de 159,57 MWmed no RMSE (7,90%); em relação ao DHR-Fourier, redução de 174,00 MWmed (8,55%); e, em relação ao benchmark ingênuo sazonal, redução de 646,87 MWmed (25,80%). Os três modelos estatísticos superaram numericamente o benchmark, e o intervalo de confiança de 95% do RMSE do SARIMA não se sobrepõe ao do SNaive7. Já entre SARIMA, ETS e DHR-Fourier os intervalos se sobrepõem amplamente, antecipando o resultado dos testes formais apresentados na seção 4.4</w:t>
      </w:r>
      <w:r w:rsidR="00922072">
        <w:t>.</w:t>
      </w:r>
    </w:p>
    <w:p w14:paraId="7AFF8C3F" w14:textId="77777777" w:rsidR="00922072" w:rsidRDefault="00922072" w:rsidP="00922072">
      <w:pPr>
        <w:spacing w:after="200" w:line="360" w:lineRule="auto"/>
        <w:ind w:firstLine="708"/>
        <w:jc w:val="both"/>
      </w:pPr>
    </w:p>
    <w:p w14:paraId="0CDB0442" w14:textId="6E12B678" w:rsidR="008622B8" w:rsidRPr="00922072" w:rsidRDefault="00AC5BC5" w:rsidP="00922072">
      <w:pPr>
        <w:spacing w:after="200" w:line="360" w:lineRule="auto"/>
        <w:ind w:firstLine="708"/>
        <w:jc w:val="both"/>
        <w:rPr>
          <w:lang w:val="en-BR"/>
        </w:rPr>
      </w:pPr>
      <w:r w:rsidRPr="00AC5BC5">
        <w:lastRenderedPageBreak/>
        <w:t>A Figura 5 ilustra as previsões geradas pelos quatro modelos frente aos valores observados ao longo de 2025. Todos os modelos reproduzem adequadamente o padrão semanal, com as quedas de consumo nos finais de semana, e acompanham a trajetória de nível da série: valores mais elevados no verão (janeiro a março), redução no outono e inverno e recuperação a partir de setembro</w:t>
      </w:r>
      <w:r w:rsidR="00922072">
        <w:t>.</w:t>
      </w:r>
    </w:p>
    <w:p w14:paraId="5A39BBE3" w14:textId="67D8F16F" w:rsidR="008622B8" w:rsidRPr="007C0211" w:rsidRDefault="007865AE">
      <w:pPr>
        <w:spacing w:before="120" w:after="60"/>
        <w:jc w:val="center"/>
      </w:pPr>
      <w:r>
        <w:rPr>
          <w:noProof/>
        </w:rPr>
        <w:drawing>
          <wp:inline distT="0" distB="0" distL="0" distR="0" wp14:anchorId="08B31D79" wp14:editId="03F28038">
            <wp:extent cx="5580380" cy="2146300"/>
            <wp:effectExtent l="0" t="0" r="0" b="0"/>
            <wp:docPr id="94764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48415" name="Picture 9476484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92BA" w14:textId="77777777" w:rsidR="008622B8" w:rsidRPr="007C0211" w:rsidRDefault="4B694E47">
      <w:pPr>
        <w:spacing w:before="120" w:after="60"/>
      </w:pPr>
      <w:r w:rsidRPr="007C0211">
        <w:rPr>
          <w:b/>
          <w:bCs/>
          <w:sz w:val="20"/>
          <w:szCs w:val="20"/>
        </w:rPr>
        <w:t>Figura 5 – Previsões fora da amostra por modelo, comparadas aos valores observados</w:t>
      </w:r>
    </w:p>
    <w:p w14:paraId="1EBABE9D" w14:textId="1B61BB72" w:rsidR="008622B8" w:rsidRPr="007C0211" w:rsidRDefault="4B694E47">
      <w:pPr>
        <w:spacing w:after="240"/>
      </w:pPr>
      <w:r w:rsidRPr="007C0211">
        <w:rPr>
          <w:i/>
          <w:iCs/>
          <w:sz w:val="18"/>
          <w:szCs w:val="18"/>
        </w:rPr>
        <w:t>Fonte: Elaborado pelo</w:t>
      </w:r>
      <w:r w:rsidR="005B2330">
        <w:rPr>
          <w:i/>
          <w:iCs/>
          <w:sz w:val="18"/>
          <w:szCs w:val="18"/>
        </w:rPr>
        <w:t>s</w:t>
      </w:r>
      <w:r w:rsidRPr="007C0211">
        <w:rPr>
          <w:i/>
          <w:iCs/>
          <w:sz w:val="18"/>
          <w:szCs w:val="18"/>
        </w:rPr>
        <w:t xml:space="preserve"> autor</w:t>
      </w:r>
      <w:r w:rsidR="005B2330">
        <w:rPr>
          <w:i/>
          <w:iCs/>
          <w:sz w:val="18"/>
          <w:szCs w:val="18"/>
        </w:rPr>
        <w:t>es</w:t>
      </w:r>
      <w:r w:rsidRPr="007C0211">
        <w:rPr>
          <w:i/>
          <w:iCs/>
          <w:sz w:val="18"/>
          <w:szCs w:val="18"/>
        </w:rPr>
        <w:t xml:space="preserve"> a partir dos dados da pesquisa.</w:t>
      </w:r>
    </w:p>
    <w:p w14:paraId="315F2E7D" w14:textId="6DC2B0D5" w:rsidR="008622B8" w:rsidRPr="007C0211" w:rsidRDefault="00AC5BC5">
      <w:pPr>
        <w:spacing w:after="200" w:line="360" w:lineRule="auto"/>
        <w:ind w:firstLine="708"/>
        <w:jc w:val="both"/>
      </w:pPr>
      <w:r w:rsidRPr="00AC5BC5">
        <w:t>A distribuição dos erros de previsão (real menos previsto), apresentada na Figura 6, mostra que SARIMA e ETS produzem erros centrados em zero (erro médio de 2 e 55 MWmed, respectivamente) e com menor dispersão interquartil. O DHR-Fourier, por sua vez, apresenta viés sistemático de subestimação, com erro médio de 966 MWmed e mediana deslocada para valores positivos. O benchmark ingênuo é aproximadamente não viesado, mas apresenta a maior dispersão</w:t>
      </w:r>
      <w:r w:rsidR="00A7768F" w:rsidRPr="003E294A">
        <w:t>.</w:t>
      </w:r>
    </w:p>
    <w:p w14:paraId="41C8F396" w14:textId="176AA196" w:rsidR="008622B8" w:rsidRPr="007C0211" w:rsidRDefault="007865AE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0C5B36F" wp14:editId="07027295">
            <wp:extent cx="5580380" cy="3100070"/>
            <wp:effectExtent l="0" t="0" r="0" b="0"/>
            <wp:docPr id="1062387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87618" name="Picture 10623876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AD89" w14:textId="77777777" w:rsidR="008622B8" w:rsidRPr="007C0211" w:rsidRDefault="4B694E47">
      <w:pPr>
        <w:spacing w:before="120" w:after="60"/>
      </w:pPr>
      <w:r w:rsidRPr="007C0211">
        <w:rPr>
          <w:b/>
          <w:bCs/>
          <w:sz w:val="20"/>
          <w:szCs w:val="20"/>
        </w:rPr>
        <w:t>Figura 6 – Distribuição dos erros de previsão fora da amostra, por modelo</w:t>
      </w:r>
    </w:p>
    <w:p w14:paraId="2C4960A6" w14:textId="3A32039E" w:rsidR="008622B8" w:rsidRPr="007C0211" w:rsidRDefault="4B694E47">
      <w:pPr>
        <w:spacing w:after="240"/>
      </w:pPr>
      <w:r w:rsidRPr="007C0211">
        <w:rPr>
          <w:i/>
          <w:iCs/>
          <w:sz w:val="18"/>
          <w:szCs w:val="18"/>
        </w:rPr>
        <w:t>Fonte: Elaborado pelo</w:t>
      </w:r>
      <w:r w:rsidR="00912C5F">
        <w:rPr>
          <w:i/>
          <w:iCs/>
          <w:sz w:val="18"/>
          <w:szCs w:val="18"/>
        </w:rPr>
        <w:t>s</w:t>
      </w:r>
      <w:r w:rsidRPr="007C0211">
        <w:rPr>
          <w:i/>
          <w:iCs/>
          <w:sz w:val="18"/>
          <w:szCs w:val="18"/>
        </w:rPr>
        <w:t xml:space="preserve"> autor</w:t>
      </w:r>
      <w:r w:rsidR="00912C5F">
        <w:rPr>
          <w:i/>
          <w:iCs/>
          <w:sz w:val="18"/>
          <w:szCs w:val="18"/>
        </w:rPr>
        <w:t>es</w:t>
      </w:r>
      <w:r w:rsidRPr="007C0211">
        <w:rPr>
          <w:i/>
          <w:iCs/>
          <w:sz w:val="18"/>
          <w:szCs w:val="18"/>
        </w:rPr>
        <w:t xml:space="preserve"> a partir dos dados da pesquisa.</w:t>
      </w:r>
    </w:p>
    <w:p w14:paraId="388F0CEE" w14:textId="5C6E20B0" w:rsidR="008622B8" w:rsidRPr="007C0211" w:rsidRDefault="00AC5BC5">
      <w:pPr>
        <w:spacing w:after="200" w:line="360" w:lineRule="auto"/>
        <w:ind w:firstLine="708"/>
        <w:jc w:val="both"/>
      </w:pPr>
      <w:r w:rsidRPr="00AC5BC5">
        <w:t xml:space="preserve">A Figura 7 detalha o RMSE de cada modelo por </w:t>
      </w:r>
      <w:proofErr w:type="spellStart"/>
      <w:r w:rsidRPr="00AC5BC5">
        <w:t>fold</w:t>
      </w:r>
      <w:proofErr w:type="spellEnd"/>
      <w:r w:rsidRPr="00AC5BC5">
        <w:t xml:space="preserve"> e revela que o desempenho relativo não é uniforme ao longo do ano. Os maiores erros concentram-se no verão (janeiro a março), em semanas com feriados, como a de 16 a 22/04/2025, que inclui a Sexta-feira Santa e o feriado de Tiradentes, e no último trimestre. Os menores erros ocorreram no inverno (julho e agosto), período de carga mais estável. O SARIMA obteve o menor RMSE em 21 dos 52 </w:t>
      </w:r>
      <w:proofErr w:type="spellStart"/>
      <w:r w:rsidRPr="00AC5BC5">
        <w:t>folds</w:t>
      </w:r>
      <w:proofErr w:type="spellEnd"/>
      <w:r w:rsidRPr="00AC5BC5">
        <w:t xml:space="preserve">, contra 19 do DHR-Fourier e 12 do ETS, e superou o benchmark ingênuo em 36 </w:t>
      </w:r>
      <w:proofErr w:type="spellStart"/>
      <w:r w:rsidRPr="00AC5BC5">
        <w:t>folds</w:t>
      </w:r>
      <w:proofErr w:type="spellEnd"/>
      <w:r w:rsidRPr="00AC5BC5">
        <w:t xml:space="preserve"> (69%). Isso indica que sua vantagem decorre de desempenho consistente ao longo do ano, e não de vitórias pontuais</w:t>
      </w:r>
      <w:r w:rsidR="003D2729" w:rsidRPr="003D2729">
        <w:t>.</w:t>
      </w:r>
    </w:p>
    <w:p w14:paraId="72A3D3EC" w14:textId="1AF8337E" w:rsidR="008622B8" w:rsidRPr="007C0211" w:rsidRDefault="007865AE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EDC2A56" wp14:editId="1DD171AB">
            <wp:extent cx="5580380" cy="2790190"/>
            <wp:effectExtent l="0" t="0" r="0" b="3810"/>
            <wp:docPr id="743537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37066" name="Picture 7435370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4FD7" w14:textId="77777777" w:rsidR="008622B8" w:rsidRPr="007C0211" w:rsidRDefault="4B694E47">
      <w:pPr>
        <w:spacing w:before="120" w:after="60"/>
      </w:pPr>
      <w:r w:rsidRPr="007C0211">
        <w:rPr>
          <w:b/>
          <w:bCs/>
          <w:sz w:val="20"/>
          <w:szCs w:val="20"/>
        </w:rPr>
        <w:t xml:space="preserve">Figura 7 – RMSE por </w:t>
      </w:r>
      <w:proofErr w:type="spellStart"/>
      <w:r w:rsidRPr="007C0211">
        <w:rPr>
          <w:b/>
          <w:bCs/>
          <w:sz w:val="20"/>
          <w:szCs w:val="20"/>
        </w:rPr>
        <w:t>fold</w:t>
      </w:r>
      <w:proofErr w:type="spellEnd"/>
      <w:r w:rsidRPr="007C0211">
        <w:rPr>
          <w:b/>
          <w:bCs/>
          <w:sz w:val="20"/>
          <w:szCs w:val="20"/>
        </w:rPr>
        <w:t xml:space="preserve"> de validação, segundo o modelo</w:t>
      </w:r>
    </w:p>
    <w:p w14:paraId="0E38A050" w14:textId="296E80C5" w:rsidR="008622B8" w:rsidRDefault="4B694E47">
      <w:pPr>
        <w:spacing w:after="240"/>
        <w:rPr>
          <w:i/>
          <w:iCs/>
          <w:sz w:val="18"/>
          <w:szCs w:val="18"/>
        </w:rPr>
      </w:pPr>
      <w:r w:rsidRPr="007C0211">
        <w:rPr>
          <w:i/>
          <w:iCs/>
          <w:sz w:val="18"/>
          <w:szCs w:val="18"/>
        </w:rPr>
        <w:t>Fonte: Elaborado pelo</w:t>
      </w:r>
      <w:r w:rsidR="00D801EC">
        <w:rPr>
          <w:i/>
          <w:iCs/>
          <w:sz w:val="18"/>
          <w:szCs w:val="18"/>
        </w:rPr>
        <w:t>s</w:t>
      </w:r>
      <w:r w:rsidRPr="007C0211">
        <w:rPr>
          <w:i/>
          <w:iCs/>
          <w:sz w:val="18"/>
          <w:szCs w:val="18"/>
        </w:rPr>
        <w:t xml:space="preserve"> autor</w:t>
      </w:r>
      <w:r w:rsidR="00D801EC">
        <w:rPr>
          <w:i/>
          <w:iCs/>
          <w:sz w:val="18"/>
          <w:szCs w:val="18"/>
        </w:rPr>
        <w:t>es</w:t>
      </w:r>
      <w:r w:rsidRPr="007C0211">
        <w:rPr>
          <w:i/>
          <w:iCs/>
          <w:sz w:val="18"/>
          <w:szCs w:val="18"/>
        </w:rPr>
        <w:t xml:space="preserve"> a partir dos dados da pesquisa.</w:t>
      </w:r>
    </w:p>
    <w:p w14:paraId="6B4C84C6" w14:textId="77777777" w:rsidR="008622B8" w:rsidRPr="007C0211" w:rsidRDefault="4B694E47">
      <w:pPr>
        <w:pStyle w:val="heading20"/>
      </w:pPr>
      <w:r w:rsidRPr="007C0211">
        <w:t>4.4 Comparação estatística entre os modelos</w:t>
      </w:r>
    </w:p>
    <w:p w14:paraId="50106C3D" w14:textId="4899E8DD" w:rsidR="008622B8" w:rsidRPr="007C0211" w:rsidRDefault="4B694E47">
      <w:pPr>
        <w:spacing w:after="200" w:line="360" w:lineRule="auto"/>
        <w:ind w:firstLine="708"/>
        <w:jc w:val="both"/>
      </w:pPr>
      <w:r w:rsidRPr="007C0211">
        <w:t xml:space="preserve">Não obstante a vantagem numérica do SARIMA, a comparação estatística formal não indicou superioridade populacional inequívoca. O teste de </w:t>
      </w:r>
      <w:proofErr w:type="spellStart"/>
      <w:r w:rsidRPr="007C0211">
        <w:t>Diebold</w:t>
      </w:r>
      <w:proofErr w:type="spellEnd"/>
      <w:r w:rsidRPr="007C0211">
        <w:t xml:space="preserve">-Mariano (DIEBOLD; MARIANO, 1995), com correção de Holm (HOLM, 1979) para as três comparações par a par, não identificou diferenças estatisticamente significativas em nenhum dos pares avaliados (Tabela </w:t>
      </w:r>
      <w:r w:rsidR="00083735">
        <w:t>5</w:t>
      </w:r>
      <w:r w:rsidRPr="007C0211">
        <w:t>), todos com valor-p ajustado superior a 0,05.</w:t>
      </w:r>
    </w:p>
    <w:p w14:paraId="50812034" w14:textId="513980BC" w:rsidR="008622B8" w:rsidRPr="007C0211" w:rsidRDefault="4B694E47">
      <w:pPr>
        <w:spacing w:before="120" w:after="60"/>
      </w:pPr>
      <w:r w:rsidRPr="007C0211">
        <w:rPr>
          <w:b/>
          <w:bCs/>
          <w:sz w:val="20"/>
          <w:szCs w:val="20"/>
        </w:rPr>
        <w:t xml:space="preserve">Tabela </w:t>
      </w:r>
      <w:r w:rsidR="00083735">
        <w:rPr>
          <w:b/>
          <w:bCs/>
          <w:sz w:val="20"/>
          <w:szCs w:val="20"/>
        </w:rPr>
        <w:t>5</w:t>
      </w:r>
      <w:r w:rsidRPr="007C0211">
        <w:rPr>
          <w:b/>
          <w:bCs/>
          <w:sz w:val="20"/>
          <w:szCs w:val="20"/>
        </w:rPr>
        <w:t xml:space="preserve"> – Teste de </w:t>
      </w:r>
      <w:proofErr w:type="spellStart"/>
      <w:r w:rsidRPr="007C0211">
        <w:rPr>
          <w:b/>
          <w:bCs/>
          <w:sz w:val="20"/>
          <w:szCs w:val="20"/>
        </w:rPr>
        <w:t>Diebold</w:t>
      </w:r>
      <w:proofErr w:type="spellEnd"/>
      <w:r w:rsidRPr="007C0211">
        <w:rPr>
          <w:b/>
          <w:bCs/>
          <w:sz w:val="20"/>
          <w:szCs w:val="20"/>
        </w:rPr>
        <w:t>-Mariano com correção de Holm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2760"/>
        <w:gridCol w:w="2700"/>
      </w:tblGrid>
      <w:tr w:rsidR="008622B8" w:rsidRPr="007C0211" w14:paraId="2A68F61A" w14:textId="77777777" w:rsidTr="4B694E47">
        <w:trPr>
          <w:tblHeader/>
        </w:trPr>
        <w:tc>
          <w:tcPr>
            <w:tcW w:w="3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C78E6" w14:textId="77777777" w:rsidR="008622B8" w:rsidRPr="00776AB4" w:rsidRDefault="4B694E47">
            <w:pPr>
              <w:jc w:val="center"/>
            </w:pPr>
            <w:r w:rsidRPr="00776AB4">
              <w:rPr>
                <w:color w:val="FFFFFF"/>
                <w:sz w:val="18"/>
                <w:szCs w:val="18"/>
              </w:rPr>
              <w:t>Comparação</w:t>
            </w:r>
          </w:p>
        </w:tc>
        <w:tc>
          <w:tcPr>
            <w:tcW w:w="2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B549E" w14:textId="77777777" w:rsidR="008622B8" w:rsidRPr="00776AB4" w:rsidRDefault="4B694E47">
            <w:pPr>
              <w:jc w:val="center"/>
            </w:pPr>
            <w:r w:rsidRPr="00776AB4">
              <w:rPr>
                <w:color w:val="FFFFFF"/>
                <w:sz w:val="18"/>
                <w:szCs w:val="18"/>
              </w:rPr>
              <w:t>Estatística DM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3DD41" w14:textId="77777777" w:rsidR="008622B8" w:rsidRPr="00776AB4" w:rsidRDefault="002743ED">
            <w:pPr>
              <w:jc w:val="center"/>
            </w:pPr>
            <w:r w:rsidRPr="00776AB4">
              <w:rPr>
                <w:color w:val="FFFFFF"/>
                <w:sz w:val="18"/>
                <w:szCs w:val="18"/>
              </w:rPr>
              <w:t>valor-p (Holm)</w:t>
            </w:r>
          </w:p>
        </w:tc>
      </w:tr>
      <w:tr w:rsidR="007818FF" w:rsidRPr="007C0211" w14:paraId="46BB1D98" w14:textId="77777777" w:rsidTr="009D3C77">
        <w:tc>
          <w:tcPr>
            <w:tcW w:w="3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EA4E55" w14:textId="3D8A262E" w:rsidR="007818FF" w:rsidRPr="007818FF" w:rsidRDefault="007818FF" w:rsidP="007818FF">
            <w:pPr>
              <w:rPr>
                <w:sz w:val="20"/>
                <w:szCs w:val="20"/>
              </w:rPr>
            </w:pPr>
            <w:r w:rsidRPr="007818FF">
              <w:rPr>
                <w:sz w:val="20"/>
                <w:szCs w:val="20"/>
              </w:rPr>
              <w:t>SARIMA × ETS</w:t>
            </w:r>
          </w:p>
        </w:tc>
        <w:tc>
          <w:tcPr>
            <w:tcW w:w="2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C3AB6" w14:textId="0A218239" w:rsidR="007818FF" w:rsidRPr="007818FF" w:rsidRDefault="007818FF" w:rsidP="007818FF">
            <w:pPr>
              <w:jc w:val="center"/>
              <w:rPr>
                <w:sz w:val="20"/>
                <w:szCs w:val="20"/>
              </w:rPr>
            </w:pPr>
            <w:r w:rsidRPr="007818FF">
              <w:rPr>
                <w:sz w:val="20"/>
                <w:szCs w:val="20"/>
              </w:rPr>
              <w:t>-1,567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08E34" w14:textId="4AEED63A" w:rsidR="007818FF" w:rsidRPr="007818FF" w:rsidRDefault="007818FF" w:rsidP="007818FF">
            <w:pPr>
              <w:jc w:val="center"/>
              <w:rPr>
                <w:sz w:val="20"/>
                <w:szCs w:val="20"/>
              </w:rPr>
            </w:pPr>
            <w:r w:rsidRPr="007818FF">
              <w:rPr>
                <w:sz w:val="20"/>
                <w:szCs w:val="20"/>
              </w:rPr>
              <w:t>0,321</w:t>
            </w:r>
          </w:p>
        </w:tc>
      </w:tr>
      <w:tr w:rsidR="007818FF" w:rsidRPr="007C0211" w14:paraId="22C0B7C3" w14:textId="77777777" w:rsidTr="009D3C77">
        <w:tc>
          <w:tcPr>
            <w:tcW w:w="3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96003E" w14:textId="75EC3C5E" w:rsidR="007818FF" w:rsidRPr="007818FF" w:rsidRDefault="007818FF" w:rsidP="007818FF">
            <w:pPr>
              <w:rPr>
                <w:sz w:val="20"/>
                <w:szCs w:val="20"/>
              </w:rPr>
            </w:pPr>
            <w:r w:rsidRPr="007818FF">
              <w:rPr>
                <w:sz w:val="20"/>
                <w:szCs w:val="20"/>
              </w:rPr>
              <w:t>SARIMA × DHR-Fourier</w:t>
            </w:r>
          </w:p>
        </w:tc>
        <w:tc>
          <w:tcPr>
            <w:tcW w:w="2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4E113C" w14:textId="3BCE6A83" w:rsidR="007818FF" w:rsidRPr="007818FF" w:rsidRDefault="007818FF" w:rsidP="007818FF">
            <w:pPr>
              <w:jc w:val="center"/>
              <w:rPr>
                <w:sz w:val="20"/>
                <w:szCs w:val="20"/>
              </w:rPr>
            </w:pPr>
            <w:r w:rsidRPr="007818FF">
              <w:rPr>
                <w:sz w:val="20"/>
                <w:szCs w:val="20"/>
              </w:rPr>
              <w:t>-1,615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1BD8AC" w14:textId="36DB7502" w:rsidR="007818FF" w:rsidRPr="007818FF" w:rsidRDefault="007818FF" w:rsidP="007818FF">
            <w:pPr>
              <w:jc w:val="center"/>
              <w:rPr>
                <w:sz w:val="20"/>
                <w:szCs w:val="20"/>
              </w:rPr>
            </w:pPr>
            <w:r w:rsidRPr="007818FF">
              <w:rPr>
                <w:sz w:val="20"/>
                <w:szCs w:val="20"/>
              </w:rPr>
              <w:t>0,321</w:t>
            </w:r>
          </w:p>
        </w:tc>
      </w:tr>
      <w:tr w:rsidR="007818FF" w:rsidRPr="007C0211" w14:paraId="62C9A6AC" w14:textId="77777777" w:rsidTr="009D3C77">
        <w:tc>
          <w:tcPr>
            <w:tcW w:w="3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A71A43" w14:textId="44853FA0" w:rsidR="007818FF" w:rsidRPr="007818FF" w:rsidRDefault="007818FF" w:rsidP="007818FF">
            <w:pPr>
              <w:rPr>
                <w:sz w:val="20"/>
                <w:szCs w:val="20"/>
              </w:rPr>
            </w:pPr>
            <w:r w:rsidRPr="007818FF">
              <w:rPr>
                <w:sz w:val="20"/>
                <w:szCs w:val="20"/>
              </w:rPr>
              <w:t>ETS × DHR-Fourier</w:t>
            </w:r>
          </w:p>
        </w:tc>
        <w:tc>
          <w:tcPr>
            <w:tcW w:w="2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4E9C8" w14:textId="1B3CBC75" w:rsidR="007818FF" w:rsidRPr="007818FF" w:rsidRDefault="007818FF" w:rsidP="007818FF">
            <w:pPr>
              <w:jc w:val="center"/>
              <w:rPr>
                <w:sz w:val="20"/>
                <w:szCs w:val="20"/>
              </w:rPr>
            </w:pPr>
            <w:r w:rsidRPr="007818FF">
              <w:rPr>
                <w:sz w:val="20"/>
                <w:szCs w:val="20"/>
              </w:rPr>
              <w:t>-0,088</w:t>
            </w:r>
          </w:p>
        </w:tc>
        <w:tc>
          <w:tcPr>
            <w:tcW w:w="2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06CE05" w14:textId="7256D83A" w:rsidR="007818FF" w:rsidRPr="007818FF" w:rsidRDefault="007818FF" w:rsidP="007818FF">
            <w:pPr>
              <w:jc w:val="center"/>
              <w:rPr>
                <w:sz w:val="20"/>
                <w:szCs w:val="20"/>
              </w:rPr>
            </w:pPr>
            <w:r w:rsidRPr="007818FF">
              <w:rPr>
                <w:sz w:val="20"/>
                <w:szCs w:val="20"/>
              </w:rPr>
              <w:t>0,930</w:t>
            </w:r>
          </w:p>
        </w:tc>
      </w:tr>
    </w:tbl>
    <w:p w14:paraId="61034342" w14:textId="523B537B" w:rsidR="008622B8" w:rsidRPr="007C0211" w:rsidRDefault="4B694E47">
      <w:pPr>
        <w:spacing w:after="240"/>
      </w:pPr>
      <w:r w:rsidRPr="007C0211">
        <w:rPr>
          <w:i/>
          <w:iCs/>
          <w:sz w:val="18"/>
          <w:szCs w:val="18"/>
        </w:rPr>
        <w:t>Fonte: Elaborado pelo</w:t>
      </w:r>
      <w:r w:rsidR="009C547F">
        <w:rPr>
          <w:i/>
          <w:iCs/>
          <w:sz w:val="18"/>
          <w:szCs w:val="18"/>
        </w:rPr>
        <w:t>s</w:t>
      </w:r>
      <w:r w:rsidRPr="007C0211">
        <w:rPr>
          <w:i/>
          <w:iCs/>
          <w:sz w:val="18"/>
          <w:szCs w:val="18"/>
        </w:rPr>
        <w:t xml:space="preserve"> autor</w:t>
      </w:r>
      <w:r w:rsidR="009C547F">
        <w:rPr>
          <w:i/>
          <w:iCs/>
          <w:sz w:val="18"/>
          <w:szCs w:val="18"/>
        </w:rPr>
        <w:t>es</w:t>
      </w:r>
      <w:r w:rsidRPr="007C0211">
        <w:rPr>
          <w:i/>
          <w:iCs/>
          <w:sz w:val="18"/>
          <w:szCs w:val="18"/>
        </w:rPr>
        <w:t xml:space="preserve"> a partir dos dados da pesquisa.</w:t>
      </w:r>
    </w:p>
    <w:p w14:paraId="617D10B0" w14:textId="35588970" w:rsidR="008622B8" w:rsidRPr="007C0211" w:rsidRDefault="007818FF">
      <w:pPr>
        <w:spacing w:after="200" w:line="360" w:lineRule="auto"/>
        <w:ind w:firstLine="708"/>
        <w:jc w:val="both"/>
      </w:pPr>
      <w:r w:rsidRPr="007818FF">
        <w:t xml:space="preserve">O sinal negativo das estatísticas indica menor perda quadrática média do primeiro modelo de cada par, ou seja, vantagem do SARIMA sobre os demais. O valor-p de 0,930 na comparação ETS × DHR-Fourier evidencia desempenho praticamente equivalente entre esses dois modelos. De forma convergente, o teste de Friedman, aplicado ao RMSE dos três </w:t>
      </w:r>
      <w:r w:rsidRPr="007818FF">
        <w:lastRenderedPageBreak/>
        <w:t xml:space="preserve">modelos nos 52 </w:t>
      </w:r>
      <w:proofErr w:type="spellStart"/>
      <w:r w:rsidRPr="007818FF">
        <w:t>folds</w:t>
      </w:r>
      <w:proofErr w:type="spellEnd"/>
      <w:r w:rsidRPr="007818FF">
        <w:t>, resultou em χ² = 1,500 (valor-p = 0,472), com postos médios de 1,87 para o SARIMA, 2,04 para o ETS e 2,10 para o DHR-Fourier. Não foi possível, portanto, rejeitar a hipótese nula H0 de ausência de diferença significativa no desempenho preditivo dos modelos. Como a amostra de validação cobre um ano completo, a ausência de significância não pode ser atribuída a um número reduzido de períodos de teste. Ela indica que, nesta série, as diferenças entre os modelos são pequenas frente à variabilidade semana a semana dos erros</w:t>
      </w:r>
      <w:r w:rsidR="4B694E47" w:rsidRPr="007C0211">
        <w:t>.</w:t>
      </w:r>
    </w:p>
    <w:p w14:paraId="0EAED63F" w14:textId="77777777" w:rsidR="008622B8" w:rsidRPr="007C0211" w:rsidRDefault="4B694E47">
      <w:pPr>
        <w:spacing w:after="200" w:line="360" w:lineRule="auto"/>
        <w:ind w:firstLine="708"/>
        <w:jc w:val="both"/>
      </w:pPr>
      <w:r w:rsidRPr="007C0211">
        <w:t>A Figura 8 apresenta a previsão final de sete dias gerada pelo modelo SARIMA — selecionado como modelo operacional recomendado —, acompanhada dos intervalos de previsão de 80% e 95%, ilustrando a incerteza associada às previsões geradas para o horizonte imediatamente subsequente ao final da série histórica.</w:t>
      </w:r>
    </w:p>
    <w:p w14:paraId="0D0B940D" w14:textId="77777777" w:rsidR="008622B8" w:rsidRPr="007C0211" w:rsidRDefault="002743ED">
      <w:pPr>
        <w:spacing w:before="120" w:after="60"/>
        <w:jc w:val="center"/>
      </w:pPr>
      <w:r w:rsidRPr="007C0211">
        <w:rPr>
          <w:noProof/>
        </w:rPr>
        <w:drawing>
          <wp:inline distT="0" distB="0" distL="0" distR="0" wp14:anchorId="749AEED1" wp14:editId="07777777">
            <wp:extent cx="5715000" cy="2276475"/>
            <wp:effectExtent l="0" t="0" r="0" b="0"/>
            <wp:docPr id="1943253950" name="fig08_previsao_final.png" descr="fig08_previsao_final.png" title="fig08_previsao_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70EE" w14:textId="77777777" w:rsidR="008622B8" w:rsidRPr="007C0211" w:rsidRDefault="4B694E47">
      <w:pPr>
        <w:spacing w:before="120" w:after="60"/>
      </w:pPr>
      <w:r w:rsidRPr="007C0211">
        <w:rPr>
          <w:b/>
          <w:bCs/>
          <w:sz w:val="20"/>
          <w:szCs w:val="20"/>
        </w:rPr>
        <w:t>Figura 8 – Previsão final de sete dias com intervalos de previsão de 80% e 95% (modelo SARIMA)</w:t>
      </w:r>
    </w:p>
    <w:p w14:paraId="3CA7B015" w14:textId="531B5372" w:rsidR="008622B8" w:rsidRDefault="4B694E47">
      <w:pPr>
        <w:spacing w:after="240"/>
        <w:rPr>
          <w:i/>
          <w:iCs/>
          <w:sz w:val="18"/>
          <w:szCs w:val="18"/>
        </w:rPr>
      </w:pPr>
      <w:r w:rsidRPr="007C0211">
        <w:rPr>
          <w:i/>
          <w:iCs/>
          <w:sz w:val="18"/>
          <w:szCs w:val="18"/>
        </w:rPr>
        <w:t>Fonte: Elaborado pelo</w:t>
      </w:r>
      <w:r w:rsidR="008751F5">
        <w:rPr>
          <w:i/>
          <w:iCs/>
          <w:sz w:val="18"/>
          <w:szCs w:val="18"/>
        </w:rPr>
        <w:t>s</w:t>
      </w:r>
      <w:r w:rsidRPr="007C0211">
        <w:rPr>
          <w:i/>
          <w:iCs/>
          <w:sz w:val="18"/>
          <w:szCs w:val="18"/>
        </w:rPr>
        <w:t xml:space="preserve"> autor</w:t>
      </w:r>
      <w:r w:rsidR="008751F5">
        <w:rPr>
          <w:i/>
          <w:iCs/>
          <w:sz w:val="18"/>
          <w:szCs w:val="18"/>
        </w:rPr>
        <w:t>es</w:t>
      </w:r>
      <w:r w:rsidRPr="007C0211">
        <w:rPr>
          <w:i/>
          <w:iCs/>
          <w:sz w:val="18"/>
          <w:szCs w:val="18"/>
        </w:rPr>
        <w:t xml:space="preserve"> a partir dos dados da pesquisa.</w:t>
      </w:r>
    </w:p>
    <w:p w14:paraId="5148FB56" w14:textId="0353F024" w:rsidR="007818FF" w:rsidRPr="007C0211" w:rsidRDefault="007818FF" w:rsidP="007818FF">
      <w:pPr>
        <w:spacing w:after="240"/>
        <w:jc w:val="both"/>
      </w:pPr>
      <w:r w:rsidRPr="007818FF">
        <w:t>Na validação, os intervalos de previsão do SARIMA mostraram-se bem calibrados, com cobertura empírica de 80,8% para o nível nominal de 80% e de 94,2% para o de 95%. O ETS apresentou subcobertura acentuada (59,6% e 74,7%), com intervalos estreitos demais.</w:t>
      </w:r>
    </w:p>
    <w:p w14:paraId="6A2A997D" w14:textId="19478A98" w:rsidR="003E294A" w:rsidRDefault="003E294A">
      <w:pPr>
        <w:pStyle w:val="heading20"/>
      </w:pPr>
      <w:r>
        <w:t>4.5 Avaliação residual</w:t>
      </w:r>
    </w:p>
    <w:p w14:paraId="12018763" w14:textId="64F6525A" w:rsidR="003E294A" w:rsidRPr="003E294A" w:rsidRDefault="007818FF" w:rsidP="003E294A">
      <w:pPr>
        <w:spacing w:after="200" w:line="360" w:lineRule="auto"/>
        <w:ind w:firstLine="708"/>
        <w:jc w:val="both"/>
      </w:pPr>
      <w:r w:rsidRPr="007818FF">
        <w:t xml:space="preserve">Os resíduos apresentaram médias próximas de zero, mas o teste de </w:t>
      </w:r>
      <w:proofErr w:type="spellStart"/>
      <w:r w:rsidRPr="007818FF">
        <w:t>Ljung</w:t>
      </w:r>
      <w:proofErr w:type="spellEnd"/>
      <w:r w:rsidRPr="007818FF">
        <w:t xml:space="preserve">-Box em </w:t>
      </w:r>
      <w:proofErr w:type="spellStart"/>
      <w:r w:rsidRPr="007818FF">
        <w:t>lag</w:t>
      </w:r>
      <w:proofErr w:type="spellEnd"/>
      <w:r w:rsidRPr="007818FF">
        <w:t xml:space="preserve"> 14 rejeitou a ausência de autocorrelação para todos os modelos e </w:t>
      </w:r>
      <w:proofErr w:type="spellStart"/>
      <w:r w:rsidRPr="007818FF">
        <w:t>folds</w:t>
      </w:r>
      <w:proofErr w:type="spellEnd"/>
      <w:r w:rsidRPr="007818FF">
        <w:t xml:space="preserve">, com valores-p </w:t>
      </w:r>
      <w:r w:rsidRPr="007818FF">
        <w:lastRenderedPageBreak/>
        <w:t>inferiores a 0,05 (máximo de 0,021, no DHR-Fourier; inferiores a 10⁻⁶ para SARIMA e ETS)</w:t>
      </w:r>
      <w:r w:rsidR="003E294A" w:rsidRPr="003E294A">
        <w:t>.</w:t>
      </w:r>
    </w:p>
    <w:p w14:paraId="1FC07520" w14:textId="4E77458D" w:rsidR="003E294A" w:rsidRPr="003E294A" w:rsidRDefault="003E294A" w:rsidP="003E294A">
      <w:pPr>
        <w:spacing w:after="200" w:line="360" w:lineRule="auto"/>
        <w:ind w:firstLine="708"/>
        <w:jc w:val="both"/>
      </w:pPr>
      <w:r w:rsidRPr="003E294A">
        <w:t>Portanto, nenhum dos modelos esgotou completamente a estrutura temporal da carga</w:t>
      </w:r>
      <w:r>
        <w:t xml:space="preserve">, o que provavelmente </w:t>
      </w:r>
      <w:r w:rsidRPr="003E294A">
        <w:t>está relacionad</w:t>
      </w:r>
      <w:r>
        <w:t>o</w:t>
      </w:r>
      <w:r w:rsidRPr="003E294A">
        <w:t xml:space="preserve"> a fatores que não estavam disponíveis na base de dados, como temperatura, feriados, atividade econômica, eventos excepcionais e mudanças de comportamento dos consumidores. A inclusão dessas informações em estudos futuros pode aumentar significativamente a precisão das previsões</w:t>
      </w:r>
      <w:r>
        <w:t>, conforme se recomendará adiante</w:t>
      </w:r>
      <w:r w:rsidRPr="003E294A">
        <w:t>.</w:t>
      </w:r>
    </w:p>
    <w:p w14:paraId="6F6B8368" w14:textId="5F617A3A" w:rsidR="008622B8" w:rsidRPr="007C0211" w:rsidRDefault="4B694E47">
      <w:pPr>
        <w:pStyle w:val="heading20"/>
      </w:pPr>
      <w:r w:rsidRPr="007C0211">
        <w:t>4.</w:t>
      </w:r>
      <w:r w:rsidR="003E294A">
        <w:t>6</w:t>
      </w:r>
      <w:r w:rsidRPr="007C0211">
        <w:t xml:space="preserve"> Discussão</w:t>
      </w:r>
    </w:p>
    <w:p w14:paraId="3D09FB59" w14:textId="174C12C0" w:rsidR="008622B8" w:rsidRPr="007C0211" w:rsidRDefault="006976A9">
      <w:pPr>
        <w:spacing w:after="200" w:line="360" w:lineRule="auto"/>
        <w:ind w:firstLine="708"/>
        <w:jc w:val="both"/>
      </w:pPr>
      <w:r w:rsidRPr="006976A9">
        <w:t xml:space="preserve">O desempenho do ETS, próximo ao do SARIMA, indica que a série também é bem descrita por uma estrutura de tendência amortecida combinada a sazonalidade multiplicativa. Isso confirma a observação de </w:t>
      </w:r>
      <w:proofErr w:type="spellStart"/>
      <w:r w:rsidRPr="006976A9">
        <w:t>Hyndman</w:t>
      </w:r>
      <w:proofErr w:type="spellEnd"/>
      <w:r w:rsidRPr="006976A9">
        <w:t xml:space="preserve"> e </w:t>
      </w:r>
      <w:proofErr w:type="spellStart"/>
      <w:r w:rsidRPr="006976A9">
        <w:t>Athanasopoulos</w:t>
      </w:r>
      <w:proofErr w:type="spellEnd"/>
      <w:r w:rsidRPr="006976A9">
        <w:t xml:space="preserve"> (2021) de que, em séries com tendência e sazonalidade bem definidas, os modelos ETS tendem a ser competitivos com os modelos ARIMA/SARIMA. O DHR-Fourier obteve desempenho médio praticamente idêntico ao do ETS, mas com viés sistemático de subestimação da carga. Esse comportamento é compatível com sua principal limitação teórica: ao representar a sazonalidade por ondas suaves e relativamente estáveis, o modelo responde mais lentamente a mudanças de nível e a variações abruptas, como as associadas a feriados e eventos climáticos atípicos</w:t>
      </w:r>
      <w:r w:rsidR="4B694E47" w:rsidRPr="007C0211">
        <w:t>.</w:t>
      </w:r>
    </w:p>
    <w:p w14:paraId="54D490FA" w14:textId="6F58B5C1" w:rsidR="008622B8" w:rsidRPr="007C0211" w:rsidRDefault="006976A9">
      <w:pPr>
        <w:spacing w:after="200" w:line="360" w:lineRule="auto"/>
        <w:ind w:firstLine="708"/>
        <w:jc w:val="both"/>
      </w:pPr>
      <w:r w:rsidRPr="006976A9">
        <w:t xml:space="preserve">Do ponto de vista das hipóteses de pesquisa, os resultados oferecem suporte à hipótese científica de que modelos que incorporam adequadamente tendência e sazonalidade apresentam melhor desempenho preditivo. Os três modelos estatísticos superaram o benchmark ingênuo sazonal, com reduções de RMSE entre 18,9% e 25,8%. Quanto às hipóteses estatísticas, não houve evidência suficiente para rejeitar H0 no teste de </w:t>
      </w:r>
      <w:proofErr w:type="spellStart"/>
      <w:r w:rsidRPr="006976A9">
        <w:t>Diebold</w:t>
      </w:r>
      <w:proofErr w:type="spellEnd"/>
      <w:r w:rsidRPr="006976A9">
        <w:t xml:space="preserve">-Mariano nem no teste de Friedman. Isso qualifica, sem invalidar, a conclusão de que o SARIMA é o modelo mais adequado para esta base de dados: a vantagem observada é </w:t>
      </w:r>
      <w:r w:rsidRPr="006976A9">
        <w:lastRenderedPageBreak/>
        <w:t>numericamente consistente ao longo de um ano de validação e teoricamente justificável, ainda que não estatisticamente conclusiva</w:t>
      </w:r>
      <w:r w:rsidR="4B694E47" w:rsidRPr="007C0211">
        <w:t>.</w:t>
      </w:r>
    </w:p>
    <w:p w14:paraId="79E743C7" w14:textId="3EB8B938" w:rsidR="008622B8" w:rsidRPr="007C0211" w:rsidRDefault="006976A9">
      <w:pPr>
        <w:spacing w:after="200" w:line="360" w:lineRule="auto"/>
        <w:ind w:firstLine="708"/>
        <w:jc w:val="both"/>
      </w:pPr>
      <w:r w:rsidRPr="006976A9">
        <w:t xml:space="preserve">Do ponto de vista prático, a recomendação pelo SARIMA como modelo operacional é reforçada por três fatos: ele apresentou o menor erro nas três métricas analisadas; produziu previsões sem viés sistemático; e teve intervalos de previsão com cobertura empírica próxima da nominal. Ele superou o benchmark ingênuo na maioria dos </w:t>
      </w:r>
      <w:proofErr w:type="spellStart"/>
      <w:r w:rsidRPr="006976A9">
        <w:t>folds</w:t>
      </w:r>
      <w:proofErr w:type="spellEnd"/>
      <w:r w:rsidRPr="006976A9">
        <w:t xml:space="preserve"> (36 de 52), mas não em todos, o que reforça a recomendação da literatura de combinar modelos estatisticamente robustos com monitoramento contínuo do desempenho preditivo (HONG; FAN, 2016)</w:t>
      </w:r>
      <w:r w:rsidR="4B694E47" w:rsidRPr="007C0211">
        <w:t>.</w:t>
      </w:r>
    </w:p>
    <w:p w14:paraId="376963DC" w14:textId="3E3C13A7" w:rsidR="008622B8" w:rsidRPr="007C0211" w:rsidRDefault="4B694E47">
      <w:pPr>
        <w:pStyle w:val="heading20"/>
      </w:pPr>
      <w:r w:rsidRPr="007C0211">
        <w:t>4.</w:t>
      </w:r>
      <w:r w:rsidR="006976A9">
        <w:t>7</w:t>
      </w:r>
      <w:r w:rsidRPr="007C0211">
        <w:t xml:space="preserve"> Limitações do estudo</w:t>
      </w:r>
    </w:p>
    <w:p w14:paraId="044CD853" w14:textId="77777777" w:rsidR="00152427" w:rsidRDefault="4B694E47" w:rsidP="00152427">
      <w:pPr>
        <w:spacing w:line="360" w:lineRule="auto"/>
        <w:ind w:firstLine="708"/>
        <w:jc w:val="both"/>
      </w:pPr>
      <w:r w:rsidRPr="007C0211">
        <w:t xml:space="preserve">O estudo apresenta limitações que devem ser consideradas na interpretação dos resultados: </w:t>
      </w:r>
    </w:p>
    <w:p w14:paraId="1E17F2F2" w14:textId="17CFE058" w:rsidR="00152427" w:rsidRDefault="4B694E47" w:rsidP="00152427">
      <w:pPr>
        <w:pStyle w:val="ListParagraph"/>
        <w:numPr>
          <w:ilvl w:val="0"/>
          <w:numId w:val="4"/>
        </w:numPr>
        <w:spacing w:line="360" w:lineRule="auto"/>
        <w:jc w:val="both"/>
      </w:pPr>
      <w:r w:rsidRPr="007C0211">
        <w:t xml:space="preserve">a ausência de variáveis explicativas exógenas, como temperatura, feriados e indicadores econômicos, que poderiam melhorar substancialmente a capacidade preditiva de todos os modelos; </w:t>
      </w:r>
    </w:p>
    <w:p w14:paraId="392B6FF7" w14:textId="77777777" w:rsidR="00152427" w:rsidRDefault="4B694E47" w:rsidP="00152427">
      <w:pPr>
        <w:pStyle w:val="ListParagraph"/>
        <w:numPr>
          <w:ilvl w:val="0"/>
          <w:numId w:val="4"/>
        </w:numPr>
        <w:spacing w:line="360" w:lineRule="auto"/>
        <w:jc w:val="both"/>
      </w:pPr>
      <w:r w:rsidRPr="007C0211">
        <w:t>a possibilidade de os dados históricos serem revisados pelo ONS após sua publicação, conforme informado pelo próprio órgão; e</w:t>
      </w:r>
    </w:p>
    <w:p w14:paraId="69991C18" w14:textId="046887B9" w:rsidR="008622B8" w:rsidRPr="007C0211" w:rsidRDefault="4B694E47" w:rsidP="00152427">
      <w:pPr>
        <w:pStyle w:val="ListParagraph"/>
        <w:numPr>
          <w:ilvl w:val="0"/>
          <w:numId w:val="4"/>
        </w:numPr>
        <w:spacing w:line="360" w:lineRule="auto"/>
        <w:jc w:val="both"/>
      </w:pPr>
      <w:r w:rsidRPr="007C0211">
        <w:t>a possibilidade de mudanças estruturais futuras na série, não capturadas pelos modelos ajustados sobre o histórico disponível.</w:t>
      </w:r>
    </w:p>
    <w:p w14:paraId="675B5CBD" w14:textId="77777777" w:rsidR="008622B8" w:rsidRPr="007C0211" w:rsidRDefault="4B694E47">
      <w:pPr>
        <w:pStyle w:val="heading10"/>
      </w:pPr>
      <w:r w:rsidRPr="007C0211">
        <w:rPr>
          <w:caps/>
        </w:rPr>
        <w:t>5. Considerações finais</w:t>
      </w:r>
    </w:p>
    <w:p w14:paraId="0F94B86C" w14:textId="77777777" w:rsidR="00326B88" w:rsidRDefault="4B694E47" w:rsidP="00326B88">
      <w:pPr>
        <w:spacing w:line="360" w:lineRule="auto"/>
        <w:ind w:firstLine="708"/>
        <w:jc w:val="both"/>
      </w:pPr>
      <w:r w:rsidRPr="007C0211">
        <w:t xml:space="preserve">Este estudo comparou o desempenho preditivo dos modelos SARIMA, ETS e DHR-Fourier na previsão da carga diária de energia elétrica do subsistema Sudeste/Centro-Oeste, utilizando dados públicos do ONS referentes ao período de 2021 a 2025 e validação cruzada temporal do tipo </w:t>
      </w:r>
      <w:proofErr w:type="spellStart"/>
      <w:r w:rsidRPr="00A83E97">
        <w:rPr>
          <w:i/>
          <w:iCs/>
        </w:rPr>
        <w:t>rolling</w:t>
      </w:r>
      <w:proofErr w:type="spellEnd"/>
      <w:r w:rsidRPr="00A83E97">
        <w:rPr>
          <w:i/>
          <w:iCs/>
        </w:rPr>
        <w:t xml:space="preserve"> </w:t>
      </w:r>
      <w:proofErr w:type="spellStart"/>
      <w:r w:rsidRPr="00A83E97">
        <w:rPr>
          <w:i/>
          <w:iCs/>
        </w:rPr>
        <w:t>forecast</w:t>
      </w:r>
      <w:proofErr w:type="spellEnd"/>
      <w:r w:rsidRPr="00A83E97">
        <w:rPr>
          <w:i/>
          <w:iCs/>
        </w:rPr>
        <w:t xml:space="preserve"> origin</w:t>
      </w:r>
      <w:r w:rsidRPr="007C0211">
        <w:t xml:space="preserve">. Em relação aos objetivos específicos propostos, verificou-se que: </w:t>
      </w:r>
    </w:p>
    <w:p w14:paraId="633949C3" w14:textId="4F7D8FBF" w:rsidR="00326B88" w:rsidRDefault="005D760A" w:rsidP="00326B88">
      <w:pPr>
        <w:pStyle w:val="ListParagraph"/>
        <w:numPr>
          <w:ilvl w:val="0"/>
          <w:numId w:val="5"/>
        </w:numPr>
        <w:spacing w:line="360" w:lineRule="auto"/>
        <w:jc w:val="both"/>
      </w:pPr>
      <w:r>
        <w:lastRenderedPageBreak/>
        <w:t>os modelos que incorporam tendência e sazonalidad</w:t>
      </w:r>
      <w:r w:rsidR="00DF3202">
        <w:t>e,</w:t>
      </w:r>
      <w:r>
        <w:t xml:space="preserve"> SARIMA, ETS e DHR-Fourier</w:t>
      </w:r>
      <w:r w:rsidR="00441415">
        <w:t xml:space="preserve">, </w:t>
      </w:r>
      <w:r>
        <w:t>superaram o benchmark ingênuo sazonal, oferecendo suporte à hipótese científica</w:t>
      </w:r>
      <w:r w:rsidR="4B694E47" w:rsidRPr="007C0211">
        <w:t xml:space="preserve">; </w:t>
      </w:r>
    </w:p>
    <w:p w14:paraId="7507C623" w14:textId="663EDD60" w:rsidR="00326B88" w:rsidRDefault="005E4580" w:rsidP="00326B88">
      <w:pPr>
        <w:pStyle w:val="ListParagraph"/>
        <w:numPr>
          <w:ilvl w:val="0"/>
          <w:numId w:val="5"/>
        </w:numPr>
        <w:spacing w:line="360" w:lineRule="auto"/>
        <w:jc w:val="both"/>
      </w:pPr>
      <w:r w:rsidRPr="005E4580">
        <w:t xml:space="preserve">o modelo de menor erro preditivo, nas três métricas avaliadas (RMSE, MAE e MAPE), foi o </w:t>
      </w:r>
      <w:proofErr w:type="gramStart"/>
      <w:r w:rsidRPr="005E4580">
        <w:t>SARIMA(</w:t>
      </w:r>
      <w:proofErr w:type="gramEnd"/>
      <w:r w:rsidRPr="005E4580">
        <w:t>1,0,</w:t>
      </w:r>
      <w:proofErr w:type="gramStart"/>
      <w:r w:rsidRPr="005E4580">
        <w:t>1)(</w:t>
      </w:r>
      <w:proofErr w:type="gramEnd"/>
      <w:r w:rsidRPr="005E4580">
        <w:t>0,1,</w:t>
      </w:r>
      <w:proofErr w:type="gramStart"/>
      <w:r w:rsidRPr="005E4580">
        <w:t>1)₇</w:t>
      </w:r>
      <w:proofErr w:type="gramEnd"/>
      <w:r w:rsidR="4B694E47" w:rsidRPr="007C0211">
        <w:t xml:space="preserve">; </w:t>
      </w:r>
    </w:p>
    <w:p w14:paraId="11C82A9D" w14:textId="0D983A85" w:rsidR="00326B88" w:rsidRDefault="005E4580" w:rsidP="00326B88">
      <w:pPr>
        <w:pStyle w:val="ListParagraph"/>
        <w:numPr>
          <w:ilvl w:val="0"/>
          <w:numId w:val="5"/>
        </w:numPr>
        <w:spacing w:line="360" w:lineRule="auto"/>
        <w:jc w:val="both"/>
      </w:pPr>
      <w:r w:rsidRPr="005E4580">
        <w:t xml:space="preserve">os testes de </w:t>
      </w:r>
      <w:proofErr w:type="spellStart"/>
      <w:r w:rsidRPr="005E4580">
        <w:t>Diebold</w:t>
      </w:r>
      <w:proofErr w:type="spellEnd"/>
      <w:r w:rsidRPr="005E4580">
        <w:t>-Mariano e de Friedman, aplicados a 52 semanas de validação, não identificaram diferenças estatisticamente significativas entre os modelos, não permitindo rejeitar H0;</w:t>
      </w:r>
      <w:r w:rsidR="4B694E47" w:rsidRPr="007C0211">
        <w:t xml:space="preserve"> </w:t>
      </w:r>
    </w:p>
    <w:p w14:paraId="09F56BE2" w14:textId="66C97D3E" w:rsidR="008622B8" w:rsidRDefault="00F55FA4" w:rsidP="00326B88">
      <w:pPr>
        <w:pStyle w:val="ListParagraph"/>
        <w:numPr>
          <w:ilvl w:val="0"/>
          <w:numId w:val="5"/>
        </w:numPr>
        <w:spacing w:line="360" w:lineRule="auto"/>
        <w:jc w:val="both"/>
      </w:pPr>
      <w:r w:rsidRPr="00F55FA4">
        <w:t xml:space="preserve">com base nesses achados, recomenda-se a adoção do SARIMA como modelo preditivo operacional principal para esta base de dados, com </w:t>
      </w:r>
      <w:proofErr w:type="spellStart"/>
      <w:r w:rsidRPr="00F55FA4">
        <w:t>reestimação</w:t>
      </w:r>
      <w:proofErr w:type="spellEnd"/>
      <w:r w:rsidRPr="00F55FA4">
        <w:t xml:space="preserve"> periódica, manutenção do benchmark sazonal em produção como referência de controle, monitoramento contínuo das métricas de erro e reavaliação após eventuais mudanças estruturais na série</w:t>
      </w:r>
      <w:r w:rsidR="4B694E47" w:rsidRPr="007C0211">
        <w:t>.</w:t>
      </w:r>
    </w:p>
    <w:p w14:paraId="64172557" w14:textId="77777777" w:rsidR="0019098E" w:rsidRPr="007C0211" w:rsidRDefault="0019098E" w:rsidP="0019098E">
      <w:pPr>
        <w:pStyle w:val="ListParagraph"/>
        <w:spacing w:line="360" w:lineRule="auto"/>
        <w:ind w:left="1068"/>
        <w:jc w:val="both"/>
      </w:pPr>
    </w:p>
    <w:p w14:paraId="0BE0D2F1" w14:textId="77777777" w:rsidR="00C957B4" w:rsidRDefault="4B694E47">
      <w:pPr>
        <w:spacing w:after="200" w:line="360" w:lineRule="auto"/>
        <w:ind w:firstLine="708"/>
        <w:jc w:val="both"/>
      </w:pPr>
      <w:r w:rsidRPr="007C0211">
        <w:t xml:space="preserve">Como principal contribuição estatística, o estudo evidencia que, para a carga elétrica do subsistema Sudeste/Centro-Oeste, a dependência temporal de curto prazo e a sazonalidade semanal constituem os determinantes mais relevantes de sua previsibilidade — mais até do que a representação harmônica de ciclos sazonais suaves —, resultado que dialoga diretamente com a literatura de previsão de demanda elétrica (TAYLOR, 2003; HONG; FAN, 2016; HYNDMAN; ATHANASOPOULOS, 2021). </w:t>
      </w:r>
    </w:p>
    <w:p w14:paraId="52E90836" w14:textId="721799A3" w:rsidR="008622B8" w:rsidRPr="007C0211" w:rsidRDefault="00BA2AA9">
      <w:pPr>
        <w:spacing w:after="200" w:line="360" w:lineRule="auto"/>
        <w:ind w:firstLine="708"/>
        <w:jc w:val="both"/>
      </w:pPr>
      <w:r w:rsidRPr="00BA2AA9">
        <w:t>Para estudos futuros, recomenda-se a incorporação de variáveis exógenas (temperatura, indicadores de atividade econômica e variáveis indicadoras de feriados, períodos em que se concentraram os maiores erros de previsão). Recomenda-se também a avaliação de modelos híbridos que combinem a representação de dependência temporal do SARIMA com a flexibilidade estrutural do ETS ou com os termos harmônicos do DHR para sazonalidades múltiplas</w:t>
      </w:r>
      <w:r w:rsidR="4B694E47" w:rsidRPr="007C0211">
        <w:t>.</w:t>
      </w:r>
    </w:p>
    <w:p w14:paraId="156EF3BF" w14:textId="77777777" w:rsidR="008622B8" w:rsidRPr="007C0211" w:rsidRDefault="4B694E47">
      <w:pPr>
        <w:pStyle w:val="heading10"/>
      </w:pPr>
      <w:r w:rsidRPr="007C0211">
        <w:rPr>
          <w:caps/>
        </w:rPr>
        <w:t>Agradecimentos</w:t>
      </w:r>
    </w:p>
    <w:p w14:paraId="52DD53AE" w14:textId="3FC86512" w:rsidR="008622B8" w:rsidRDefault="4B694E47">
      <w:pPr>
        <w:spacing w:after="200" w:line="360" w:lineRule="auto"/>
        <w:ind w:firstLine="708"/>
        <w:jc w:val="both"/>
      </w:pPr>
      <w:r w:rsidRPr="007C0211">
        <w:lastRenderedPageBreak/>
        <w:t>O</w:t>
      </w:r>
      <w:r w:rsidR="00430197">
        <w:t>s</w:t>
      </w:r>
      <w:r w:rsidRPr="007C0211">
        <w:t xml:space="preserve"> autor</w:t>
      </w:r>
      <w:r w:rsidR="00430197">
        <w:t>es</w:t>
      </w:r>
      <w:r w:rsidRPr="007C0211">
        <w:t xml:space="preserve"> agradece</w:t>
      </w:r>
      <w:r w:rsidR="00430197">
        <w:t>m</w:t>
      </w:r>
      <w:r w:rsidRPr="007C0211">
        <w:t xml:space="preserve"> ao Operador Nacional do Sistema Elétrico (ONS) pela disponibilização pública dos dados utilizados nesta pesquisa por meio de seu Portal de Dados Abertos, e ao corpo docente do Bacharelado em Estatística pela orientação metodológica ao desenvolvimento deste Trabalho de Conclusão de Curso.</w:t>
      </w:r>
    </w:p>
    <w:p w14:paraId="04478984" w14:textId="77777777" w:rsidR="000729C0" w:rsidRPr="007C0211" w:rsidRDefault="000729C0">
      <w:pPr>
        <w:spacing w:after="200" w:line="360" w:lineRule="auto"/>
        <w:ind w:firstLine="708"/>
        <w:jc w:val="both"/>
      </w:pPr>
    </w:p>
    <w:p w14:paraId="1A8A572A" w14:textId="74D328E4" w:rsidR="008622B8" w:rsidRPr="007C0211" w:rsidRDefault="4B694E47">
      <w:pPr>
        <w:pStyle w:val="heading10"/>
      </w:pPr>
      <w:r w:rsidRPr="007C0211">
        <w:rPr>
          <w:caps/>
        </w:rPr>
        <w:t>Referências</w:t>
      </w:r>
      <w:r w:rsidR="000D60AC">
        <w:rPr>
          <w:caps/>
        </w:rPr>
        <w:t xml:space="preserve"> bibliográficas</w:t>
      </w:r>
    </w:p>
    <w:p w14:paraId="2123DCBE" w14:textId="77777777" w:rsidR="008622B8" w:rsidRPr="007C0211" w:rsidRDefault="4B694E47" w:rsidP="003E294A">
      <w:pPr>
        <w:spacing w:after="200"/>
      </w:pPr>
      <w:r w:rsidRPr="007C0211">
        <w:rPr>
          <w:sz w:val="22"/>
          <w:szCs w:val="22"/>
        </w:rPr>
        <w:t>ASSOCIAÇÃO BRASILEIRA DE NORMAS TÉCNICAS. NBR 6022: informação e documentação — artigo em publicação periódica técnica e/ou científica — apresentação. Rio de Janeiro: ABNT, 2018.</w:t>
      </w:r>
    </w:p>
    <w:p w14:paraId="12BB2007" w14:textId="77777777" w:rsidR="008622B8" w:rsidRPr="00922072" w:rsidRDefault="4B694E47" w:rsidP="003E294A">
      <w:pPr>
        <w:spacing w:after="200"/>
        <w:rPr>
          <w:lang w:val="en-US"/>
        </w:rPr>
      </w:pPr>
      <w:r w:rsidRPr="007C0211">
        <w:rPr>
          <w:sz w:val="22"/>
          <w:szCs w:val="22"/>
        </w:rPr>
        <w:t xml:space="preserve">ASSOCIAÇÃO BRASILEIRA DE NORMAS TÉCNICAS. NBR 14724: informação e documentação — trabalhos acadêmicos — apresentação. </w:t>
      </w:r>
      <w:r w:rsidRPr="00922072">
        <w:rPr>
          <w:sz w:val="22"/>
          <w:szCs w:val="22"/>
          <w:lang w:val="en-US"/>
        </w:rPr>
        <w:t>3. ed. Rio de Janeiro: ABNT, 2011.</w:t>
      </w:r>
    </w:p>
    <w:p w14:paraId="3442D920" w14:textId="77777777" w:rsidR="008622B8" w:rsidRPr="00922072" w:rsidRDefault="002743ED" w:rsidP="003E294A">
      <w:pPr>
        <w:spacing w:after="200"/>
        <w:rPr>
          <w:lang w:val="en-US"/>
        </w:rPr>
      </w:pPr>
      <w:r w:rsidRPr="00922072">
        <w:rPr>
          <w:sz w:val="22"/>
          <w:szCs w:val="22"/>
          <w:lang w:val="en-US"/>
        </w:rPr>
        <w:t>BOX, George E. P.; JENKINS, Gwilym M.; REINSEL, Gregory C.; LJUNG, Greta M. Time series analysis: forecasting and control. 5. ed. Hoboken: John Wiley &amp; Sons, 2015.</w:t>
      </w:r>
    </w:p>
    <w:p w14:paraId="3B1A27AC" w14:textId="77777777" w:rsidR="008622B8" w:rsidRPr="00922072" w:rsidRDefault="002743ED" w:rsidP="003E294A">
      <w:pPr>
        <w:spacing w:after="200"/>
        <w:rPr>
          <w:lang w:val="en-US"/>
        </w:rPr>
      </w:pPr>
      <w:r w:rsidRPr="00922072">
        <w:rPr>
          <w:sz w:val="22"/>
          <w:szCs w:val="22"/>
          <w:lang w:val="en-US"/>
        </w:rPr>
        <w:t>CLEVELAND, Robert B.; CLEVELAND, William S.; MCRAE, Jean E.; TERPENNING, Irma. STL: a seasonal-trend decomposition procedure based on loess. Journal of Official Statistics, v. 6, n. 1, p. 3-73, 1990.</w:t>
      </w:r>
    </w:p>
    <w:p w14:paraId="03444869" w14:textId="77777777" w:rsidR="008622B8" w:rsidRPr="00922072" w:rsidRDefault="002743ED" w:rsidP="003E294A">
      <w:pPr>
        <w:spacing w:after="200"/>
        <w:rPr>
          <w:lang w:val="en-US"/>
        </w:rPr>
      </w:pPr>
      <w:r w:rsidRPr="00922072">
        <w:rPr>
          <w:sz w:val="22"/>
          <w:szCs w:val="22"/>
          <w:lang w:val="en-US"/>
        </w:rPr>
        <w:t>DICKEY, David A.; FULLER, Wayne A. Distribution of the estimators for autoregressive time series with a unit root. Journal of the American Statistical Association, v. 74, n. 366, p. 427-431, 1979.</w:t>
      </w:r>
    </w:p>
    <w:p w14:paraId="1C49F881" w14:textId="77777777" w:rsidR="008622B8" w:rsidRPr="00922072" w:rsidRDefault="002743ED" w:rsidP="003E294A">
      <w:pPr>
        <w:spacing w:after="200"/>
        <w:rPr>
          <w:lang w:val="en-US"/>
        </w:rPr>
      </w:pPr>
      <w:r w:rsidRPr="00922072">
        <w:rPr>
          <w:sz w:val="22"/>
          <w:szCs w:val="22"/>
          <w:lang w:val="en-US"/>
        </w:rPr>
        <w:t>DIEBOLD, Francis X.; MARIANO, Roberto S. Comparing predictive accuracy. Journal of Business &amp; Economic Statistics, v. 13, n. 3, p. 253-263, 1995.</w:t>
      </w:r>
    </w:p>
    <w:p w14:paraId="3AD946A1" w14:textId="77777777" w:rsidR="008622B8" w:rsidRPr="00922072" w:rsidRDefault="002743ED" w:rsidP="003E294A">
      <w:pPr>
        <w:spacing w:after="200"/>
        <w:rPr>
          <w:lang w:val="en-US"/>
        </w:rPr>
      </w:pPr>
      <w:r w:rsidRPr="00922072">
        <w:rPr>
          <w:sz w:val="22"/>
          <w:szCs w:val="22"/>
          <w:lang w:val="en-US"/>
        </w:rPr>
        <w:t xml:space="preserve">HARRIS, Charles R.; MILLMAN, K. Jarrod; VAN DER WALT, </w:t>
      </w:r>
      <w:proofErr w:type="spellStart"/>
      <w:r w:rsidRPr="00922072">
        <w:rPr>
          <w:sz w:val="22"/>
          <w:szCs w:val="22"/>
          <w:lang w:val="en-US"/>
        </w:rPr>
        <w:t>Stéfan</w:t>
      </w:r>
      <w:proofErr w:type="spellEnd"/>
      <w:r w:rsidRPr="00922072">
        <w:rPr>
          <w:sz w:val="22"/>
          <w:szCs w:val="22"/>
          <w:lang w:val="en-US"/>
        </w:rPr>
        <w:t xml:space="preserve"> J. et al. Array programming with NumPy. Nature, v. 585, n. 7825, p. 357-362, 2020.</w:t>
      </w:r>
    </w:p>
    <w:p w14:paraId="6A619DAC" w14:textId="77777777" w:rsidR="008622B8" w:rsidRPr="00922072" w:rsidRDefault="002743ED" w:rsidP="003E294A">
      <w:pPr>
        <w:spacing w:after="200"/>
        <w:rPr>
          <w:lang w:val="en-US"/>
        </w:rPr>
      </w:pPr>
      <w:r w:rsidRPr="00922072">
        <w:rPr>
          <w:sz w:val="22"/>
          <w:szCs w:val="22"/>
          <w:lang w:val="en-US"/>
        </w:rPr>
        <w:t>HOLM, Sture. A simple sequentially rejective multiple test procedure. Scandinavian Journal of Statistics, v. 6, n. 2, p. 65-70, 1979.</w:t>
      </w:r>
    </w:p>
    <w:p w14:paraId="5FB8B61A" w14:textId="77777777" w:rsidR="008622B8" w:rsidRPr="00922072" w:rsidRDefault="002743ED" w:rsidP="003E294A">
      <w:pPr>
        <w:spacing w:after="200"/>
        <w:rPr>
          <w:lang w:val="en-US"/>
        </w:rPr>
      </w:pPr>
      <w:r w:rsidRPr="00922072">
        <w:rPr>
          <w:sz w:val="22"/>
          <w:szCs w:val="22"/>
          <w:lang w:val="en-US"/>
        </w:rPr>
        <w:t>HONG, Tao; FAN, Shu. Probabilistic electric load forecasting: a tutorial review. International Journal of Forecasting, v. 32, n. 3, p. 914-938, 2016.</w:t>
      </w:r>
    </w:p>
    <w:p w14:paraId="38E85EDC" w14:textId="77777777" w:rsidR="008622B8" w:rsidRPr="00922072" w:rsidRDefault="002743ED" w:rsidP="003E294A">
      <w:pPr>
        <w:spacing w:after="200"/>
        <w:rPr>
          <w:lang w:val="en-US"/>
        </w:rPr>
      </w:pPr>
      <w:r w:rsidRPr="00922072">
        <w:rPr>
          <w:sz w:val="22"/>
          <w:szCs w:val="22"/>
          <w:lang w:val="en-US"/>
        </w:rPr>
        <w:t>HUNTER, John D. Matplotlib: a 2D graphics environment. Computing in Science &amp; Engineering, v. 9, n. 3, p. 90-95, 2007.</w:t>
      </w:r>
    </w:p>
    <w:p w14:paraId="227DAE92" w14:textId="77777777" w:rsidR="008622B8" w:rsidRPr="007C0211" w:rsidRDefault="4B694E47" w:rsidP="003E294A">
      <w:pPr>
        <w:spacing w:after="200"/>
      </w:pPr>
      <w:r w:rsidRPr="00922072">
        <w:rPr>
          <w:sz w:val="22"/>
          <w:szCs w:val="22"/>
          <w:lang w:val="en-US"/>
        </w:rPr>
        <w:t xml:space="preserve">HYNDMAN, Rob J.; ATHANASOPOULOS, George. Forecasting: principles and practice. 3. ed. </w:t>
      </w:r>
      <w:r w:rsidRPr="007C0211">
        <w:rPr>
          <w:sz w:val="22"/>
          <w:szCs w:val="22"/>
        </w:rPr>
        <w:t xml:space="preserve">Melbourne: </w:t>
      </w:r>
      <w:proofErr w:type="spellStart"/>
      <w:r w:rsidRPr="007C0211">
        <w:rPr>
          <w:sz w:val="22"/>
          <w:szCs w:val="22"/>
        </w:rPr>
        <w:t>OTexts</w:t>
      </w:r>
      <w:proofErr w:type="spellEnd"/>
      <w:r w:rsidRPr="007C0211">
        <w:rPr>
          <w:sz w:val="22"/>
          <w:szCs w:val="22"/>
        </w:rPr>
        <w:t>, 2021. Disponível em: https://otexts.com/fpp3/. Acesso em: 19 set. 2026.</w:t>
      </w:r>
    </w:p>
    <w:p w14:paraId="47BF9E49" w14:textId="77777777" w:rsidR="008622B8" w:rsidRDefault="4B694E47" w:rsidP="003E294A">
      <w:pPr>
        <w:spacing w:after="200"/>
        <w:rPr>
          <w:sz w:val="22"/>
          <w:szCs w:val="22"/>
        </w:rPr>
      </w:pPr>
      <w:r w:rsidRPr="00922072">
        <w:rPr>
          <w:sz w:val="22"/>
          <w:szCs w:val="22"/>
          <w:lang w:val="en-US"/>
        </w:rPr>
        <w:lastRenderedPageBreak/>
        <w:t xml:space="preserve">KWIATKOWSKI, Denis; PHILLIPS, Peter C. B.; SCHMIDT, Peter; SHIN, </w:t>
      </w:r>
      <w:proofErr w:type="spellStart"/>
      <w:r w:rsidRPr="00922072">
        <w:rPr>
          <w:sz w:val="22"/>
          <w:szCs w:val="22"/>
          <w:lang w:val="en-US"/>
        </w:rPr>
        <w:t>Yongcheol</w:t>
      </w:r>
      <w:proofErr w:type="spellEnd"/>
      <w:r w:rsidRPr="00922072">
        <w:rPr>
          <w:sz w:val="22"/>
          <w:szCs w:val="22"/>
          <w:lang w:val="en-US"/>
        </w:rPr>
        <w:t xml:space="preserve">. Testing the null hypothesis of stationarity against the alternative of a unit root. </w:t>
      </w:r>
      <w:proofErr w:type="spellStart"/>
      <w:r w:rsidRPr="007C0211">
        <w:rPr>
          <w:sz w:val="22"/>
          <w:szCs w:val="22"/>
        </w:rPr>
        <w:t>Journal</w:t>
      </w:r>
      <w:proofErr w:type="spellEnd"/>
      <w:r w:rsidRPr="007C0211">
        <w:rPr>
          <w:sz w:val="22"/>
          <w:szCs w:val="22"/>
        </w:rPr>
        <w:t xml:space="preserve"> </w:t>
      </w:r>
      <w:proofErr w:type="spellStart"/>
      <w:r w:rsidRPr="007C0211">
        <w:rPr>
          <w:sz w:val="22"/>
          <w:szCs w:val="22"/>
        </w:rPr>
        <w:t>of</w:t>
      </w:r>
      <w:proofErr w:type="spellEnd"/>
      <w:r w:rsidRPr="007C0211">
        <w:rPr>
          <w:sz w:val="22"/>
          <w:szCs w:val="22"/>
        </w:rPr>
        <w:t xml:space="preserve"> </w:t>
      </w:r>
      <w:proofErr w:type="spellStart"/>
      <w:r w:rsidRPr="007C0211">
        <w:rPr>
          <w:sz w:val="22"/>
          <w:szCs w:val="22"/>
        </w:rPr>
        <w:t>Econometrics</w:t>
      </w:r>
      <w:proofErr w:type="spellEnd"/>
      <w:r w:rsidRPr="007C0211">
        <w:rPr>
          <w:sz w:val="22"/>
          <w:szCs w:val="22"/>
        </w:rPr>
        <w:t>, v. 54, n. 1-3, p. 159-178, 1992.</w:t>
      </w:r>
    </w:p>
    <w:p w14:paraId="45E95630" w14:textId="4BB6287C" w:rsidR="000729C0" w:rsidRPr="00922072" w:rsidRDefault="000729C0" w:rsidP="003E294A">
      <w:pPr>
        <w:spacing w:after="200"/>
        <w:rPr>
          <w:sz w:val="22"/>
          <w:szCs w:val="22"/>
          <w:lang w:val="en-US"/>
        </w:rPr>
      </w:pPr>
      <w:r w:rsidRPr="000729C0">
        <w:rPr>
          <w:sz w:val="22"/>
          <w:szCs w:val="22"/>
        </w:rPr>
        <w:t xml:space="preserve">MAKRIDAKIS, </w:t>
      </w:r>
      <w:proofErr w:type="spellStart"/>
      <w:r w:rsidRPr="000729C0">
        <w:rPr>
          <w:sz w:val="22"/>
          <w:szCs w:val="22"/>
        </w:rPr>
        <w:t>Spyros</w:t>
      </w:r>
      <w:proofErr w:type="spellEnd"/>
      <w:r w:rsidRPr="000729C0">
        <w:rPr>
          <w:sz w:val="22"/>
          <w:szCs w:val="22"/>
        </w:rPr>
        <w:t xml:space="preserve">; SPILIOTIS, </w:t>
      </w:r>
      <w:proofErr w:type="spellStart"/>
      <w:r w:rsidRPr="000729C0">
        <w:rPr>
          <w:sz w:val="22"/>
          <w:szCs w:val="22"/>
        </w:rPr>
        <w:t>Evangelos</w:t>
      </w:r>
      <w:proofErr w:type="spellEnd"/>
      <w:r w:rsidRPr="000729C0">
        <w:rPr>
          <w:sz w:val="22"/>
          <w:szCs w:val="22"/>
        </w:rPr>
        <w:t xml:space="preserve">; ASSIMAKOPOULOS, </w:t>
      </w:r>
      <w:proofErr w:type="spellStart"/>
      <w:r w:rsidRPr="000729C0">
        <w:rPr>
          <w:sz w:val="22"/>
          <w:szCs w:val="22"/>
        </w:rPr>
        <w:t>Vassilios</w:t>
      </w:r>
      <w:proofErr w:type="spellEnd"/>
      <w:r w:rsidRPr="000729C0">
        <w:rPr>
          <w:sz w:val="22"/>
          <w:szCs w:val="22"/>
        </w:rPr>
        <w:t xml:space="preserve">. </w:t>
      </w:r>
      <w:r w:rsidRPr="00922072">
        <w:rPr>
          <w:sz w:val="22"/>
          <w:szCs w:val="22"/>
          <w:lang w:val="en-US"/>
        </w:rPr>
        <w:t>The M4 Competition: 100,000 time series and 61 forecasting methods. International Journal of Forecasting, v. 36, n. 1, p. 54-74, 2020. DOI: 10.1016/j.ijforecast.2019.04.014.</w:t>
      </w:r>
    </w:p>
    <w:p w14:paraId="1FD08845" w14:textId="77777777" w:rsidR="008622B8" w:rsidRPr="007C0211" w:rsidRDefault="4B694E47" w:rsidP="003E294A">
      <w:pPr>
        <w:spacing w:after="200"/>
      </w:pPr>
      <w:r w:rsidRPr="00922072">
        <w:rPr>
          <w:sz w:val="22"/>
          <w:szCs w:val="22"/>
          <w:lang w:val="en-US"/>
        </w:rPr>
        <w:t xml:space="preserve">MCKINNEY, Wes. Data structures for statistical computing in Python. In: PROCEEDINGS OF THE 9TH PYTHON IN SCIENCE CONFERENCE (SCIPY 2010), 9., 2010, Austin. </w:t>
      </w:r>
      <w:r w:rsidRPr="007C0211">
        <w:rPr>
          <w:sz w:val="22"/>
          <w:szCs w:val="22"/>
        </w:rPr>
        <w:t xml:space="preserve">Anais [...]. Austin: </w:t>
      </w:r>
      <w:proofErr w:type="spellStart"/>
      <w:r w:rsidRPr="007C0211">
        <w:rPr>
          <w:sz w:val="22"/>
          <w:szCs w:val="22"/>
        </w:rPr>
        <w:t>SciPy</w:t>
      </w:r>
      <w:proofErr w:type="spellEnd"/>
      <w:r w:rsidRPr="007C0211">
        <w:rPr>
          <w:sz w:val="22"/>
          <w:szCs w:val="22"/>
        </w:rPr>
        <w:t>, 2010. p. 56-61.</w:t>
      </w:r>
    </w:p>
    <w:p w14:paraId="053D0FF3" w14:textId="77777777" w:rsidR="008622B8" w:rsidRPr="007C0211" w:rsidRDefault="4B694E47" w:rsidP="003E294A">
      <w:pPr>
        <w:spacing w:after="200"/>
      </w:pPr>
      <w:r w:rsidRPr="007C0211">
        <w:rPr>
          <w:sz w:val="22"/>
          <w:szCs w:val="22"/>
        </w:rPr>
        <w:t xml:space="preserve">NUMPY DEVELOPERS. </w:t>
      </w:r>
      <w:proofErr w:type="spellStart"/>
      <w:r w:rsidRPr="007C0211">
        <w:rPr>
          <w:sz w:val="22"/>
          <w:szCs w:val="22"/>
        </w:rPr>
        <w:t>NumPy</w:t>
      </w:r>
      <w:proofErr w:type="spellEnd"/>
      <w:r w:rsidRPr="007C0211">
        <w:rPr>
          <w:sz w:val="22"/>
          <w:szCs w:val="22"/>
        </w:rPr>
        <w:t xml:space="preserve"> </w:t>
      </w:r>
      <w:proofErr w:type="spellStart"/>
      <w:r w:rsidRPr="007C0211">
        <w:rPr>
          <w:sz w:val="22"/>
          <w:szCs w:val="22"/>
        </w:rPr>
        <w:t>documentation</w:t>
      </w:r>
      <w:proofErr w:type="spellEnd"/>
      <w:r w:rsidRPr="007C0211">
        <w:rPr>
          <w:sz w:val="22"/>
          <w:szCs w:val="22"/>
        </w:rPr>
        <w:t>. [</w:t>
      </w:r>
      <w:proofErr w:type="spellStart"/>
      <w:r w:rsidRPr="007C0211">
        <w:rPr>
          <w:sz w:val="22"/>
          <w:szCs w:val="22"/>
        </w:rPr>
        <w:t>S.l</w:t>
      </w:r>
      <w:proofErr w:type="spellEnd"/>
      <w:r w:rsidRPr="007C0211">
        <w:rPr>
          <w:sz w:val="22"/>
          <w:szCs w:val="22"/>
        </w:rPr>
        <w:t xml:space="preserve">.]: </w:t>
      </w:r>
      <w:proofErr w:type="spellStart"/>
      <w:r w:rsidRPr="007C0211">
        <w:rPr>
          <w:sz w:val="22"/>
          <w:szCs w:val="22"/>
        </w:rPr>
        <w:t>NumPy</w:t>
      </w:r>
      <w:proofErr w:type="spellEnd"/>
      <w:r w:rsidRPr="007C0211">
        <w:rPr>
          <w:sz w:val="22"/>
          <w:szCs w:val="22"/>
        </w:rPr>
        <w:t>, 2026. Disponível em: https://numpy.org/doc/. Acesso em: 19 set. 2026.</w:t>
      </w:r>
    </w:p>
    <w:p w14:paraId="602BB9E5" w14:textId="77777777" w:rsidR="008622B8" w:rsidRPr="00922072" w:rsidRDefault="4B694E47" w:rsidP="003E294A">
      <w:pPr>
        <w:spacing w:after="200"/>
        <w:rPr>
          <w:lang w:val="en-US"/>
        </w:rPr>
      </w:pPr>
      <w:r w:rsidRPr="007C0211">
        <w:rPr>
          <w:sz w:val="22"/>
          <w:szCs w:val="22"/>
        </w:rPr>
        <w:t xml:space="preserve">OPERADOR NACIONAL DO SISTEMA ELÉTRICO (ONS). Carga de energia diária. Portal de Dados Abertos do ONS. Disponível em: https://dados.ons.org.br/dataset/carga-energia. </w:t>
      </w:r>
      <w:proofErr w:type="spellStart"/>
      <w:r w:rsidRPr="00922072">
        <w:rPr>
          <w:sz w:val="22"/>
          <w:szCs w:val="22"/>
          <w:lang w:val="en-US"/>
        </w:rPr>
        <w:t>Acesso</w:t>
      </w:r>
      <w:proofErr w:type="spellEnd"/>
      <w:r w:rsidRPr="00922072">
        <w:rPr>
          <w:sz w:val="22"/>
          <w:szCs w:val="22"/>
          <w:lang w:val="en-US"/>
        </w:rPr>
        <w:t xml:space="preserve"> </w:t>
      </w:r>
      <w:proofErr w:type="spellStart"/>
      <w:r w:rsidRPr="00922072">
        <w:rPr>
          <w:sz w:val="22"/>
          <w:szCs w:val="22"/>
          <w:lang w:val="en-US"/>
        </w:rPr>
        <w:t>em</w:t>
      </w:r>
      <w:proofErr w:type="spellEnd"/>
      <w:r w:rsidRPr="00922072">
        <w:rPr>
          <w:sz w:val="22"/>
          <w:szCs w:val="22"/>
          <w:lang w:val="en-US"/>
        </w:rPr>
        <w:t>: 5 set. 2026.</w:t>
      </w:r>
    </w:p>
    <w:p w14:paraId="5C5269FF" w14:textId="77777777" w:rsidR="008622B8" w:rsidRPr="007C0211" w:rsidRDefault="4B694E47" w:rsidP="003E294A">
      <w:pPr>
        <w:spacing w:after="200"/>
      </w:pPr>
      <w:r w:rsidRPr="00922072">
        <w:rPr>
          <w:sz w:val="22"/>
          <w:szCs w:val="22"/>
          <w:lang w:val="en-US"/>
        </w:rPr>
        <w:t xml:space="preserve">PYTHON SOFTWARE FOUNDATION. The Python language reference, version 3. </w:t>
      </w:r>
      <w:r w:rsidRPr="007C0211">
        <w:rPr>
          <w:sz w:val="22"/>
          <w:szCs w:val="22"/>
        </w:rPr>
        <w:t>[</w:t>
      </w:r>
      <w:proofErr w:type="spellStart"/>
      <w:r w:rsidRPr="007C0211">
        <w:rPr>
          <w:sz w:val="22"/>
          <w:szCs w:val="22"/>
        </w:rPr>
        <w:t>S.l</w:t>
      </w:r>
      <w:proofErr w:type="spellEnd"/>
      <w:r w:rsidRPr="007C0211">
        <w:rPr>
          <w:sz w:val="22"/>
          <w:szCs w:val="22"/>
        </w:rPr>
        <w:t>.]: PSF, 2026. Disponível em: https://docs.python.org/3/. Acesso em: 19 set. 2026.</w:t>
      </w:r>
    </w:p>
    <w:p w14:paraId="3D3343F5" w14:textId="77777777" w:rsidR="008622B8" w:rsidRPr="00922072" w:rsidRDefault="4B694E47" w:rsidP="003E294A">
      <w:pPr>
        <w:spacing w:after="200"/>
        <w:rPr>
          <w:lang w:val="en-US"/>
        </w:rPr>
      </w:pPr>
      <w:r w:rsidRPr="00922072">
        <w:rPr>
          <w:sz w:val="22"/>
          <w:szCs w:val="22"/>
          <w:lang w:val="en-US"/>
        </w:rPr>
        <w:t xml:space="preserve">SEABOLD, Skipper; PERKTOLD, Josef. </w:t>
      </w:r>
      <w:proofErr w:type="spellStart"/>
      <w:r w:rsidRPr="00922072">
        <w:rPr>
          <w:sz w:val="22"/>
          <w:szCs w:val="22"/>
          <w:lang w:val="en-US"/>
        </w:rPr>
        <w:t>Statsmodels</w:t>
      </w:r>
      <w:proofErr w:type="spellEnd"/>
      <w:r w:rsidRPr="00922072">
        <w:rPr>
          <w:sz w:val="22"/>
          <w:szCs w:val="22"/>
          <w:lang w:val="en-US"/>
        </w:rPr>
        <w:t>: econometric and statistical modeling with Python. In: PROCEEDINGS OF THE 9TH PYTHON IN SCIENCE CONFERENCE (SCIPY 2010), 9., 2010, Austin. Anais [...]. Austin: SciPy, 2010. p. 92-96.</w:t>
      </w:r>
    </w:p>
    <w:p w14:paraId="241D4556" w14:textId="77777777" w:rsidR="008622B8" w:rsidRPr="00922072" w:rsidRDefault="4B694E47" w:rsidP="003E294A">
      <w:pPr>
        <w:spacing w:after="200"/>
        <w:rPr>
          <w:lang w:val="en-US"/>
        </w:rPr>
      </w:pPr>
      <w:r w:rsidRPr="00922072">
        <w:rPr>
          <w:sz w:val="22"/>
          <w:szCs w:val="22"/>
          <w:lang w:val="en-US"/>
        </w:rPr>
        <w:t xml:space="preserve">STATSMODELS DEVELOPERS. </w:t>
      </w:r>
      <w:proofErr w:type="spellStart"/>
      <w:r w:rsidRPr="00922072">
        <w:rPr>
          <w:sz w:val="22"/>
          <w:szCs w:val="22"/>
          <w:lang w:val="en-US"/>
        </w:rPr>
        <w:t>statsmodels</w:t>
      </w:r>
      <w:proofErr w:type="spellEnd"/>
      <w:r w:rsidRPr="00922072">
        <w:rPr>
          <w:sz w:val="22"/>
          <w:szCs w:val="22"/>
          <w:lang w:val="en-US"/>
        </w:rPr>
        <w:t xml:space="preserve"> documentation. [</w:t>
      </w:r>
      <w:proofErr w:type="spellStart"/>
      <w:r w:rsidRPr="00922072">
        <w:rPr>
          <w:sz w:val="22"/>
          <w:szCs w:val="22"/>
          <w:lang w:val="en-US"/>
        </w:rPr>
        <w:t>S.l.</w:t>
      </w:r>
      <w:proofErr w:type="spellEnd"/>
      <w:r w:rsidRPr="00922072">
        <w:rPr>
          <w:sz w:val="22"/>
          <w:szCs w:val="22"/>
          <w:lang w:val="en-US"/>
        </w:rPr>
        <w:t xml:space="preserve">]: </w:t>
      </w:r>
      <w:proofErr w:type="spellStart"/>
      <w:r w:rsidRPr="00922072">
        <w:rPr>
          <w:sz w:val="22"/>
          <w:szCs w:val="22"/>
          <w:lang w:val="en-US"/>
        </w:rPr>
        <w:t>statsmodels</w:t>
      </w:r>
      <w:proofErr w:type="spellEnd"/>
      <w:r w:rsidRPr="00922072">
        <w:rPr>
          <w:sz w:val="22"/>
          <w:szCs w:val="22"/>
          <w:lang w:val="en-US"/>
        </w:rPr>
        <w:t xml:space="preserve">, 2026. </w:t>
      </w:r>
      <w:proofErr w:type="spellStart"/>
      <w:r w:rsidRPr="00922072">
        <w:rPr>
          <w:sz w:val="22"/>
          <w:szCs w:val="22"/>
          <w:lang w:val="en-US"/>
        </w:rPr>
        <w:t>Disponível</w:t>
      </w:r>
      <w:proofErr w:type="spellEnd"/>
      <w:r w:rsidRPr="00922072">
        <w:rPr>
          <w:sz w:val="22"/>
          <w:szCs w:val="22"/>
          <w:lang w:val="en-US"/>
        </w:rPr>
        <w:t xml:space="preserve"> </w:t>
      </w:r>
      <w:proofErr w:type="spellStart"/>
      <w:r w:rsidRPr="00922072">
        <w:rPr>
          <w:sz w:val="22"/>
          <w:szCs w:val="22"/>
          <w:lang w:val="en-US"/>
        </w:rPr>
        <w:t>em</w:t>
      </w:r>
      <w:proofErr w:type="spellEnd"/>
      <w:r w:rsidRPr="00922072">
        <w:rPr>
          <w:sz w:val="22"/>
          <w:szCs w:val="22"/>
          <w:lang w:val="en-US"/>
        </w:rPr>
        <w:t xml:space="preserve">: https://www.statsmodels.org/. </w:t>
      </w:r>
      <w:proofErr w:type="spellStart"/>
      <w:r w:rsidRPr="00922072">
        <w:rPr>
          <w:sz w:val="22"/>
          <w:szCs w:val="22"/>
          <w:lang w:val="en-US"/>
        </w:rPr>
        <w:t>Acesso</w:t>
      </w:r>
      <w:proofErr w:type="spellEnd"/>
      <w:r w:rsidRPr="00922072">
        <w:rPr>
          <w:sz w:val="22"/>
          <w:szCs w:val="22"/>
          <w:lang w:val="en-US"/>
        </w:rPr>
        <w:t xml:space="preserve"> </w:t>
      </w:r>
      <w:proofErr w:type="spellStart"/>
      <w:r w:rsidRPr="00922072">
        <w:rPr>
          <w:sz w:val="22"/>
          <w:szCs w:val="22"/>
          <w:lang w:val="en-US"/>
        </w:rPr>
        <w:t>em</w:t>
      </w:r>
      <w:proofErr w:type="spellEnd"/>
      <w:r w:rsidRPr="00922072">
        <w:rPr>
          <w:sz w:val="22"/>
          <w:szCs w:val="22"/>
          <w:lang w:val="en-US"/>
        </w:rPr>
        <w:t>: 19 set. 2026.</w:t>
      </w:r>
    </w:p>
    <w:p w14:paraId="168689D4" w14:textId="77777777" w:rsidR="008622B8" w:rsidRPr="00922072" w:rsidRDefault="002743ED" w:rsidP="003E294A">
      <w:pPr>
        <w:spacing w:after="200"/>
        <w:rPr>
          <w:lang w:val="en-US"/>
        </w:rPr>
      </w:pPr>
      <w:r w:rsidRPr="00922072">
        <w:rPr>
          <w:sz w:val="22"/>
          <w:szCs w:val="22"/>
          <w:lang w:val="en-US"/>
        </w:rPr>
        <w:t>TAYLOR, James W. Short-term electricity demand forecasting using double seasonal exponential smoothing. Journal of the Operational Research Society, v. 54, n. 8, p. 799-805, 2003.</w:t>
      </w:r>
    </w:p>
    <w:p w14:paraId="77467F13" w14:textId="77777777" w:rsidR="008622B8" w:rsidRPr="00D12A75" w:rsidRDefault="4B694E47" w:rsidP="003E294A">
      <w:pPr>
        <w:spacing w:after="200"/>
      </w:pPr>
      <w:r w:rsidRPr="00922072">
        <w:rPr>
          <w:sz w:val="22"/>
          <w:szCs w:val="22"/>
          <w:lang w:val="en-US"/>
        </w:rPr>
        <w:t xml:space="preserve">THE </w:t>
      </w:r>
      <w:proofErr w:type="gramStart"/>
      <w:r w:rsidRPr="00922072">
        <w:rPr>
          <w:sz w:val="22"/>
          <w:szCs w:val="22"/>
          <w:lang w:val="en-US"/>
        </w:rPr>
        <w:t>PANDAS</w:t>
      </w:r>
      <w:proofErr w:type="gramEnd"/>
      <w:r w:rsidRPr="00922072">
        <w:rPr>
          <w:sz w:val="22"/>
          <w:szCs w:val="22"/>
          <w:lang w:val="en-US"/>
        </w:rPr>
        <w:t xml:space="preserve"> DEVELOPMENT TEAM. </w:t>
      </w:r>
      <w:proofErr w:type="gramStart"/>
      <w:r w:rsidRPr="00922072">
        <w:rPr>
          <w:sz w:val="22"/>
          <w:szCs w:val="22"/>
          <w:lang w:val="en-US"/>
        </w:rPr>
        <w:t>pandas</w:t>
      </w:r>
      <w:proofErr w:type="gramEnd"/>
      <w:r w:rsidRPr="00922072">
        <w:rPr>
          <w:sz w:val="22"/>
          <w:szCs w:val="22"/>
          <w:lang w:val="en-US"/>
        </w:rPr>
        <w:t xml:space="preserve"> documentation. </w:t>
      </w:r>
      <w:r w:rsidRPr="00D12A75">
        <w:rPr>
          <w:sz w:val="22"/>
          <w:szCs w:val="22"/>
          <w:lang w:val="en-US"/>
        </w:rPr>
        <w:t>[</w:t>
      </w:r>
      <w:proofErr w:type="spellStart"/>
      <w:r w:rsidRPr="00D12A75">
        <w:rPr>
          <w:sz w:val="22"/>
          <w:szCs w:val="22"/>
          <w:lang w:val="en-US"/>
        </w:rPr>
        <w:t>S.l.</w:t>
      </w:r>
      <w:proofErr w:type="spellEnd"/>
      <w:r w:rsidRPr="00D12A75">
        <w:rPr>
          <w:sz w:val="22"/>
          <w:szCs w:val="22"/>
          <w:lang w:val="en-US"/>
        </w:rPr>
        <w:t xml:space="preserve">]: pandas, 2026. </w:t>
      </w:r>
      <w:r w:rsidRPr="007C0211">
        <w:rPr>
          <w:sz w:val="22"/>
          <w:szCs w:val="22"/>
        </w:rPr>
        <w:t xml:space="preserve">Disponível em: https://pandas.pydata.org/docs/. </w:t>
      </w:r>
      <w:r w:rsidRPr="00D12A75">
        <w:rPr>
          <w:sz w:val="22"/>
          <w:szCs w:val="22"/>
        </w:rPr>
        <w:t>Acesso em: 19 set. 2026.</w:t>
      </w:r>
    </w:p>
    <w:p w14:paraId="513F6310" w14:textId="620034FD" w:rsidR="008622B8" w:rsidRPr="007C0211" w:rsidRDefault="002743ED" w:rsidP="003E294A">
      <w:pPr>
        <w:spacing w:after="200"/>
      </w:pPr>
      <w:r w:rsidRPr="00922072">
        <w:rPr>
          <w:sz w:val="22"/>
          <w:szCs w:val="22"/>
          <w:lang w:val="en-US"/>
        </w:rPr>
        <w:t xml:space="preserve">VIRTANEN, Pauli; GOMMERS, Ralf; OLIPHANT, Travis E. et al. SciPy 1.0: fundamental algorithms for scientific computing in Python. </w:t>
      </w:r>
      <w:proofErr w:type="spellStart"/>
      <w:r w:rsidRPr="007C0211">
        <w:rPr>
          <w:sz w:val="22"/>
          <w:szCs w:val="22"/>
        </w:rPr>
        <w:t>Nature</w:t>
      </w:r>
      <w:proofErr w:type="spellEnd"/>
      <w:r w:rsidRPr="007C0211">
        <w:rPr>
          <w:sz w:val="22"/>
          <w:szCs w:val="22"/>
        </w:rPr>
        <w:t xml:space="preserve"> </w:t>
      </w:r>
      <w:proofErr w:type="spellStart"/>
      <w:r w:rsidRPr="007C0211">
        <w:rPr>
          <w:sz w:val="22"/>
          <w:szCs w:val="22"/>
        </w:rPr>
        <w:t>Methods</w:t>
      </w:r>
      <w:proofErr w:type="spellEnd"/>
      <w:r w:rsidRPr="007C0211">
        <w:rPr>
          <w:sz w:val="22"/>
          <w:szCs w:val="22"/>
        </w:rPr>
        <w:t>, v. 17, n. 3, p. 261-272, 2020.</w:t>
      </w:r>
    </w:p>
    <w:p w14:paraId="60061E4C" w14:textId="77777777" w:rsidR="008622B8" w:rsidRPr="007C0211" w:rsidRDefault="002743ED">
      <w:r w:rsidRPr="007C0211">
        <w:br w:type="page"/>
      </w:r>
    </w:p>
    <w:p w14:paraId="505E0167" w14:textId="77777777" w:rsidR="008622B8" w:rsidRPr="007C0211" w:rsidRDefault="4B694E47">
      <w:pPr>
        <w:pStyle w:val="heading10"/>
      </w:pPr>
      <w:r w:rsidRPr="007C0211">
        <w:rPr>
          <w:caps/>
        </w:rPr>
        <w:lastRenderedPageBreak/>
        <w:t>Anexo — Declaração de Autoria e Uso de Ferramentas Digitais e de Inteligência Artificial</w:t>
      </w:r>
    </w:p>
    <w:p w14:paraId="368C14A3" w14:textId="0F72CA7C" w:rsidR="008622B8" w:rsidRPr="007C0211" w:rsidRDefault="4B694E47" w:rsidP="00630812">
      <w:pPr>
        <w:jc w:val="both"/>
      </w:pPr>
      <w:r w:rsidRPr="007C0211">
        <w:rPr>
          <w:b/>
          <w:bCs/>
        </w:rPr>
        <w:t xml:space="preserve">Título do trabalho: </w:t>
      </w:r>
      <w:r w:rsidRPr="007C0211">
        <w:t xml:space="preserve">Comparação entre os modelos SARIMA, ETS e </w:t>
      </w:r>
      <w:r w:rsidR="00170632">
        <w:t>DHR</w:t>
      </w:r>
      <w:r w:rsidRPr="007C0211">
        <w:t xml:space="preserve"> na previsão da carga diária de energia elétrica do subsistema Sudeste/Centro-Oeste</w:t>
      </w:r>
    </w:p>
    <w:p w14:paraId="7616E8E1" w14:textId="77777777" w:rsidR="00630812" w:rsidRDefault="00630812" w:rsidP="00630812">
      <w:pPr>
        <w:jc w:val="both"/>
        <w:rPr>
          <w:b/>
          <w:bCs/>
        </w:rPr>
      </w:pPr>
    </w:p>
    <w:p w14:paraId="55FCE22F" w14:textId="1099C493" w:rsidR="008622B8" w:rsidRPr="007C0211" w:rsidRDefault="002743ED" w:rsidP="00630812">
      <w:pPr>
        <w:jc w:val="both"/>
      </w:pPr>
      <w:r w:rsidRPr="007C0211">
        <w:rPr>
          <w:b/>
          <w:bCs/>
        </w:rPr>
        <w:t xml:space="preserve">Autores: </w:t>
      </w:r>
      <w:r w:rsidRPr="007C0211">
        <w:t>Marcos Aurélio da Silva Oliveira</w:t>
      </w:r>
      <w:r w:rsidR="00170632">
        <w:t>, ...</w:t>
      </w:r>
    </w:p>
    <w:p w14:paraId="354E4CE4" w14:textId="77777777" w:rsidR="00170632" w:rsidRDefault="00170632" w:rsidP="00630812">
      <w:pPr>
        <w:ind w:firstLine="709"/>
        <w:jc w:val="both"/>
      </w:pPr>
      <w:r>
        <w:t>Nós</w:t>
      </w:r>
      <w:r w:rsidR="4B694E47" w:rsidRPr="007C0211">
        <w:t>, autor</w:t>
      </w:r>
      <w:r>
        <w:t>es</w:t>
      </w:r>
      <w:r w:rsidR="4B694E47" w:rsidRPr="007C0211">
        <w:t xml:space="preserve"> do Trabalho de Conclusão de Curso identificado acima, declar</w:t>
      </w:r>
      <w:r>
        <w:t>amos</w:t>
      </w:r>
      <w:r w:rsidR="4B694E47" w:rsidRPr="007C0211">
        <w:t>, para os devidos fins, que</w:t>
      </w:r>
      <w:r>
        <w:t>:</w:t>
      </w:r>
    </w:p>
    <w:p w14:paraId="50A82637" w14:textId="655D1760" w:rsidR="00170632" w:rsidRDefault="00170632" w:rsidP="00630812">
      <w:pPr>
        <w:ind w:firstLine="709"/>
        <w:jc w:val="both"/>
      </w:pPr>
      <w:r>
        <w:t xml:space="preserve">1. O trabalho apresentado é de nossa autoria e foi elaborado em conformidade com as normas acadêmicas, científicas e éticas vigentes. </w:t>
      </w:r>
    </w:p>
    <w:p w14:paraId="690DD006" w14:textId="2EE280A3" w:rsidR="00170632" w:rsidRDefault="00170632" w:rsidP="00630812">
      <w:pPr>
        <w:ind w:firstLine="709"/>
        <w:jc w:val="both"/>
      </w:pPr>
      <w:r>
        <w:t xml:space="preserve">2. Todas as ideias, informações, dados, imagens e produções de terceiros utilizadas estão devidamente citadas e referenciadas. </w:t>
      </w:r>
    </w:p>
    <w:p w14:paraId="59D1CC05" w14:textId="635EFC04" w:rsidR="00170632" w:rsidRDefault="00170632" w:rsidP="00630812">
      <w:pPr>
        <w:ind w:firstLine="709"/>
        <w:jc w:val="both"/>
      </w:pPr>
      <w:r>
        <w:t xml:space="preserve">3. O trabalho não contém plágio, autoplágio, falsificação, manipulação ou invenção de dados, informações, referências, procedimentos ou resultados. </w:t>
      </w:r>
    </w:p>
    <w:p w14:paraId="1207B55C" w14:textId="7BF0DC81" w:rsidR="00170632" w:rsidRDefault="00170632" w:rsidP="00630812">
      <w:pPr>
        <w:ind w:firstLine="709"/>
        <w:jc w:val="both"/>
      </w:pPr>
      <w:r>
        <w:t xml:space="preserve">4. Não houve submissão de conteúdo elaborado total ou substancialmente por terceiros sem a devida identificação e responsabilidade autoral. </w:t>
      </w:r>
    </w:p>
    <w:p w14:paraId="6B8E825F" w14:textId="157B54F9" w:rsidR="00170632" w:rsidRDefault="00170632" w:rsidP="00630812">
      <w:pPr>
        <w:ind w:firstLine="709"/>
        <w:jc w:val="both"/>
      </w:pPr>
      <w:r>
        <w:t xml:space="preserve">5. As ferramentas digitais e de Inteligência Artificial eventualmente utilizadas tiveram caráter auxiliar e não substituíram a participação intelectual, a análise crítica, a tomada de decisões e a responsabilidade acadêmica dos autores. </w:t>
      </w:r>
    </w:p>
    <w:p w14:paraId="23ED5229" w14:textId="654855D8" w:rsidR="00170632" w:rsidRDefault="00170632" w:rsidP="00630812">
      <w:pPr>
        <w:ind w:firstLine="709"/>
        <w:jc w:val="both"/>
      </w:pPr>
      <w:r>
        <w:t xml:space="preserve">6. Todo conteúdo produzido ou revisado com apoio de Inteligência Artificial foi analisado criticamente, conferido e, quando necessário, corrigido pelos autores. </w:t>
      </w:r>
    </w:p>
    <w:p w14:paraId="58CB66B0" w14:textId="01BE1D24" w:rsidR="00170632" w:rsidRDefault="00170632" w:rsidP="00630812">
      <w:pPr>
        <w:ind w:firstLine="709"/>
        <w:jc w:val="both"/>
      </w:pPr>
      <w:r>
        <w:t xml:space="preserve">7. A veracidade das informações, a existência e a correta identificação das fontes e referências, a consistência dos dados e a adequação das análises foram verificadas pelos autores. </w:t>
      </w:r>
    </w:p>
    <w:p w14:paraId="234FF1B3" w14:textId="6917A7B4" w:rsidR="00170632" w:rsidRDefault="00170632" w:rsidP="00630812">
      <w:pPr>
        <w:ind w:firstLine="709"/>
        <w:jc w:val="both"/>
      </w:pPr>
      <w:r>
        <w:t xml:space="preserve">8. O estudo foi desenvolvido exclusivamente por meio de delineamento admitido no item 2.1 e fonte de dados ou procedimento admitido no item 2.2. do Manual de TCC - Bacharelado em Estatística. </w:t>
      </w:r>
    </w:p>
    <w:p w14:paraId="1800B02A" w14:textId="1C844755" w:rsidR="00170632" w:rsidRDefault="00170632" w:rsidP="00630812">
      <w:pPr>
        <w:ind w:firstLine="709"/>
        <w:jc w:val="both"/>
      </w:pPr>
      <w:r>
        <w:t xml:space="preserve">9. Não houve coleta direta com participantes, acesso a dados pessoais ou restritos nem realização de procedimento sujeito à aprovação ética, regulatória ou institucional prévia. </w:t>
      </w:r>
    </w:p>
    <w:p w14:paraId="77637B81" w14:textId="01124F9C" w:rsidR="00170632" w:rsidRDefault="00170632" w:rsidP="00630812">
      <w:pPr>
        <w:ind w:firstLine="709"/>
        <w:jc w:val="both"/>
      </w:pPr>
      <w:r>
        <w:t xml:space="preserve">10. Os dados utilizados se enquadram em uma das categorias admitidas no item 2.2, tiveram sua origem e suas condições de utilização corretamente identificadas e não permitem a identificação direta ou indireta de pessoas. </w:t>
      </w:r>
    </w:p>
    <w:p w14:paraId="363FD2F5" w14:textId="0A7AED18" w:rsidR="00170632" w:rsidRDefault="00170632" w:rsidP="00630812">
      <w:pPr>
        <w:ind w:firstLine="709"/>
        <w:jc w:val="both"/>
      </w:pPr>
      <w:r>
        <w:t xml:space="preserve">11. Os dados simulados ou sintéticos, quando utilizados, foram expressamente identificados como tais e não foram apresentados como dados reais. </w:t>
      </w:r>
    </w:p>
    <w:p w14:paraId="3BDF8034" w14:textId="7F6DAD67" w:rsidR="00170632" w:rsidRDefault="00170632" w:rsidP="00630812">
      <w:pPr>
        <w:ind w:firstLine="709"/>
        <w:jc w:val="both"/>
      </w:pPr>
      <w:r>
        <w:t xml:space="preserve">12. A origem dos dados, os procedimentos de seleção, preparação, transformação e análise e os recursos computacionais utilizados foram corretamente informados. </w:t>
      </w:r>
    </w:p>
    <w:p w14:paraId="42CC7F94" w14:textId="76143A5D" w:rsidR="00170632" w:rsidRDefault="00170632" w:rsidP="00630812">
      <w:pPr>
        <w:ind w:firstLine="709"/>
        <w:jc w:val="both"/>
      </w:pPr>
      <w:r>
        <w:t xml:space="preserve">13. Os dados, códigos, cálculos, tabelas, gráficos e resultados apresentados correspondem aos procedimentos efetivamente realizados e não foram fabricados ou alterados de forma a produzir conclusão enganosa. </w:t>
      </w:r>
    </w:p>
    <w:p w14:paraId="47646345" w14:textId="1BF87CC4" w:rsidR="00170632" w:rsidRDefault="00170632" w:rsidP="00630812">
      <w:pPr>
        <w:ind w:firstLine="709"/>
        <w:jc w:val="both"/>
      </w:pPr>
      <w:r>
        <w:lastRenderedPageBreak/>
        <w:t xml:space="preserve">14. Quando ferramentas de Inteligência Artificial foram utilizadas na programação ou análise de dados, os códigos, cálculos e resultados foram executados, revisados e validados pelos autores. </w:t>
      </w:r>
    </w:p>
    <w:p w14:paraId="69829986" w14:textId="5BC46D2A" w:rsidR="00170632" w:rsidRDefault="00170632" w:rsidP="00630812">
      <w:pPr>
        <w:ind w:firstLine="709"/>
        <w:jc w:val="both"/>
      </w:pPr>
      <w:r>
        <w:t xml:space="preserve">15. Estamos cientes de que o uso de ferramentas de Inteligência Artificial não afasta a responsabilidade integral dos autores pelo conteúdo submetido. </w:t>
      </w:r>
    </w:p>
    <w:p w14:paraId="550A5348" w14:textId="64ACEA5F" w:rsidR="008622B8" w:rsidRPr="007C0211" w:rsidRDefault="00170632" w:rsidP="00630812">
      <w:pPr>
        <w:ind w:firstLine="709"/>
        <w:jc w:val="both"/>
      </w:pPr>
      <w:r>
        <w:t xml:space="preserve">16. Estamos cientes de que violações da integridade acadêmica poderão resultar nas consequências previstas nesta Normativa e nas normas institucionais. </w:t>
      </w:r>
      <w:r w:rsidR="4B694E47" w:rsidRPr="007C0211">
        <w:t xml:space="preserve"> </w:t>
      </w:r>
    </w:p>
    <w:p w14:paraId="2510216F" w14:textId="77777777" w:rsidR="00630812" w:rsidRDefault="00630812" w:rsidP="00630812">
      <w:pPr>
        <w:jc w:val="both"/>
        <w:rPr>
          <w:b/>
          <w:bCs/>
        </w:rPr>
      </w:pPr>
    </w:p>
    <w:p w14:paraId="6DC94B32" w14:textId="67F109C1" w:rsidR="008622B8" w:rsidRPr="007C0211" w:rsidRDefault="4B694E47" w:rsidP="00630812">
      <w:pPr>
        <w:jc w:val="both"/>
      </w:pPr>
      <w:r w:rsidRPr="007C0211">
        <w:rPr>
          <w:b/>
          <w:bCs/>
        </w:rPr>
        <w:t>Registro do uso de ferramentas digitais e de Inteligência Artificial</w:t>
      </w:r>
    </w:p>
    <w:p w14:paraId="78FAFDB4" w14:textId="77777777" w:rsidR="008622B8" w:rsidRPr="007C0211" w:rsidRDefault="4B694E47" w:rsidP="00630812">
      <w:pPr>
        <w:jc w:val="both"/>
      </w:pPr>
      <w:r w:rsidRPr="007C0211">
        <w:t>☐ Não foram utilizadas ferramentas de Inteligência Artificial na elaboração deste trabalho.</w:t>
      </w:r>
    </w:p>
    <w:p w14:paraId="2EDD5005" w14:textId="77777777" w:rsidR="008622B8" w:rsidRPr="007C0211" w:rsidRDefault="4B694E47" w:rsidP="00630812">
      <w:pPr>
        <w:jc w:val="both"/>
      </w:pPr>
      <w:r w:rsidRPr="007C0211">
        <w:t>☒ Foram utilizadas ferramentas de Inteligência Artificial como apoio à elaboração deste trabalho, conforme as informações a seguir.</w:t>
      </w:r>
    </w:p>
    <w:p w14:paraId="0341BDC5" w14:textId="77777777" w:rsidR="00630812" w:rsidRDefault="00630812" w:rsidP="00630812">
      <w:pPr>
        <w:jc w:val="both"/>
        <w:rPr>
          <w:b/>
          <w:bCs/>
        </w:rPr>
      </w:pPr>
    </w:p>
    <w:p w14:paraId="5269AB6D" w14:textId="05009ADD" w:rsidR="008622B8" w:rsidRPr="007C0211" w:rsidRDefault="4B694E47" w:rsidP="00630812">
      <w:pPr>
        <w:jc w:val="both"/>
      </w:pPr>
      <w:r w:rsidRPr="007C0211">
        <w:rPr>
          <w:b/>
          <w:bCs/>
        </w:rPr>
        <w:t xml:space="preserve">Ferramenta utilizada: </w:t>
      </w:r>
      <w:r w:rsidR="00170632">
        <w:t>Chat GPT.</w:t>
      </w:r>
    </w:p>
    <w:p w14:paraId="597A20BA" w14:textId="77777777" w:rsidR="00630812" w:rsidRDefault="00630812" w:rsidP="00630812">
      <w:pPr>
        <w:jc w:val="both"/>
        <w:rPr>
          <w:b/>
          <w:bCs/>
        </w:rPr>
      </w:pPr>
    </w:p>
    <w:p w14:paraId="34DCB5FB" w14:textId="0C19EBDC" w:rsidR="008622B8" w:rsidRPr="007C0211" w:rsidRDefault="4B694E47" w:rsidP="00630812">
      <w:pPr>
        <w:jc w:val="both"/>
      </w:pPr>
      <w:r w:rsidRPr="007C0211">
        <w:rPr>
          <w:b/>
          <w:bCs/>
        </w:rPr>
        <w:t xml:space="preserve">Finalidade de uso: </w:t>
      </w:r>
      <w:r w:rsidRPr="007C0211">
        <w:t xml:space="preserve">revisão ortográfica e gramatical; aprimoramento da clareza e da redação; apoio </w:t>
      </w:r>
      <w:r w:rsidR="00170632">
        <w:t>à formatação ABNT, para o formato de</w:t>
      </w:r>
      <w:r w:rsidRPr="007C0211">
        <w:t xml:space="preserve"> artigo científico.</w:t>
      </w:r>
    </w:p>
    <w:p w14:paraId="51D764A9" w14:textId="77777777" w:rsidR="00630812" w:rsidRDefault="00630812" w:rsidP="00630812">
      <w:pPr>
        <w:jc w:val="both"/>
        <w:rPr>
          <w:b/>
          <w:bCs/>
        </w:rPr>
      </w:pPr>
    </w:p>
    <w:p w14:paraId="45B3071C" w14:textId="3D466D2E" w:rsidR="008622B8" w:rsidRPr="007C0211" w:rsidRDefault="4B694E47" w:rsidP="00630812">
      <w:pPr>
        <w:jc w:val="both"/>
      </w:pPr>
      <w:r w:rsidRPr="00170632">
        <w:rPr>
          <w:b/>
          <w:bCs/>
        </w:rPr>
        <w:t>Descrição resumida de como a ferramenta foi</w:t>
      </w:r>
      <w:r w:rsidR="00170632">
        <w:rPr>
          <w:b/>
          <w:bCs/>
        </w:rPr>
        <w:t xml:space="preserve"> </w:t>
      </w:r>
      <w:r w:rsidRPr="00170632">
        <w:rPr>
          <w:b/>
          <w:bCs/>
        </w:rPr>
        <w:t>utilizada:</w:t>
      </w:r>
      <w:r w:rsidRPr="007C0211">
        <w:t xml:space="preserve"> a ferramenta de Inteligência Artificial foi empregada para </w:t>
      </w:r>
      <w:r w:rsidR="00170632">
        <w:t>revisar e format</w:t>
      </w:r>
      <w:r w:rsidRPr="007C0211">
        <w:t>ar o texto do artigo científico a partir de documentos fornecidos previamente pelo</w:t>
      </w:r>
      <w:r w:rsidR="00170632">
        <w:t>s</w:t>
      </w:r>
      <w:r w:rsidRPr="007C0211">
        <w:t xml:space="preserve"> autor</w:t>
      </w:r>
      <w:r w:rsidR="00170632">
        <w:t>es</w:t>
      </w:r>
      <w:r w:rsidRPr="007C0211">
        <w:t>.</w:t>
      </w:r>
    </w:p>
    <w:p w14:paraId="08E0C673" w14:textId="77777777" w:rsidR="00630812" w:rsidRDefault="00630812" w:rsidP="00630812">
      <w:pPr>
        <w:jc w:val="both"/>
        <w:rPr>
          <w:b/>
          <w:bCs/>
        </w:rPr>
      </w:pPr>
    </w:p>
    <w:p w14:paraId="201B7D13" w14:textId="4F3D9743" w:rsidR="008622B8" w:rsidRPr="007C0211" w:rsidRDefault="002743ED" w:rsidP="00630812">
      <w:pPr>
        <w:jc w:val="both"/>
      </w:pPr>
      <w:r w:rsidRPr="007C0211">
        <w:rPr>
          <w:b/>
          <w:bCs/>
        </w:rPr>
        <w:t xml:space="preserve">Local e data: </w:t>
      </w:r>
      <w:r w:rsidRPr="007C0211">
        <w:t xml:space="preserve">Brasília, DF, ______ de __________________ </w:t>
      </w:r>
      <w:proofErr w:type="spellStart"/>
      <w:r w:rsidRPr="007C0211">
        <w:t>de</w:t>
      </w:r>
      <w:proofErr w:type="spellEnd"/>
      <w:r w:rsidRPr="007C0211">
        <w:t xml:space="preserve"> 2026.</w:t>
      </w:r>
    </w:p>
    <w:p w14:paraId="0D6FBD64" w14:textId="77777777" w:rsidR="00630812" w:rsidRDefault="00630812" w:rsidP="00630812">
      <w:pPr>
        <w:jc w:val="both"/>
        <w:rPr>
          <w:b/>
          <w:bCs/>
        </w:rPr>
      </w:pPr>
    </w:p>
    <w:p w14:paraId="1E0F5E65" w14:textId="3229ECD7" w:rsidR="008622B8" w:rsidRDefault="002743ED" w:rsidP="00630812">
      <w:pPr>
        <w:jc w:val="both"/>
      </w:pPr>
      <w:r w:rsidRPr="007C0211">
        <w:rPr>
          <w:b/>
          <w:bCs/>
        </w:rPr>
        <w:t xml:space="preserve">Nome: </w:t>
      </w:r>
      <w:r w:rsidRPr="007C0211">
        <w:t xml:space="preserve">Marcos Aurélio da Silva Oliveira        </w:t>
      </w:r>
      <w:r w:rsidRPr="007C0211">
        <w:rPr>
          <w:b/>
          <w:bCs/>
        </w:rPr>
        <w:t xml:space="preserve">Assinatura: </w:t>
      </w:r>
      <w:r w:rsidRPr="007C0211">
        <w:t>_________________________</w:t>
      </w:r>
    </w:p>
    <w:sectPr w:rsidR="008622B8">
      <w:headerReference w:type="default" r:id="rId16"/>
      <w:pgSz w:w="11906" w:h="16838"/>
      <w:pgMar w:top="1701" w:right="1417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8949C8" w14:textId="77777777" w:rsidR="001D3F5D" w:rsidRPr="007C0211" w:rsidRDefault="001D3F5D">
      <w:r w:rsidRPr="007C0211">
        <w:separator/>
      </w:r>
    </w:p>
  </w:endnote>
  <w:endnote w:type="continuationSeparator" w:id="0">
    <w:p w14:paraId="33421A93" w14:textId="77777777" w:rsidR="001D3F5D" w:rsidRPr="007C0211" w:rsidRDefault="001D3F5D">
      <w:r w:rsidRPr="007C021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BAF518" w14:textId="77777777" w:rsidR="001D3F5D" w:rsidRPr="007C0211" w:rsidRDefault="001D3F5D">
      <w:r w:rsidRPr="007C0211">
        <w:separator/>
      </w:r>
    </w:p>
  </w:footnote>
  <w:footnote w:type="continuationSeparator" w:id="0">
    <w:p w14:paraId="2BDC7562" w14:textId="77777777" w:rsidR="001D3F5D" w:rsidRPr="007C0211" w:rsidRDefault="001D3F5D">
      <w:r w:rsidRPr="007C0211">
        <w:continuationSeparator/>
      </w:r>
    </w:p>
  </w:footnote>
  <w:footnote w:id="1">
    <w:p w14:paraId="225A6672" w14:textId="69A53C11" w:rsidR="007C0211" w:rsidRDefault="007C021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C0211">
        <w:rPr>
          <w:i/>
          <w:iCs/>
        </w:rPr>
        <w:t>Graduando em Bacharelado em Estatística —</w:t>
      </w:r>
      <w:r w:rsidR="00E12004">
        <w:rPr>
          <w:i/>
          <w:iCs/>
        </w:rPr>
        <w:t xml:space="preserve"> Universidade do Sul de Santa Catarina (Unisul)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388028102"/>
      <w:docPartObj>
        <w:docPartGallery w:val="Page Numbers (Top of Page)"/>
        <w:docPartUnique/>
      </w:docPartObj>
    </w:sdtPr>
    <w:sdtContent>
      <w:p w14:paraId="674ADBC5" w14:textId="1A3EC09F" w:rsidR="008D0161" w:rsidRDefault="008D0161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B2345A" w14:textId="6DC06F46" w:rsidR="00BF0722" w:rsidRDefault="008D0161" w:rsidP="000F08D7">
    <w:pPr>
      <w:jc w:val="center"/>
      <w:rPr>
        <w:b/>
        <w:bCs/>
        <w:sz w:val="20"/>
        <w:szCs w:val="20"/>
      </w:rPr>
    </w:pPr>
    <w:r>
      <w:rPr>
        <w:b/>
        <w:bCs/>
        <w:noProof/>
        <w:sz w:val="20"/>
        <w:szCs w:val="20"/>
      </w:rPr>
      <w:drawing>
        <wp:inline distT="0" distB="0" distL="0" distR="0" wp14:anchorId="0A79BAC2" wp14:editId="4CD0C508">
          <wp:extent cx="942975" cy="942975"/>
          <wp:effectExtent l="0" t="0" r="5080" b="0"/>
          <wp:docPr id="103578116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5781163" name="Imagem 10357811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2975" cy="942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5712D2" w14:textId="77777777" w:rsidR="008D0161" w:rsidRPr="008D0161" w:rsidRDefault="008D0161" w:rsidP="008D0161">
    <w:pPr>
      <w:jc w:val="center"/>
      <w:rPr>
        <w:b/>
        <w:bCs/>
        <w:sz w:val="20"/>
        <w:szCs w:val="20"/>
      </w:rPr>
    </w:pPr>
    <w:r w:rsidRPr="008D0161">
      <w:rPr>
        <w:b/>
        <w:bCs/>
        <w:sz w:val="20"/>
        <w:szCs w:val="20"/>
      </w:rPr>
      <w:t xml:space="preserve">INSTITUIÇÕES DE ENSINO SUPERIOR (IES) DO GRUPO </w:t>
    </w:r>
  </w:p>
  <w:p w14:paraId="2BCCBC06" w14:textId="6479DDA0" w:rsidR="008D0161" w:rsidRDefault="008D0161" w:rsidP="008D0161">
    <w:pPr>
      <w:jc w:val="center"/>
      <w:rPr>
        <w:b/>
        <w:bCs/>
        <w:sz w:val="20"/>
        <w:szCs w:val="20"/>
      </w:rPr>
    </w:pPr>
    <w:r w:rsidRPr="008D0161">
      <w:rPr>
        <w:b/>
        <w:bCs/>
        <w:sz w:val="20"/>
        <w:szCs w:val="20"/>
      </w:rPr>
      <w:t>ÂNIMA EDUCAÇÃO</w:t>
    </w:r>
  </w:p>
  <w:p w14:paraId="0E6CE6AA" w14:textId="77777777" w:rsidR="008D0161" w:rsidRPr="00BF0722" w:rsidRDefault="008D0161" w:rsidP="008D0161">
    <w:pPr>
      <w:jc w:val="center"/>
      <w:rPr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B5370F"/>
    <w:multiLevelType w:val="hybridMultilevel"/>
    <w:tmpl w:val="B38453C0"/>
    <w:lvl w:ilvl="0" w:tplc="3424C8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A214570"/>
    <w:multiLevelType w:val="hybridMultilevel"/>
    <w:tmpl w:val="3C1A37C6"/>
    <w:lvl w:ilvl="0" w:tplc="736446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5876F25"/>
    <w:multiLevelType w:val="hybridMultilevel"/>
    <w:tmpl w:val="0532A8CA"/>
    <w:lvl w:ilvl="0" w:tplc="8BC6AD1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7FC0DAE"/>
    <w:multiLevelType w:val="hybridMultilevel"/>
    <w:tmpl w:val="B5CCE3B4"/>
    <w:lvl w:ilvl="0" w:tplc="06728CBC">
      <w:start w:val="1"/>
      <w:numFmt w:val="bullet"/>
      <w:lvlText w:val="●"/>
      <w:lvlJc w:val="left"/>
      <w:pPr>
        <w:ind w:left="720" w:hanging="360"/>
      </w:pPr>
    </w:lvl>
    <w:lvl w:ilvl="1" w:tplc="95347EF0">
      <w:start w:val="1"/>
      <w:numFmt w:val="bullet"/>
      <w:lvlText w:val="○"/>
      <w:lvlJc w:val="left"/>
      <w:pPr>
        <w:ind w:left="1440" w:hanging="360"/>
      </w:pPr>
    </w:lvl>
    <w:lvl w:ilvl="2" w:tplc="4F90DCFA">
      <w:start w:val="1"/>
      <w:numFmt w:val="bullet"/>
      <w:lvlText w:val="■"/>
      <w:lvlJc w:val="left"/>
      <w:pPr>
        <w:ind w:left="2160" w:hanging="360"/>
      </w:pPr>
    </w:lvl>
    <w:lvl w:ilvl="3" w:tplc="1DD27A66">
      <w:start w:val="1"/>
      <w:numFmt w:val="bullet"/>
      <w:lvlText w:val="●"/>
      <w:lvlJc w:val="left"/>
      <w:pPr>
        <w:ind w:left="2880" w:hanging="360"/>
      </w:pPr>
    </w:lvl>
    <w:lvl w:ilvl="4" w:tplc="19FE772E">
      <w:start w:val="1"/>
      <w:numFmt w:val="bullet"/>
      <w:lvlText w:val="○"/>
      <w:lvlJc w:val="left"/>
      <w:pPr>
        <w:ind w:left="3600" w:hanging="360"/>
      </w:pPr>
    </w:lvl>
    <w:lvl w:ilvl="5" w:tplc="C1D2342A">
      <w:start w:val="1"/>
      <w:numFmt w:val="bullet"/>
      <w:lvlText w:val="■"/>
      <w:lvlJc w:val="left"/>
      <w:pPr>
        <w:ind w:left="4320" w:hanging="360"/>
      </w:pPr>
    </w:lvl>
    <w:lvl w:ilvl="6" w:tplc="B1BC14C8">
      <w:start w:val="1"/>
      <w:numFmt w:val="bullet"/>
      <w:lvlText w:val="●"/>
      <w:lvlJc w:val="left"/>
      <w:pPr>
        <w:ind w:left="5040" w:hanging="360"/>
      </w:pPr>
    </w:lvl>
    <w:lvl w:ilvl="7" w:tplc="8FAC4D44">
      <w:start w:val="1"/>
      <w:numFmt w:val="bullet"/>
      <w:lvlText w:val="●"/>
      <w:lvlJc w:val="left"/>
      <w:pPr>
        <w:ind w:left="5760" w:hanging="360"/>
      </w:pPr>
    </w:lvl>
    <w:lvl w:ilvl="8" w:tplc="972C05B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DF573EE"/>
    <w:multiLevelType w:val="hybridMultilevel"/>
    <w:tmpl w:val="54828800"/>
    <w:lvl w:ilvl="0" w:tplc="B0CABE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00494026">
    <w:abstractNumId w:val="3"/>
    <w:lvlOverride w:ilvl="0">
      <w:startOverride w:val="1"/>
    </w:lvlOverride>
  </w:num>
  <w:num w:numId="2" w16cid:durableId="214859582">
    <w:abstractNumId w:val="2"/>
  </w:num>
  <w:num w:numId="3" w16cid:durableId="1785728788">
    <w:abstractNumId w:val="0"/>
  </w:num>
  <w:num w:numId="4" w16cid:durableId="1212035867">
    <w:abstractNumId w:val="4"/>
  </w:num>
  <w:num w:numId="5" w16cid:durableId="28508621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694E47"/>
    <w:rsid w:val="00020AA0"/>
    <w:rsid w:val="000729C0"/>
    <w:rsid w:val="00083735"/>
    <w:rsid w:val="000D2203"/>
    <w:rsid w:val="000D60AC"/>
    <w:rsid w:val="000F08D7"/>
    <w:rsid w:val="00107EFA"/>
    <w:rsid w:val="0011234C"/>
    <w:rsid w:val="00140D36"/>
    <w:rsid w:val="00152427"/>
    <w:rsid w:val="00170632"/>
    <w:rsid w:val="0019098E"/>
    <w:rsid w:val="001937DF"/>
    <w:rsid w:val="001D3F5D"/>
    <w:rsid w:val="001F21EF"/>
    <w:rsid w:val="001F4FEA"/>
    <w:rsid w:val="002212EB"/>
    <w:rsid w:val="00267BA4"/>
    <w:rsid w:val="002743ED"/>
    <w:rsid w:val="002F4EE7"/>
    <w:rsid w:val="00326B88"/>
    <w:rsid w:val="003B2ACF"/>
    <w:rsid w:val="003D2729"/>
    <w:rsid w:val="003E294A"/>
    <w:rsid w:val="0040501A"/>
    <w:rsid w:val="00430197"/>
    <w:rsid w:val="00441415"/>
    <w:rsid w:val="0051675B"/>
    <w:rsid w:val="00523AE9"/>
    <w:rsid w:val="005643E0"/>
    <w:rsid w:val="005B2330"/>
    <w:rsid w:val="005D760A"/>
    <w:rsid w:val="005E4580"/>
    <w:rsid w:val="00630812"/>
    <w:rsid w:val="006976A9"/>
    <w:rsid w:val="00776AB4"/>
    <w:rsid w:val="007818FF"/>
    <w:rsid w:val="007865AE"/>
    <w:rsid w:val="00791EE4"/>
    <w:rsid w:val="007C01CD"/>
    <w:rsid w:val="007C0211"/>
    <w:rsid w:val="007D0C1E"/>
    <w:rsid w:val="007E1354"/>
    <w:rsid w:val="00816D6C"/>
    <w:rsid w:val="0082016C"/>
    <w:rsid w:val="00822849"/>
    <w:rsid w:val="008622B8"/>
    <w:rsid w:val="008751F5"/>
    <w:rsid w:val="008826D9"/>
    <w:rsid w:val="008D0161"/>
    <w:rsid w:val="00903A9F"/>
    <w:rsid w:val="00912C5F"/>
    <w:rsid w:val="00917D9D"/>
    <w:rsid w:val="00922072"/>
    <w:rsid w:val="0093474E"/>
    <w:rsid w:val="00946F1B"/>
    <w:rsid w:val="00952253"/>
    <w:rsid w:val="0097186D"/>
    <w:rsid w:val="0099153E"/>
    <w:rsid w:val="009A0BF6"/>
    <w:rsid w:val="009C0392"/>
    <w:rsid w:val="009C547F"/>
    <w:rsid w:val="009F7A68"/>
    <w:rsid w:val="00A25BFF"/>
    <w:rsid w:val="00A44867"/>
    <w:rsid w:val="00A604C8"/>
    <w:rsid w:val="00A7768F"/>
    <w:rsid w:val="00A83E97"/>
    <w:rsid w:val="00AC5BC5"/>
    <w:rsid w:val="00B16BD9"/>
    <w:rsid w:val="00B40692"/>
    <w:rsid w:val="00BA2AA9"/>
    <w:rsid w:val="00BB5CCC"/>
    <w:rsid w:val="00BF0722"/>
    <w:rsid w:val="00C957B4"/>
    <w:rsid w:val="00CD33A0"/>
    <w:rsid w:val="00D113B2"/>
    <w:rsid w:val="00D12A75"/>
    <w:rsid w:val="00D170D0"/>
    <w:rsid w:val="00D774ED"/>
    <w:rsid w:val="00D801EC"/>
    <w:rsid w:val="00DD48BA"/>
    <w:rsid w:val="00DE684F"/>
    <w:rsid w:val="00DF3202"/>
    <w:rsid w:val="00E12004"/>
    <w:rsid w:val="00E22698"/>
    <w:rsid w:val="00E27A44"/>
    <w:rsid w:val="00E30A56"/>
    <w:rsid w:val="00E3372E"/>
    <w:rsid w:val="00E55763"/>
    <w:rsid w:val="00F200A2"/>
    <w:rsid w:val="00F320C4"/>
    <w:rsid w:val="00F55FA4"/>
    <w:rsid w:val="00FB0D67"/>
    <w:rsid w:val="4B69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DBAD5E0"/>
  <w15:docId w15:val="{053D4FBA-A248-4D81-B657-FFE10AAF8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AA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60" w:after="200"/>
      <w:outlineLvl w:val="0"/>
    </w:pPr>
    <w:rPr>
      <w:b/>
      <w:bCs/>
      <w:sz w:val="26"/>
      <w:szCs w:val="26"/>
    </w:rPr>
  </w:style>
  <w:style w:type="paragraph" w:customStyle="1" w:styleId="heading20">
    <w:name w:val="heading 20"/>
    <w:qFormat/>
    <w:pPr>
      <w:spacing w:before="280" w:after="160"/>
      <w:outlineLvl w:val="1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F08D7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08D7"/>
  </w:style>
  <w:style w:type="paragraph" w:styleId="Footer">
    <w:name w:val="footer"/>
    <w:basedOn w:val="Normal"/>
    <w:link w:val="FooterChar"/>
    <w:uiPriority w:val="99"/>
    <w:unhideWhenUsed/>
    <w:rsid w:val="000F08D7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08D7"/>
  </w:style>
  <w:style w:type="character" w:styleId="UnresolvedMention">
    <w:name w:val="Unresolved Mention"/>
    <w:basedOn w:val="DefaultParagraphFont"/>
    <w:uiPriority w:val="99"/>
    <w:semiHidden/>
    <w:unhideWhenUsed/>
    <w:rsid w:val="00820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2E63F-D60F-4493-B551-751CC6181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28</Pages>
  <Words>7097</Words>
  <Characters>40458</Characters>
  <Application>Microsoft Office Word</Application>
  <DocSecurity>0</DocSecurity>
  <Lines>337</Lines>
  <Paragraphs>94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Aurélio da Silva Oliveira</dc:creator>
  <cp:lastModifiedBy>Vinicius Vasconcelos (MPG)</cp:lastModifiedBy>
  <cp:revision>88</cp:revision>
  <cp:lastPrinted>2026-09-25T15:09:00Z</cp:lastPrinted>
  <dcterms:created xsi:type="dcterms:W3CDTF">2026-09-19T14:47:00Z</dcterms:created>
  <dcterms:modified xsi:type="dcterms:W3CDTF">2026-10-08T23:49:00Z</dcterms:modified>
</cp:coreProperties>
</file>