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668E3"/>
          <w:sz w:val="20"/>
          <w:szCs w:val="20"/>
        </w:rPr>
        <w:t xml:space="preserve">NEXUS CONTENT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Post Único Editável — Estratégia e Implementação</w:t>
      </w:r>
    </w:p>
    <w:p>
      <w:pPr>
        <w:spacing w:after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17/08/2026 · substitui ESTRATEGIA-POST-UNICO-V2.md (14/07) · câmbio de referência R$ 5,20/USD · confidencial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1. Resumo executivo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mudou:</w:t>
      </w:r>
      <w:r>
        <w:rPr>
          <w:rFonts w:ascii="Calibri" w:cs="Calibri" w:eastAsia="Calibri" w:hAnsi="Calibri"/>
          <w:sz w:val="22"/>
          <w:szCs w:val="22"/>
        </w:rPr>
        <w:t xml:space="preserve"> a engenharia reversa no BestContent (17/08) confirmou a tese do produto e derrubou a premissa de custo do plano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Modelo:</w:t>
      </w:r>
      <w:r>
        <w:rPr>
          <w:rFonts w:ascii="Calibri" w:cs="Calibri" w:eastAsia="Calibri" w:hAnsi="Calibri"/>
          <w:sz w:val="22"/>
          <w:szCs w:val="22"/>
        </w:rPr>
        <w:t xml:space="preserve"> o concorrente gera posts únicos de alta qualidade com nano-banana, o mesmo modelo que já usamos na capa do carrossel. Não precisamos de gpt-image-2, nem do KYC da OpenAI, nem dos ~R$ 1,45/post do fluxo master.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gap deles:</w:t>
      </w:r>
      <w:r>
        <w:rPr>
          <w:rFonts w:ascii="Calibri" w:cs="Calibri" w:eastAsia="Calibri" w:hAnsi="Calibri"/>
          <w:sz w:val="22"/>
          <w:szCs w:val="22"/>
        </w:rPr>
        <w:t xml:space="preserve"> o post deles sai como imagem única (bitmap). Corrigir qualquer texto custa 6 créditos e regenera o slide do zero, com mudança de estilo. O fórum deles está cheio dessa reclamação.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já existe:</w:t>
      </w:r>
      <w:r>
        <w:rPr>
          <w:rFonts w:ascii="Calibri" w:cs="Calibri" w:eastAsia="Calibri" w:hAnsi="Calibri"/>
          <w:sz w:val="22"/>
          <w:szCs w:val="22"/>
        </w:rPr>
        <w:t xml:space="preserve"> o post único já NASCE editável no nosso código. A rota /api/post-unico/free-generate devolve um FreePostSpec (blocos posicionados em cqw, mesmo renderizador e mesmo editor do carrossel) e já debita apenas a imagem. O pipeline "gerar chapado e decompor", herdado do doc de 14/07, resolve um problema que já resolvemos — ele só existia porque a premissa era gpt-image-2.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</w:t>
      </w:r>
      <w:r>
        <w:rPr>
          <w:rFonts w:ascii="Calibri" w:cs="Calibri" w:eastAsia="Calibri" w:hAnsi="Calibri"/>
          <w:sz w:val="22"/>
          <w:szCs w:val="22"/>
        </w:rPr>
        <w:t xml:space="preserve"> terminar de ligar a rota nativa e cobrar com as MESMAS primitivas do carrossel: textOnly 4 + imageCover 25 = 29 tokens por post. Margem idêntica à da capa por construção, e editar é sempre gratuito e ilimitado.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Princípio de preço:</w:t>
      </w:r>
      <w:r>
        <w:rPr>
          <w:rFonts w:ascii="Calibri" w:cs="Calibri" w:eastAsia="Calibri" w:hAnsi="Calibri"/>
          <w:sz w:val="22"/>
          <w:szCs w:val="22"/>
        </w:rPr>
        <w:t xml:space="preserve"> nunca cobrar pela editabilidade. Cobra-se o pipeline de arte escolhido ANTES de gerar; o que sai é sempre editável de graça. Um botão "pague X para poder editar" destruiria exatamente o posicionamento que queremos vender contra eles.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Bandeira de marketing:</w:t>
      </w:r>
      <w:r>
        <w:rPr>
          <w:rFonts w:ascii="Calibri" w:cs="Calibri" w:eastAsia="Calibri" w:hAnsi="Calibri"/>
          <w:sz w:val="22"/>
          <w:szCs w:val="22"/>
        </w:rPr>
        <w:t xml:space="preserve"> "no Nexus você edita o texto de graça; no concorrente cada correção custa crédito e muda o design".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2. O que a engenharia reversa confirmou (17/08/2026)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Geramos um post real no painel deles (conta Freemium) e inspecionamos pipeline, editor, rede e DOM. Três evidências duras: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700"/>
      </w:tblGrid>
      <w:tr>
        <w:trPr>
          <w:tblHeader/>
        </w:trPr>
        <w:tc>
          <w:tcPr>
            <w:tcW w:type="dxa" w:w="23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3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 verificada</w:t>
            </w:r>
          </w:p>
        </w:tc>
        <w:tc>
          <w:tcPr>
            <w:tcW w:type="dxa" w:w="3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Implicação para o Nexus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 modelo é nano-banana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Evento de analytics vazou generation_method=nano-banana ao concluir a geração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Qualidade de referência alcançável com custo que já conhecemos (~R$ 0,42/imagem)</w:t>
            </w:r>
          </w:p>
        </w:tc>
      </w:tr>
      <w:tr>
        <w:tc>
          <w:tcPr>
            <w:tcW w:type="dxa" w:w="2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Texto chapado no bitmap</w:t>
            </w:r>
          </w:p>
        </w:tc>
        <w:tc>
          <w:tcPr>
            <w:tcW w:type="dxa" w:w="3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Clique e duplo clique no título selecionam a imagem inteira; a árvore de acessibilidade do canvas tem um único nó image Slide 1</w:t>
            </w:r>
          </w:p>
        </w:tc>
        <w:tc>
          <w:tcPr>
            <w:tcW w:type="dxa" w:w="3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Nossa arquitetura de camadas é diferencial estrutural, não incremental — eles não corrigem isso sem trocar o pipeline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Corrigir = regenerar pago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Modal literal: O slide será regenerado do zero. Pode haver pequenas mudanças de estilo. Custo: 6 créditos (mesmo custo de uma edição)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Edição gratuita e ilimitada vira argumento central de venda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A dor, nas palavras dos clientes deles (fórum público)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"Quando a criação de imagem editável vai começar? O meu ainda não está funcionando."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"É comum quando vamos editar o POST a imagem distorcer quanto mais editamos?"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"O editor de IA erra bastante e acaba gastando créditos à toa."</w:t>
      </w:r>
    </w:p>
    <w:p>
      <w:pPr>
        <w:pBdr>
          <w:left w:val="single" w:color="1668E3" w:sz="12" w:space="8"/>
        </w:pBdr>
        <w:spacing w:after="100"/>
        <w:ind w:left="431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"Nunca consegui acertar a fonte nas publicações... a IA tenta copiar a marca e refazer, o que na maioria das vezes não sai corretamente. Muito retrabalho e créditos gastos desnecessariamente."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tutorial fixado do próprio time admite: a IA desenha as letras como se fossem desenhos, e quanto mais texto na arte, maior a chance de sair palavra torta. Imagem editável está no roadmap deles — a janela existe, mas não é eterna.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3. Princípio de preço: cobra-se o pipeline, nunca a edição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Editar nunca custa nada em nenhuma arquitetura nossa: é manipulação de JSONB no navegador, sem chamada de API. O que custa é a GERAÇÃO da arte. Portanto o usuário escolhe o pipeline antes de gerar, paga por ele uma vez, e tudo o que sai é editável para sempre, de graça e sem limite.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que isso importa mais que a margem: </w:t>
      </w:r>
      <w:r>
        <w:rPr>
          <w:rFonts w:ascii="Calibri" w:cs="Calibri" w:eastAsia="Calibri" w:hAnsi="Calibri"/>
          <w:sz w:val="22"/>
          <w:szCs w:val="22"/>
        </w:rPr>
        <w:t xml:space="preserve">nosso posicionamento inteiro contra o BestContent é "edição é livre". Um gate de "pague para desbloquear a edição" reproduziria a economia deles (gerar 10 cr + corrigir 6 cr) e anularia a comparação. Na vitrine, 29 tokens com edição livre vence 10 créditos com edição paga; 54 tokens para poder editar, não.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4. Níveis de estruturação — as duas rotas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decisão não é quanta estrutura extrair depois, e sim qual pipeline gera a arte. Duas rotas, ambas com edição gratuita: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1400"/>
        <w:gridCol w:w="2600"/>
        <w:gridCol w:w="2000"/>
      </w:tblGrid>
      <w:tr>
        <w:trPr>
          <w:tblHeader/>
        </w:trPr>
        <w:tc>
          <w:tcPr>
            <w:tcW w:type="dxa" w:w="1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0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14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Custo em tokens</w:t>
            </w:r>
          </w:p>
        </w:tc>
        <w:tc>
          <w:tcPr>
            <w:tcW w:type="dxa" w:w="26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Editabilidade</w:t>
            </w:r>
          </w:p>
        </w:tc>
        <w:tc>
          <w:tcPr>
            <w:tcW w:type="dxa" w:w="20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— Nativa (spec)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 escreve o copy e o FreePostSpec; a imagem gerada entra como foto ou bloco; o texto é renderizado em camadas HTML pelo mesmo renderizador do carrossel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(4 texto + 25 imagem)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Nasce editável. Mover, redimensionar, trocar fonte, cor e reescrever: tudo grátis e ilimitado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Já existe no código (free-generate devolve spec; lib/single-posts completo)</w:t>
            </w:r>
          </w:p>
        </w:tc>
      </w:tr>
      <w:tr>
        <w:tc>
          <w:tcPr>
            <w:tcW w:type="dxa" w:w="1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— Arte livre</w:t>
            </w:r>
          </w:p>
        </w:tc>
        <w:tc>
          <w:tcPr>
            <w:tcW w:type="dxa" w:w="40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nano-banana desenha o post inteiro, texto incluso, como o BestContent faz</w:t>
            </w:r>
          </w:p>
        </w:tc>
        <w:tc>
          <w:tcPr>
            <w:tcW w:type="dxa" w:w="1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(4 texto + 25 imagem)</w:t>
            </w:r>
          </w:p>
        </w:tc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Sai chapado. Serve para "usar como está" e para adicionar camadas por cima</w:t>
            </w:r>
          </w:p>
        </w:tc>
        <w:tc>
          <w:tcPr>
            <w:tcW w:type="dxa" w:w="20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construir. Experimento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B+ — Arte livre decomposta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 mais uma passada de arte limpa, OCR com bounding boxes e Claude visão para reconstruir os textos como blocos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~54 (COGS ~R$ 0,94)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Editável, porém com perda: fonte aproximada e possível alteração de detalhes da arte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Não recomendado agora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Recomendação: rota A como produto. </w:t>
      </w:r>
      <w:r>
        <w:rPr>
          <w:rFonts w:ascii="Calibri" w:cs="Calibri" w:eastAsia="Calibri" w:hAnsi="Calibri"/>
          <w:sz w:val="22"/>
          <w:szCs w:val="22"/>
        </w:rPr>
        <w:t xml:space="preserve">Ela já existe, custa o mesmo que a capa de um carrossel, nasce editável e não tem perda de fidelidade. A rota B entra depois, como opção de arte livre a 29 tokens para quem quer o visual orgânico e vai usar como está. A rota B+ fica no arquivo: ela só se justifica se o piloto provar que a variedade visual da arte livre é grande o bastante para valer o dobro do preço e a perda de fidelidade — e mesmo assim seria vendida como pipeline escolhido na geração, nunca como desbloqueio de edição.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O que a rota A ainda não cobre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vantagem real da arte livre é a composição orgânica: o modelo entrelaça texto e imagem de um jeito que um template não faz (texto contornando o objeto, ícones integrados ao cenário, profundidade). Nossa rota A depende do repertório do FreePostSpec. O caminho de evolução é ampliar o vocabulário do spec e o catálogo de builders — não trocar de arquitetura.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5. Custos e margem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COGS por componente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500"/>
        <w:gridCol w:w="2600"/>
      </w:tblGrid>
      <w:tr>
        <w:trPr>
          <w:tblHeader/>
        </w:trPr>
        <w:tc>
          <w:tcPr>
            <w:tcW w:type="dxa" w:w="46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 Fal</w:t>
            </w:r>
          </w:p>
        </w:tc>
        <w:tc>
          <w:tcPr>
            <w:tcW w:type="dxa" w:w="26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 Gemini direta (F3)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Texto (Claude, com prompt caching)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~R$ 0,05</w:t>
            </w:r>
          </w:p>
        </w:tc>
      </w:tr>
      <w:tr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Imagem nano-banana (1080x1350)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US$ 0,08 · R$ 0,42</w:t>
            </w:r>
          </w:p>
        </w:tc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US$ 0,067 · R$ 0,35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rota A ou B (por post)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~R$ 0,40</w:t>
            </w:r>
          </w:p>
        </w:tc>
      </w:tr>
      <w:tr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Arte limpa (2a passada) — só na rota B+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US$ 0,08 · R$ 0,42</w:t>
            </w:r>
          </w:p>
        </w:tc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US$ 0,067 · R$ 0,35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OCR bounding boxes — só na rota B+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~R$ 0,01</w:t>
            </w:r>
          </w:p>
        </w:tc>
      </w:tr>
      <w:tr>
        <w:tc>
          <w:tcPr>
            <w:tcW w:type="dxa" w:w="4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 visão (cor, peso, fonte) — só na rota B+</w:t>
            </w:r>
          </w:p>
        </w:tc>
        <w:tc>
          <w:tcPr>
            <w:tcW w:type="dxa" w:w="2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~R$ 0,05 a 0,10</w:t>
            </w:r>
          </w:p>
        </w:tc>
        <w:tc>
          <w:tcPr>
            <w:tcW w:type="dxa" w:w="26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~R$ 0,05 a 0,10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rota B+ (por post)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~R$ 0,94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~R$ 0,80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Preço em tokens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post único reutiliza as constantes que já existem em lib/tokens.ts, sem inventar preço novo: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textOnly:</w:t>
      </w:r>
      <w:r>
        <w:rPr>
          <w:rFonts w:ascii="Calibri" w:cs="Calibri" w:eastAsia="Calibri" w:hAnsi="Calibri"/>
          <w:sz w:val="22"/>
          <w:szCs w:val="22"/>
        </w:rPr>
        <w:t xml:space="preserve"> 4 tokens (roteiro e legenda), igual ao carrossel.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imageCover:</w:t>
      </w:r>
      <w:r>
        <w:rPr>
          <w:rFonts w:ascii="Calibri" w:cs="Calibri" w:eastAsia="Calibri" w:hAnsi="Calibri"/>
          <w:sz w:val="22"/>
          <w:szCs w:val="22"/>
        </w:rPr>
        <w:t xml:space="preserve"> 25 tokens (nano-banana), igual à capa do carrossel.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do post único:</w:t>
      </w:r>
      <w:r>
        <w:rPr>
          <w:rFonts w:ascii="Calibri" w:cs="Calibri" w:eastAsia="Calibri" w:hAnsi="Calibri"/>
          <w:sz w:val="22"/>
          <w:szCs w:val="22"/>
        </w:rPr>
        <w:t xml:space="preserve"> 29 tokens, com edição gratuita e ilimitada depois.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Como os componentes de custo são literalmente os mesmos da capa do carrossel, a margem é idêntica por construção e a verificação de piso de 80% em todos os planos, já feita para o carrossel, continua valendo. Nenhuma conta nova é necessária.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restrição do CEO está atendida: </w:t>
      </w:r>
      <w:r>
        <w:rPr>
          <w:rFonts w:ascii="Calibri" w:cs="Calibri" w:eastAsia="Calibri" w:hAnsi="Calibri"/>
          <w:sz w:val="22"/>
          <w:szCs w:val="22"/>
        </w:rPr>
        <w:t xml:space="preserve">o post único (29 tokens) não custa mais que gerar um slide de carrossel com imagem de capa (25 tokens de imagem, mais o texto amortizado). É o mesmo modelo, o mesmo custo e a mesma margem.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Comparação de vitrine com o concorrente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400"/>
      </w:tblGrid>
      <w:tr>
        <w:trPr>
          <w:tblHeader/>
        </w:trPr>
        <w:tc>
          <w:tcPr>
            <w:tcW w:type="dxa" w:w="30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3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BestContent</w:t>
            </w:r>
          </w:p>
        </w:tc>
        <w:tc>
          <w:tcPr>
            <w:tcW w:type="dxa" w:w="34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Nexus Content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gerado, sem ajuste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créditos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tokens</w:t>
            </w:r>
          </w:p>
        </w:tc>
      </w:tr>
      <w:tr>
        <w:tc>
          <w:tcPr>
            <w:tcW w:type="dxa" w:w="30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com 3 correções de texto</w:t>
            </w:r>
          </w:p>
        </w:tc>
        <w:tc>
          <w:tcPr>
            <w:tcW w:type="dxa" w:w="3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+ 6 + 6 + 6 = 28 créditos, e o design muda a cada correção</w:t>
            </w:r>
          </w:p>
        </w:tc>
        <w:tc>
          <w:tcPr>
            <w:tcW w:type="dxa" w:w="34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tokens. Correções gratuitas, design intacto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Adaptar para outro formato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créditos (regeneração completa)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Re-layout das camadas, sem custo de imagem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6. Fases de implementação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1300"/>
        <w:gridCol w:w="1500"/>
      </w:tblGrid>
      <w:tr>
        <w:trPr>
          <w:tblHeader/>
        </w:trPr>
        <w:tc>
          <w:tcPr>
            <w:tcW w:type="dxa" w:w="22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7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3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shd w:fill="1668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 — Ligar a rota nativa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Terminar o fluxo de post único sobre o que já existe: free-generate devolvendo spec, editor de camadas, salvar na biblioteca, débito de 29 tokens e preview de custo antes de gerar. Sem OpenAI, sem KYC, sem decomposição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sessão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Nada — código atual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 — Repertório visual</w:t>
            </w:r>
          </w:p>
        </w:tc>
        <w:tc>
          <w:tcPr>
            <w:tcW w:type="dxa" w:w="4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Ampliar o vocabulário do FreePostSpec e o catálogo de builders (hoje 5 no catálogo) para cobrir mais padrões de composição. É aqui que se fecha a distância visual para a arte livre</w:t>
            </w:r>
          </w:p>
        </w:tc>
        <w:tc>
          <w:tcPr>
            <w:tcW w:type="dxa" w:w="1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a 3 sessões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 — Referência e elementos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real do produto ou pessoa como referência da geração; elementos PNG transparentes como camadas móveis; integração com a biblioteca de imagens da marca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 a 3 sessões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 + migration de biblioteca</w:t>
            </w:r>
          </w:p>
        </w:tc>
      </w:tr>
      <w:tr>
        <w:tc>
          <w:tcPr>
            <w:tcW w:type="dxa" w:w="22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F4 — Arte livre (experimento)</w:t>
            </w:r>
          </w:p>
        </w:tc>
        <w:tc>
          <w:tcPr>
            <w:tcW w:type="dxa" w:w="47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Rota B: nano-banana desenha o post completo, entregue como imagem para usar como está, com camadas adicionáveis por cima. Medir se a variedade visual justifica manter a rota</w:t>
            </w:r>
          </w:p>
        </w:tc>
        <w:tc>
          <w:tcPr>
            <w:tcW w:type="dxa" w:w="13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a 2 sessões</w:t>
            </w:r>
          </w:p>
        </w:tc>
        <w:tc>
          <w:tcPr>
            <w:tcW w:type="dxa" w:w="1500"/>
            <w:shd w:fill="EE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F5 — Custo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Migrar nano-banana para a API Gemini direta (queda de ~15% no COGS da imagem)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sessão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Nada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668E3"/>
          <w:sz w:val="30"/>
          <w:szCs w:val="30"/>
        </w:rPr>
        <w:t xml:space="preserve">7. Riscos e pontos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Repertório visual:</w:t>
      </w:r>
      <w:r>
        <w:rPr>
          <w:rFonts w:ascii="Calibri" w:cs="Calibri" w:eastAsia="Calibri" w:hAnsi="Calibri"/>
          <w:sz w:val="22"/>
          <w:szCs w:val="22"/>
        </w:rPr>
        <w:t xml:space="preserve"> a rota A depende do repertório do spec. Se o resultado ficar visivelmente mais pobre que a arte livre do concorrente, a resposta é ampliar o vocabulário (F2), não migrar para bitmap.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Regra do logo:</w:t>
      </w:r>
      <w:r>
        <w:rPr>
          <w:rFonts w:ascii="Calibri" w:cs="Calibri" w:eastAsia="Calibri" w:hAnsi="Calibri"/>
          <w:sz w:val="22"/>
          <w:szCs w:val="22"/>
        </w:rPr>
        <w:t xml:space="preserve"> o modelo nunca desenha o logo. O prompt reserva a área e o logo real do usuário entra como camada própria. A reclamação mais comum do fórum deles (a IA refaz a logo errado) fica resolvida por construção.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Qualidade:</w:t>
      </w:r>
      <w:r>
        <w:rPr>
          <w:rFonts w:ascii="Calibri" w:cs="Calibri" w:eastAsia="Calibri" w:hAnsi="Calibri"/>
          <w:sz w:val="22"/>
          <w:szCs w:val="22"/>
        </w:rPr>
        <w:t xml:space="preserve"> ortografia PT-BR e enquadramento continuam sujeitos às regras globais já vigentes: imagem nunca sobrepõe texto, accent sempre via readableAccent, PHOTO_FOCUS no enquadramento.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Janela competitiva:</w:t>
      </w:r>
      <w:r>
        <w:rPr>
          <w:rFonts w:ascii="Calibri" w:cs="Calibri" w:eastAsia="Calibri" w:hAnsi="Calibri"/>
          <w:sz w:val="22"/>
          <w:szCs w:val="22"/>
        </w:rPr>
        <w:t xml:space="preserve"> imagem editável está no roadmap público do concorrente. A vantagem é nossa enquanto eles dependem de pipeline bitmap, mas a execução precisa ser agora.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Câmbio:</w:t>
      </w:r>
      <w:r>
        <w:rPr>
          <w:rFonts w:ascii="Calibri" w:cs="Calibri" w:eastAsia="Calibri" w:hAnsi="Calibri"/>
          <w:sz w:val="22"/>
          <w:szCs w:val="22"/>
        </w:rPr>
        <w:t xml:space="preserve"> 100% do COGS é em USD, referência R$ 5,20. Reprecificar se passar de ~R$ 5,60.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Decisão registrada:</w:t>
      </w:r>
      <w:r>
        <w:rPr>
          <w:rFonts w:ascii="Calibri" w:cs="Calibri" w:eastAsia="Calibri" w:hAnsi="Calibri"/>
          <w:sz w:val="22"/>
          <w:szCs w:val="22"/>
        </w:rPr>
        <w:t xml:space="preserve"> se um dia a rota B+ for retomada, ela entra como pipeline escolhido na geração, com preço próprio, e nunca como desbloqueio de edição.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2026-08-17T21:03:54.919Z</dcterms:created>
  <dcterms:modified xsi:type="dcterms:W3CDTF">2026-08-17T21:03:54.920Z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