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668E3"/>
          <w:sz w:val="20"/>
          <w:szCs w:val="20"/>
        </w:rPr>
        <w:t xml:space="preserve">NEXUS CONTENT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Post Único Editável — Estratégia e Implementação</w:t>
      </w:r>
    </w:p>
    <w:p>
      <w:pPr>
        <w:spacing w:after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17/08/2026 · substitui ESTRATEGIA-POST-UNICO-V2.md (14/07) · câmbio de referência R$ 5,20/USD · confidencial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1. Resumo executivo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mudou:</w:t>
      </w:r>
      <w:r>
        <w:rPr>
          <w:rFonts w:ascii="Calibri" w:cs="Calibri" w:eastAsia="Calibri" w:hAnsi="Calibri"/>
          <w:sz w:val="22"/>
          <w:szCs w:val="22"/>
        </w:rPr>
        <w:t xml:space="preserve"> a engenharia reversa no BestContent (17/08) confirmou a tese do produto e derrubou a premissa de custo do plano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Modelo:</w:t>
      </w:r>
      <w:r>
        <w:rPr>
          <w:rFonts w:ascii="Calibri" w:cs="Calibri" w:eastAsia="Calibri" w:hAnsi="Calibri"/>
          <w:sz w:val="22"/>
          <w:szCs w:val="22"/>
        </w:rPr>
        <w:t xml:space="preserve"> o concorrente gera posts únicos de alta qualidade com nano-banana — o mesmo modelo que já usamos na capa do carrossel. Não precisamos de gpt-image-2, nem do KYC da OpenAI, nem dos ~R$ 1,45/post do fluxo “master”.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gap deles:</w:t>
      </w:r>
      <w:r>
        <w:rPr>
          <w:rFonts w:ascii="Calibri" w:cs="Calibri" w:eastAsia="Calibri" w:hAnsi="Calibri"/>
          <w:sz w:val="22"/>
          <w:szCs w:val="22"/>
        </w:rPr>
        <w:t xml:space="preserve"> o post deles sai como imagem única (bitmap). Corrigir qualquer texto custa 6 créditos e regenera o slide do zero, com mudança de estilo. O fórum deles está cheio dessa reclamação. Nosso editor de camadas ataca exatamente essa 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</w:t>
      </w:r>
      <w:r>
        <w:rPr>
          <w:rFonts w:ascii="Calibri" w:cs="Calibri" w:eastAsia="Calibri" w:hAnsi="Calibri"/>
          <w:sz w:val="22"/>
          <w:szCs w:val="22"/>
        </w:rPr>
        <w:t xml:space="preserve"> gerar pronto com nano-banana e decompor em camadas editáveis (mesmo free-spec do carrossel). “Usar como está” por 25 tokens; “Tornar editável” por +25 tokens. Com a migração para a API Gemini direta, todos os planos fecham na margem-piso de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Bandeira de marketing:</w:t>
      </w:r>
      <w:r>
        <w:rPr>
          <w:rFonts w:ascii="Calibri" w:cs="Calibri" w:eastAsia="Calibri" w:hAnsi="Calibri"/>
          <w:sz w:val="22"/>
          <w:szCs w:val="22"/>
        </w:rPr>
        <w:t xml:space="preserve"> “no Nexus você edita o texto de graça; no concorrente cada correção custa crédito e muda o design”.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2. O que a engenharia reversa confirmou (17/08/2026)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Geramos um post real no painel deles (conta Freemium) e inspecionamos pipeline, editor, rede e DOM. Três evidências duras: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700"/>
      </w:tblGrid>
      <w:tr>
        <w:trPr>
          <w:tblHeader/>
        </w:trPr>
        <w:tc>
          <w:tcPr>
            <w:tcW w:type="dxa" w:w="23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37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 verificada</w:t>
            </w:r>
          </w:p>
        </w:tc>
        <w:tc>
          <w:tcPr>
            <w:tcW w:type="dxa" w:w="37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Implicação para o Nexus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modelo é nano-banana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 de analytics vazou generation_method=nano-banana ao concluir a geração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Qualidade de referência alcançável com custo que já conhecemos (~R$ 0,42/imagem)</w:t>
            </w:r>
          </w:p>
        </w:tc>
      </w:tr>
      <w:tr>
        <w:tc>
          <w:tcPr>
            <w:tcW w:type="dxa" w:w="2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chapado no bitmap</w:t>
            </w:r>
          </w:p>
        </w:tc>
        <w:tc>
          <w:tcPr>
            <w:tcW w:type="dxa" w:w="3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Clique e duplo clique no título selecionam a imagem inteira; árvore de acessibilidade do canvas tem um único nó “image Slide 1”</w:t>
            </w:r>
          </w:p>
        </w:tc>
        <w:tc>
          <w:tcPr>
            <w:tcW w:type="dxa" w:w="3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Nosso editor de camadas é diferencial estrutural, não incremental — eles não corrigem isso sem trocar o pipeline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= regenerar pago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 literal: “O slide será regenerado do zero. Pode haver pequenas mudanças de estilo. Custo: 6 créditos (mesmo custo de uma edição)”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Edição gratuita e ilimitada vira argumento central de venda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A dor, nas palavras dos clientes deles (fórum público)</w:t>
      </w:r>
    </w:p>
    <w:p>
      <w:pPr>
        <w:pBdr>
          <w:left w:val="single" w:color="1668E3" w:sz="12" w:space="8"/>
        </w:pBdr>
        <w:spacing w:after="100"/>
        <w:ind w:left="431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“Quando a criação de imagem editável vai começar? O meu ainda não está funcionando.”</w:t>
      </w:r>
    </w:p>
    <w:p>
      <w:pPr>
        <w:pBdr>
          <w:left w:val="single" w:color="1668E3" w:sz="12" w:space="8"/>
        </w:pBdr>
        <w:spacing w:after="100"/>
        <w:ind w:left="431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“É comum quando vamos editar o POST a imagem distorcer quanto mais editamos?”</w:t>
      </w:r>
    </w:p>
    <w:p>
      <w:pPr>
        <w:pBdr>
          <w:left w:val="single" w:color="1668E3" w:sz="12" w:space="8"/>
        </w:pBdr>
        <w:spacing w:after="100"/>
        <w:ind w:left="431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“O editor de IA erra bastante e acaba gastando créditos à toa.”</w:t>
      </w:r>
    </w:p>
    <w:p>
      <w:pPr>
        <w:pBdr>
          <w:left w:val="single" w:color="1668E3" w:sz="12" w:space="8"/>
        </w:pBdr>
        <w:spacing w:after="100"/>
        <w:ind w:left="431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“Nunca consegui acertar a fonte nas publicações... a IA tenta copiar a marca e refazer, o que na maioria das vezes não sai corretamente. Muito retrabalho e créditos gastos desnecessariamente.”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tutorial fixado do próprio time admite: “a IA desenha as letras como se fossem desenhos... quanto mais texto na arte, maior a chance de sair palavra torta”. Imagem editável está no roadmap deles — ou seja, a janela existe, mas não é eterna.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3. Arquitetura: gerar pronto, depois decompor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Mantém a decisão do CEO de 14/07 (nunca deixar o Claude chutar posição de texto sobre uma arte que ele não vê): o post nasce PRONTO no modelo de imagem — layout, texto e hierarquia vêm do próprio design gerado. A decomposição extrai as camadas do resultado.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briefing do usuário + identidade da marca → Claude escreve o copy (headline, corpo, CTA).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prompt estruturado em seções fixas (Objetivo do Post, Composição Visual, Headline, Corpo do Texto, Elementos Visuais, CTA, Handle da Marca) → nano-banana gera o post completo, com texto, em 1080×1350. O BestContent expõe esse prompt ao usuário e permite editá-lo antes de gerar — vale copiar.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(“Tornar editável”) segunda passada de edição de imagem: “remova todo o texto, mantenha o design idêntico” → arte limpa.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OCR com bounding boxes dá texto + posição exata; Claude visão classifica cor, peso e hierarquia e mapeia para a fonte mais próxima da nossa biblioteca.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cada texto vira bloco free-spec nas mesmas coordenadas (cqw), sobre a arte limpa — mesmo formato el/JSONB e mesmo editor do carrossel (mover, redimensionar, trocar fonte, reescrever).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Regra do logo (lição do concorrente)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reclamação mais comum no fórum deles é a IA “redesenhar” o logo e errar a fonte da marca. Eles mandam o logo como referência para o modelo (toggle “Enviar logo”) — e mesmo assim distorce. Nossa regra: o logo NUNCA é desenhado pelo modelo. O prompt reserva a área e o logo real do usuário entra como camada própria por cima, no free-spec. Zero distorção, por construção.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4. Níveis de estruturação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decisão de produto central é quanto de estrutura extraímos, e quando. Três níveis possíveis: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1200"/>
        <w:gridCol w:w="2500"/>
      </w:tblGrid>
      <w:tr>
        <w:trPr>
          <w:tblHeader/>
        </w:trPr>
        <w:tc>
          <w:tcPr>
            <w:tcW w:type="dxa" w:w="19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1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12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COGS (Fal)</w:t>
            </w:r>
          </w:p>
        </w:tc>
        <w:tc>
          <w:tcPr>
            <w:tcW w:type="dxa" w:w="25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N0 — Usar como está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Bitmap único, sem camadas. Paridade com o BestContent, com export imediato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R$ 0,42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na geração. Muitos posts saem certos de primeira e nunca precisam de edição</w:t>
            </w:r>
          </w:p>
        </w:tc>
      </w:tr>
      <w:tr>
        <w:tc>
          <w:tcPr>
            <w:tcW w:type="dxa" w:w="19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N1 — Editável light</w:t>
            </w:r>
          </w:p>
        </w:tc>
        <w:tc>
          <w:tcPr>
            <w:tcW w:type="dxa" w:w="41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arte limpa: OCR + visão criam blocos de texto sobre a imagem original, com remendo de cor atrás de cada bloco</w:t>
            </w:r>
          </w:p>
        </w:tc>
        <w:tc>
          <w:tcPr>
            <w:tcW w:type="dxa" w:w="1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~R$ 0,52</w:t>
            </w:r>
          </w:p>
        </w:tc>
        <w:tc>
          <w:tcPr>
            <w:tcW w:type="dxa" w:w="2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Fallback técnico se a passada de arte limpa falhar num caso específico. Não é o produto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N2 — Editável completo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Arte limpa + OCR + visão → fundo limpo e camadas de texto reais nas mesmas coordenadas. Mesmo editor do carrossel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~R$ 0,94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Botão “Tornar editável”, sob demanda, pago em tokens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 </w:t>
      </w:r>
      <w:r>
        <w:rPr>
          <w:rFonts w:ascii="Calibri" w:cs="Calibri" w:eastAsia="Calibri" w:hAnsi="Calibri"/>
          <w:sz w:val="22"/>
          <w:szCs w:val="22"/>
        </w:rPr>
        <w:t xml:space="preserve">lançar N0 como saída padrão e N2 como ação explícita “Tornar editável”. O usuário só paga a decomposição quando precisa dela; o custo médio por post cai pela metade e a promessa (“vem pronto e edita”) fica intacta. Se a decomposição degradar num caso raro, o original “como está” permanece disponível — ninguém fica na mão. N1 fica como rede de segurança interna, não como oferta.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5. Custos e precificação em tokens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COGS por componente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2800"/>
      </w:tblGrid>
      <w:tr>
        <w:trPr>
          <w:tblHeader/>
        </w:trPr>
        <w:tc>
          <w:tcPr>
            <w:tcW w:type="dxa" w:w="42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Via Fal</w:t>
            </w:r>
          </w:p>
        </w:tc>
        <w:tc>
          <w:tcPr>
            <w:tcW w:type="dxa" w:w="28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Via Gemini direta (F3)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Geração nano-banana (post completo, 1080×1350)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US$ 0,08 · R$ 0,42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US$ 0,067 · R$ 0,35</w:t>
            </w:r>
          </w:p>
        </w:tc>
      </w:tr>
      <w:tr>
        <w:tc>
          <w:tcPr>
            <w:tcW w:type="dxa" w:w="4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Arte limpa (2ª passada de edição)</w:t>
            </w:r>
          </w:p>
        </w:tc>
        <w:tc>
          <w:tcPr>
            <w:tcW w:type="dxa" w:w="2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US$ 0,08 · R$ 0,42</w:t>
            </w:r>
          </w:p>
        </w:tc>
        <w:tc>
          <w:tcPr>
            <w:tcW w:type="dxa" w:w="28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US$ 0,067 · R$ 0,35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OCR bounding boxes (Google Vision)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~R$ 0,01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~R$ 0,01</w:t>
            </w:r>
          </w:p>
        </w:tc>
      </w:tr>
      <w:tr>
        <w:tc>
          <w:tcPr>
            <w:tcW w:type="dxa" w:w="4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visão (cor, peso, hierarquia, fonte)</w:t>
            </w:r>
          </w:p>
        </w:tc>
        <w:tc>
          <w:tcPr>
            <w:tcW w:type="dxa" w:w="2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~R$ 0,05–0,10</w:t>
            </w:r>
          </w:p>
        </w:tc>
        <w:tc>
          <w:tcPr>
            <w:tcW w:type="dxa" w:w="28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~R$ 0,05–0,10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N0 (usar como está)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R$ 0,42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R$ 0,35</w:t>
            </w:r>
          </w:p>
        </w:tc>
      </w:tr>
      <w:tr>
        <w:tc>
          <w:tcPr>
            <w:tcW w:type="dxa" w:w="4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N2 (tornar editável = N0 + decomposição)</w:t>
            </w:r>
          </w:p>
        </w:tc>
        <w:tc>
          <w:tcPr>
            <w:tcW w:type="dxa" w:w="2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~R$ 0,94</w:t>
            </w:r>
          </w:p>
        </w:tc>
        <w:tc>
          <w:tcPr>
            <w:tcW w:type="dxa" w:w="28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~R$ 0,80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Restrição do CEO: o post único não pode custar mais que um slide de carrossel. A unidade mais cara do carrossel é a capa (25 tokens, COGS R$ 0,42). O N0 usa exatamente o mesmo modelo e o mesmo custo da capa — a regra é atendida por construção. A decomposição é um produto adicional em cima disso.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Opções de preço (margem no pior caso = Studio mensal, R$ 0,0815/token líquido)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500"/>
        <w:gridCol w:w="1400"/>
        <w:gridCol w:w="1600"/>
        <w:gridCol w:w="2100"/>
      </w:tblGrid>
      <w:tr>
        <w:trPr>
          <w:tblHeader/>
        </w:trPr>
        <w:tc>
          <w:tcPr>
            <w:tcW w:type="dxa" w:w="22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9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15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Margem Starter</w:t>
            </w:r>
          </w:p>
        </w:tc>
        <w:tc>
          <w:tcPr>
            <w:tcW w:type="dxa" w:w="14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Margem Pro</w:t>
            </w:r>
          </w:p>
        </w:tc>
        <w:tc>
          <w:tcPr>
            <w:tcW w:type="dxa" w:w="16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Margem Studio</w:t>
            </w:r>
          </w:p>
        </w:tc>
        <w:tc>
          <w:tcPr>
            <w:tcW w:type="dxa" w:w="21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— só gerar (N0)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89%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79%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 à capa do carrossel. Piso de 80% no limite</w:t>
            </w:r>
          </w:p>
        </w:tc>
      </w:tr>
      <w:tr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— gerar 25 + editável 15</w:t>
            </w:r>
          </w:p>
        </w:tc>
        <w:tc>
          <w:tcPr>
            <w:tcW w:type="dxa" w:w="9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84%</w:t>
            </w:r>
          </w:p>
        </w:tc>
        <w:tc>
          <w:tcPr>
            <w:tcW w:type="dxa" w:w="1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75%</w:t>
            </w:r>
          </w:p>
        </w:tc>
        <w:tc>
          <w:tcPr>
            <w:tcW w:type="dxa" w:w="1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71%</w:t>
            </w:r>
          </w:p>
        </w:tc>
        <w:tc>
          <w:tcPr>
            <w:tcW w:type="dxa" w:w="21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Mais agressiva; abaixo do piso no Pro/Studio com uso 100%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 — gerar 25 + editável 25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77% (80% na F3)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Recomendada: fecha o piso em todos os planos após migrar para Gemini direta</w:t>
            </w:r>
          </w:p>
        </w:tc>
      </w:tr>
      <w:tr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 — tudo incluso por 30</w:t>
            </w:r>
          </w:p>
        </w:tc>
        <w:tc>
          <w:tcPr>
            <w:tcW w:type="dxa" w:w="9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84%</w:t>
            </w:r>
          </w:p>
        </w:tc>
        <w:tc>
          <w:tcPr>
            <w:tcW w:type="dxa" w:w="1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69%</w:t>
            </w:r>
          </w:p>
        </w:tc>
        <w:tc>
          <w:tcPr>
            <w:tcW w:type="dxa" w:w="1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62%</w:t>
            </w:r>
          </w:p>
        </w:tc>
        <w:tc>
          <w:tcPr>
            <w:tcW w:type="dxa" w:w="21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Descartada: subsidia decomposição para quem não usa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 opção C. </w:t>
      </w:r>
      <w:r>
        <w:rPr>
          <w:rFonts w:ascii="Calibri" w:cs="Calibri" w:eastAsia="Calibri" w:hAnsi="Calibri"/>
          <w:sz w:val="22"/>
          <w:szCs w:val="22"/>
        </w:rPr>
        <w:t xml:space="preserve">“Gerar post único” = 25 tokens (paridade total com a capa); “Tornar editável” = +25 tokens, uma única vez, com edições ilimitadas e gratuitas depois. Contexto competitivo: no BestContent, gerar custa 10 créditos e CADA correção custa 6 — um post que precisa de 3 ajustes sai por 28 créditos e três loterias de estilo. No Nexus: 50 tokens, uma vez, e o texto é seu.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Decisões que continuam com o CEO: aprovar a opção C (ou fixar outra), confirmar se “Tornar editável” entra no trial (sugestão: não — gancho de upgrade) e validar os números após o piloto de fidelidade da F1b.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6. Fases de implementação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1300"/>
        <w:gridCol w:w="1500"/>
      </w:tblGrid>
      <w:tr>
        <w:trPr>
          <w:tblHeader/>
        </w:trPr>
        <w:tc>
          <w:tcPr>
            <w:tcW w:type="dxa" w:w="22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3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5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F1a — Geração pura (MVP)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estruturado de 7 seções + geração nano-banana via Fal (infra já existente) + “Usar como está” salvo na biblioteca + débito de 25 tk. Sem OpenAI, sem KYC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 sessões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Nada — infra atual</w:t>
            </w:r>
          </w:p>
        </w:tc>
      </w:tr>
      <w:tr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F1b — Tornar editável</w:t>
            </w:r>
          </w:p>
        </w:tc>
        <w:tc>
          <w:tcPr>
            <w:tcW w:type="dxa" w:w="4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Passada de arte limpa + OCR + Claude visão → blocos free-spec nas coordenadas extraídas → editor atual. Piloto medindo fidelidade da reconstrução antes de virar padrão. Débito de +25 tk</w:t>
            </w:r>
          </w:p>
        </w:tc>
        <w:tc>
          <w:tcPr>
            <w:tcW w:type="dxa" w:w="1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sessões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F2 — Referência e elementos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 real do produto/pessoa como referência da geração; elementos PNG transparentes como camadas móveis; integração com a biblioteca de imagens da marca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sessões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F1a + migration de biblioteca</w:t>
            </w:r>
          </w:p>
        </w:tc>
      </w:tr>
      <w:tr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F3 — Custo</w:t>
            </w:r>
          </w:p>
        </w:tc>
        <w:tc>
          <w:tcPr>
            <w:tcW w:type="dxa" w:w="4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Migrar nano-banana para a API Gemini direta (−15% de COGS; N2 cai para ~R$ 0,80 e a opção C fecha 80% em todos os planos)</w:t>
            </w:r>
          </w:p>
        </w:tc>
        <w:tc>
          <w:tcPr>
            <w:tcW w:type="dxa" w:w="1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sessão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Decisão de preço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7. Riscos e pontos de atenção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Fidelidade da decomposição:</w:t>
      </w:r>
      <w:r>
        <w:rPr>
          <w:rFonts w:ascii="Calibri" w:cs="Calibri" w:eastAsia="Calibri" w:hAnsi="Calibri"/>
          <w:sz w:val="22"/>
          <w:szCs w:val="22"/>
        </w:rPr>
        <w:t xml:space="preserve"> a arte limpa pode alterar detalhes e a fonte reconstruída é aproximada (mapeada para a biblioteca). Mitigação: o original N0 fica sempre disponível; a F1b mede a taxa de reconstrução boa antes do recurso virar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Latência:</w:t>
      </w:r>
      <w:r>
        <w:rPr>
          <w:rFonts w:ascii="Calibri" w:cs="Calibri" w:eastAsia="Calibri" w:hAnsi="Calibri"/>
          <w:sz w:val="22"/>
          <w:szCs w:val="22"/>
        </w:rPr>
        <w:t xml:space="preserve"> duas passadas de imagem somam 30–60s. Mostrar progresso na UI (o BestContent faz isso bem: toast global com job em background e chat de 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Janela competitiva:</w:t>
      </w:r>
      <w:r>
        <w:rPr>
          <w:rFonts w:ascii="Calibri" w:cs="Calibri" w:eastAsia="Calibri" w:hAnsi="Calibri"/>
          <w:sz w:val="22"/>
          <w:szCs w:val="22"/>
        </w:rPr>
        <w:t xml:space="preserve"> “imagem editável” está no roadmap público do concorrente. A vantagem estrutural é nossa enquanto eles dependem de pipeline bitmap — mas a execução precisa ser agora.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Câmbio:</w:t>
      </w:r>
      <w:r>
        <w:rPr>
          <w:rFonts w:ascii="Calibri" w:cs="Calibri" w:eastAsia="Calibri" w:hAnsi="Calibri"/>
          <w:sz w:val="22"/>
          <w:szCs w:val="22"/>
        </w:rPr>
        <w:t xml:space="preserve"> o câmbio é o maior risco de COGS (100% em USD, referência R$ 5,20). Reprecificar tokens se passar de ~R$ 5,60.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Qualidade de texto:</w:t>
      </w:r>
      <w:r>
        <w:rPr>
          <w:rFonts w:ascii="Calibri" w:cs="Calibri" w:eastAsia="Calibri" w:hAnsi="Calibri"/>
          <w:sz w:val="22"/>
          <w:szCs w:val="22"/>
        </w:rPr>
        <w:t xml:space="preserve"> ortografia PT-BR do nano-banana no nosso contexto precisa ser validada no piloto da F1a — a amostra deles saiu impecável, mas com o prompt deles.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2026-08-17T19:38:25.567Z</dcterms:created>
  <dcterms:modified xsi:type="dcterms:W3CDTF">2026-08-17T19:38:25.568Z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