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68E3"/>
          <w:sz w:val="22"/>
          <w:szCs w:val="22"/>
        </w:rPr>
        <w:t xml:space="preserve">Nexus Content</w:t>
      </w:r>
    </w:p>
    <w:p>
      <w:pPr>
        <w:spacing w:after="80"/>
      </w:pPr>
      <w:r>
        <w:rPr>
          <w:b/>
          <w:bCs/>
          <w:sz w:val="40"/>
          <w:szCs w:val="40"/>
        </w:rPr>
        <w:t xml:space="preserve">Tokens, indicação e afiliados</w:t>
      </w:r>
    </w:p>
    <w:p>
      <w:pPr>
        <w:spacing w:after="60"/>
      </w:pPr>
      <w:r>
        <w:rPr>
          <w:color w:val="555555"/>
          <w:sz w:val="20"/>
          <w:szCs w:val="20"/>
        </w:rPr>
        <w:t xml:space="preserve">rev4 · 22 de agosto de 2026 · suas respostas viraram código no mesmo dia. Este doc é o registro do que foi decidido, do que já está feito e do que só depende de você.</w:t>
      </w:r>
    </w:p>
    <w:p>
      <w:pPr>
        <w:pBdr>
          <w:bottom w:val="single" w:color="1668E3" w:sz="6"/>
        </w:pBd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1. O veredito, em uma página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O que estava quebrado: </w:t>
      </w:r>
      <w:r>
        <w:rPr>
          <w:sz w:val="22"/>
          <w:szCs w:val="22"/>
        </w:rPr>
        <w:t xml:space="preserve">o produto só sabia DESCONTAR tokens. Não dava pra assinar (botões sem link), o plano nunca era creditado, nunca renovava, não havia extrato, e a indicação prometia 100 créditos com a migration desaplicada. Nada disso apareceu antes porque nenhum cliente passou pelo fluxo de cobrança de verdade.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O que mudou hoje: </w:t>
      </w:r>
      <w:r>
        <w:rPr>
          <w:sz w:val="22"/>
          <w:szCs w:val="22"/>
        </w:rPr>
        <w:t xml:space="preserve">as três portas de entrada de token passaram a existir (assinatura, renovação, indicação), o débito virou atômico e auditável, e a cobrança saiu da Cakto pro Asaas atrás de uma camada neutra, pra que trocar de checkout amanhã não reabra este documento.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O que você decidiu (respostas da rev3, seção 10)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1. Ciclos: anual com 30% de desconto. Trimestral e semestral saem, pelo menos por agora. Tokens iguais nos dois ciclos.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2. Cakto sai por completo, do código e dos docs. Cobrança no Asaas, sem prender o produto a um checkout.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3. Tabela v2 aprovada, e o roteiro fica em 8 tokens MESMO se o teste cego trocar o escritor: custo de API é relativo e pode subir, chutar pro alto é mais seguro.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4. Migrations 0014 e 0016: OK pra rodar em produção.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5. Extrato: uma linha por peça na página do cliente, sem detalhar etapa interna.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6. Cancelar e trocar de plano por dentro do app, sem portal externo.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7. Afiliados: codar sim, subir pra produção não. Poucas pessoas têm conta Asaas e o modelo de pagamento ainda precisa ser pensado. Comissão, cookie e e-mail da candidatura ficaram indefinidos.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8. Cartão via API do Asaas já está liberado na sua conta.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  <w:sz w:val="22"/>
          <w:szCs w:val="22"/>
        </w:rPr>
        <w:t xml:space="preserve">Uma correção de fato, que você perguntou: </w:t>
      </w:r>
      <w:r>
        <w:rPr>
          <w:sz w:val="22"/>
          <w:szCs w:val="22"/>
        </w:rPr>
        <w:t xml:space="preserve">não, o roteiro NÃO sai do Haiku. O escritor é o Sonnet 4.6 (MODEL_ESCRITOR); o Haiku 4.5 só roda nas tarefas mecânicas (extração, validação, pautas). É exatamente por isso que o roteiro custa R$0,28 e o só-texto era o furo de margem.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2. Os números finais (com as suas decisões aplicadas)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Tabela de tokens em vigor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1200"/>
        <w:gridCol w:w="3660"/>
      </w:tblGrid>
      <w:tr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Peça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Agora</w:t>
            </w:r>
          </w:p>
        </w:tc>
        <w:tc>
          <w:tcPr>
            <w:tcW w:type="dxa" w:w="36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Roteiro do carrossel (texto)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custa R$0,28 por roteiro; a 4 tokens o só-texto dava 26% de margem no Pro. Fica em 8 por decisão sua, mesmo depois do teste cego.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Imagem de capa do carrossel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capa roda no nano-banana simples (R$0,20). A 20 tokens ainda dá 89% no Starter e o carrossel só-capa fica mais barato pro usuário.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Arte do post único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Constante separada da capa: o post único usa nano-banana-2 (R$0,42), que é o dobro. Antes as duas dividiam o mesmo número e a peça mais cara era a mais subcobrada.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Slide de miolo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Flux Schnell, R$0,016. Já era folgado.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único (texto + arte)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de texto + 25 de arte. Carro-chefe, margem 77-80% no mensal.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Edição cirúrgica do bitmap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Custa o mesmo que gerar, mas o usuário percebe como correção. 15 tira a sensação de pagar de novo.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Pautas (após 3 grátis/dia)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Roda no Haiku, R$0,04 a R$0,17. Constante própria agora (TOKEN_COST.ideas), não mais herdada do roteiro.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Editar no editor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Argumento central contra o concorrente. Não se toca.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grátis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 carrossel completo (40) com folga.</w:t>
            </w:r>
          </w:p>
        </w:tc>
      </w:tr>
    </w:tbl>
    <w:p>
      <w:pPr>
        <w:spacing w:after="120" w:line="300"/>
      </w:pPr>
      <w:r>
        <w:rPr>
          <w:b/>
          <w:bCs/>
          <w:sz w:val="22"/>
          <w:szCs w:val="22"/>
        </w:rPr>
        <w:t xml:space="preserve">Efeito prático: </w:t>
      </w:r>
      <w:r>
        <w:rPr>
          <w:sz w:val="22"/>
          <w:szCs w:val="22"/>
        </w:rPr>
        <w:t xml:space="preserve">o carrossel mais comum (7 slides, só capa) passou de 29 pra 28 tokens, ou seja, ficou MAIS BARATO pro usuário, e mesmo assim a margem subiu, porque o que encareceu foi o modo que ninguém deveria usar em massa (só texto).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Margem real por plano, com o usuário gastando 100% dos tokens</w:t>
      </w:r>
    </w:p>
    <w:p>
      <w:pPr>
        <w:spacing w:after="120" w:line="300"/>
      </w:pPr>
      <w:r>
        <w:rPr>
          <w:i/>
          <w:iCs/>
          <w:sz w:val="22"/>
          <w:szCs w:val="22"/>
        </w:rPr>
        <w:t xml:space="preserve">Taxa de R$1,99 por cobrança (Pix, tabela pública do Asaas) diluída no ciclo. Confirmar as taxas da sua conta muda estes números em 1 a 2 pontos, não mais que isso.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60"/>
      </w:tblGrid>
      <w:tr>
        <w:tc>
          <w:tcPr>
            <w:tcW w:type="dxa" w:w="2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Modo de uso</w:t>
            </w:r>
          </w:p>
        </w:tc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Studio</w:t>
            </w:r>
          </w:p>
        </w:tc>
        <w:tc>
          <w:tcPr>
            <w:tcW w:type="dxa" w:w="16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Piso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MENSAL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capa (28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89%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79%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Completo 7 slides (40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85%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único (29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88%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77%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texto (8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77%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63%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57%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exposto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ANUAL (-30%)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capa (28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84%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Completo 7 slides (40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87%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79%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único (29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83%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73%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68%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texto (8 tk)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68%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48%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3261E"/>
                <w:sz w:val="20"/>
                <w:szCs w:val="20"/>
              </w:rPr>
              <w:t xml:space="preserve">exposto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 única exposição que sobrou, dita com todas as letras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 modo SÓ TEXTO continua sendo o pior negócio da casa: um Studio anual que só gere roteiros, e gaste os 3.000 tokens todo mês, entrega 39% de margem. Isso não é um bug do preço, é o custo do Sonnet escrevendo 375 roteiros por mês por R$105 de API contra R$173 de receita.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Por que não está sendo tratado como emergência: ninguém compra Studio anual pra gerar carrossel sem imagem, e o comportamento real (mistura de modos, uso parcial da cota) fica muito acima disso. É um cenário patológico, não o caso médio.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 que fecha esse furo de vez: o teste cego do escritor. Se Gemini Flash ou Haiku empatarem com o Sonnet na qualidade da copy, o roteiro cai de R$0,28 pra ~R$0,06 e o só-texto passa de 39% pra ~85% sem mexer no preço em token. Você decidiu manter o preço em 8 de qualquer jeito, então o teste só melhora a margem, nunca muda a tabela.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3. O que foi construído hoje</w:t>
      </w:r>
    </w:p>
    <w:p>
      <w:pPr>
        <w:spacing w:after="120" w:line="300"/>
      </w:pPr>
      <w:r>
        <w:rPr>
          <w:sz w:val="22"/>
          <w:szCs w:val="22"/>
        </w:rPr>
        <w:t xml:space="preserve">Tudo abaixo já está no repositório, compilando (build de produção verde) e com typecheck limpo. Nada foi commitado nem aplicado em produção: os dois passos são seus.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3.1 A regra única, agora escrita no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1 token = uma unidade de trabalho da IA. Texto é barato, imagem é cara, editar é grátis. O plano recarrega todo mês; bônus de indicação e tokens avulsos não vencem.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Três baldes: PLANO (recarrega e zera a sobra na renovação), AVULSO (top-up, não vence), BÔNUS (indicação, não vence).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Ordem de consumo: plano, depois avulso, depois bônus. Quem tem plano nunca queima o bônus antes da hora.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Toda entrada e saída vira uma linha em token_transactions, com o saldo de cada balde depois dela.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 débito virou ATÔMICO: uma chamada, uma transação, tudo ou nada. Antes eram 41 chamadas ao banco pra um carrossel completo, e podia debitar pela metade sem registrar em lugar nenhum.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3.2 Entregas, por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67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 que existe agora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Extrato e débito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Migration 0020: tabela token_transactions, os três baldes em users, e as funções apply_tokens (débito atômico), grant_tokens (recarga, só service_role) e refund_tokens (estorno). Os 8 pontos do código que debitavam token foram migrados e agora cada peça grava uma linha com nome e link pra abrir.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Cobrança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lib/billing: uma interface neutra (createCheckout, cancel, parseWebhook) com o Asaas como primeira implementação. O resto do app não sabe qual é o provedor. Trocar amanhã é escrever um arquivo, não reabrir o produto.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Checkout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 botões de /pricing funcionam: abrem o checkout hospedado do Asaas (Pix + cartão, assinatura recorrente). Quem não está logado é mandado pro cadastro e volta direto pro checkout do plano que escolheu.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Webhook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app/api/webhooks/asaas: pagamento confirmado credita o plano e renova; atraso marca a data e dá 5 dias de carência; estorno cancela e recolhe o que sobrou; cancelamento mantém o acesso até o fim do ciclo. Idempotente (o Asaas reenvia).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Renovação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app/api/cron/renovacao: job diário que confere quem passou da data, credita quem pagou sem o webhook ter chegado, e fecha quem cancelou ou estourou a carência. É a rede de segurança que faltava.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Troca de plano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Vale do próximo ciclo, sem pró-rata, e a sobra do plano antigo é preservada como token avulso (que não vence) em vez de evaporar.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Indicação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?ref= do link finalmente é lido: por metadata no cadastro por e-mail, e por cookie de 30 dias no login com Google. O bônus entra como balde separado e vira linha no extrato.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Página de tokens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/dashboard/tokens: os três baldes, a tabela de preços (lida do código, nunca texto solto), o extrato com filtro por mês, o consumo do mês por tipo de peça, e o plano com cancelar por dentro do app. O chip do topo e Configurações agora leem a mesma fonte.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Afiliados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Completo e DESLIGADO, como você pediu: página pública com formulário, aprovação manual em /dashboard/admin/afiliados, painel do afiliado, split na assinatura do Asaas e registro de comissões. Liga com uma variável de ambiente no dia que você decidir.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Limpeza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Cakto saiu do código e dos docs. Não existe mais nenhuma menção a ela no repositório.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4. Afiliados: por que ficou pronto e desligado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Você apontou o problema certo. </w:t>
      </w:r>
      <w:r>
        <w:rPr>
          <w:sz w:val="22"/>
          <w:szCs w:val="22"/>
        </w:rPr>
        <w:t xml:space="preserve">O Asaas não tem programa de afiliados nativo, diferente da Cakto e da Hotmart. O que ele tem é split de pagamento: a comissão é transferida automaticamente, mas só pra uma outra conta Asaas, identificada por um walletId. Ou seja, no caminho automático, todo afiliado seu precisaria abrir conta no Asaas antes de receber o primeiro centavo. Isso é atrito demais pra um programa que ainda vai nascer.</w:t>
      </w:r>
    </w:p>
    <w:p>
      <w:pPr>
        <w:spacing w:after="120" w:line="300"/>
      </w:pPr>
      <w:r>
        <w:rPr>
          <w:sz w:val="22"/>
          <w:szCs w:val="22"/>
        </w:rPr>
        <w:t xml:space="preserve">Por isso o código foi escrito nos dois caminhos: se o afiliado tiver conta Asaas e informar o walletId, o split é automático; se não tiver, a comissão fica acumulada como 'a pagar' e você acerta por Pix quando quiser. O relatório sai pronto nos dois casos.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O que continua em aberto (não implementei chute nenhum): </w:t>
      </w:r>
      <w:r>
        <w:rPr>
          <w:sz w:val="22"/>
          <w:szCs w:val="22"/>
        </w:rPr>
        <w:t xml:space="preserve">o percentual da comissão (está em 25% como valor padrão, editável por afiliado na hora de aprovar), o prazo do cookie (60 dias), e o e-mail de aviso da candidatura, que não existe porque o repositório não tem provedor de e-mail. Enquanto não houver, a fila de candidaturas aparece no painel admin, e a página não promete resposta por e-mail.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5. O que só depende de você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5.1 Ordem de deploy (uma coisa depende da outra)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c>
          <w:tcPr>
            <w:tcW w:type="dxa" w:w="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46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Rodar as migrations em produção, nesta ordem: 0014, 0016, 0020, 0021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SQL Editor do Supabase, como você fez com a 0017 e a 0018. Todas são aditivas: criam tabela e coluna nova, não mexem em dado existente. A 0020 depende da 0014 já estar aplicada.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Criar a chave de API do Asaas e o webhook no painel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Webhook apontando pra /api/webhooks/asaas, com um token que você escolhe. Eventos: PAYMENT_CONFIRMED, PAYMENT_RECEIVED, PAYMENT_OVERDUE, PAYMENT_REFUNDED, PAYMENT_CHARGEBACK_REQUESTED, PAYMENT_SPLIT_DONE, CHECKOUT_PAID, SUBSCRIPTION_DELETED.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Pôr as variáveis na Coolify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ASAAS_API_KEY, ASAAS_ENV=production, ASAAS_WEBHOOK_TOKEN, CRON_SECRET, ADMIN_EMAILS. Todas documentadas em .env.local.example.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Agendar o job diário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chamada por dia em /api/cron/renovacao com o CRON_SECRET no header. É a rede de segurança do webhook.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depois de 1 a 4: ligar a indicação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NEXT_PUBLIC_INDICACAO=1. Até lá o banner fica desligado sozinho em produção, que é o certo: prometer 100 créditos que não existem é o pior dos cenários.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Testar com um pagamento real de R$1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Assinar, ver o token cair, ver a linha no extrato, cancelar. Meia hora que evita descobrir o problema no primeiro cliente.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5.2 Três coisas que eu não consigo fazer sozinho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As taxas reais da sua conta. </w:t>
      </w:r>
      <w:r>
        <w:rPr>
          <w:sz w:val="22"/>
          <w:szCs w:val="22"/>
        </w:rPr>
        <w:t xml:space="preserve">Usei a tabela pública (Pix R$1,99, cartão 2,99% + R$0,49). Seu painel estava deslogado e eu não digito senha. Se a sua conta tiver taxa diferente, me diga que eu refaço a coluna de receita líquida.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Uma chave de sandbox no .env.local. </w:t>
      </w:r>
      <w:r>
        <w:rPr>
          <w:sz w:val="22"/>
          <w:szCs w:val="22"/>
        </w:rPr>
        <w:t xml:space="preserve">Sem ela, o checkout não pode ser testado ponta a ponta em desenvolvimento, só o caminho de erro (que está tratado: o botão avisa que a cobrança não está ativa em vez de quebrar).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As três definições de afiliado. </w:t>
      </w:r>
      <w:r>
        <w:rPr>
          <w:sz w:val="22"/>
          <w:szCs w:val="22"/>
        </w:rPr>
        <w:t xml:space="preserve">Comissão, cookie e como avisar você de uma candidatura nova. O código roda com os padrões, mas a decisão é sua e ela muda o que a página promete.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6. O que eu faria a seguir, se fosse eu decidindo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Rodar as migrations e testar um pagamento de verdade. </w:t>
      </w:r>
      <w:r>
        <w:rPr>
          <w:sz w:val="22"/>
          <w:szCs w:val="22"/>
        </w:rPr>
        <w:t xml:space="preserve">Todo o resto é teoria até uma cobrança fechar o ciclo inteiro: assinar, creditar, aparecer no extrato, renovar.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Fazer o teste cego do escritor. </w:t>
      </w:r>
      <w:r>
        <w:rPr>
          <w:sz w:val="22"/>
          <w:szCs w:val="22"/>
        </w:rPr>
        <w:t xml:space="preserve">É o único item que ainda mexe em margem de forma relevante, e agora ele só pode melhorar: você já fixou o preço em 8 tokens, então trocar o modelo vira lucro, não redesenho de tabela.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Deixar afiliados pra depois do primeiro cliente pagante. </w:t>
      </w:r>
      <w:r>
        <w:rPr>
          <w:sz w:val="22"/>
          <w:szCs w:val="22"/>
        </w:rPr>
        <w:t xml:space="preserve">Programa de afiliado sem produto vendendo é ruído. O código fica esperando, e esperar não custa nada.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Vender tokens avulsos. </w:t>
      </w:r>
      <w:r>
        <w:rPr>
          <w:sz w:val="22"/>
          <w:szCs w:val="22"/>
        </w:rPr>
        <w:t xml:space="preserve">O balde já existe, o extrato já entende, e é a resposta natural pra quem acaba a cota no dia 20. Falta só o produto no checkout, que é meia hora de trabalho quando você quiser.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7. Fontes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Código novo: lib/billing (plans, types, asaas, apply), lib/extrato/queries.ts, lib/afiliados, app/actions/billing.ts, app/api/webhooks/asaas, app/api/cron/renovacao, app/dashboard/tokens, app/afiliados, app/dashboard/afiliados, app/dashboard/admin/afiliados.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Migrations novas: 0020_token_ledger_billing.sql (extrato, baldes, apply/grant/refund_tokens, billing_events) e 0021_afiliados.sql (candidatura, aprovação, comissões).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Asaas: docs.asaas.com, lidos em 22/08 (split de pagamentos, criar assinatura, checkout hospedado, eventos de webhook). Taxas: tabela pública, a confirmar na sua conta.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Custos de API: CUSTOS-IA-MARGEM-rev2.docx e as medições de 22/08 gravadas em generation_usage (Sonnet US$3/15, Haiku US$1/5, nano-banana US$0,039, nano-banana-2 US$0,08, Flux Schnell US$0,003; câmbio R$5,20).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Verificação: build de produção verde, typecheck limpo (os 2 erros que sobram são anteriores a este trabalho, em app/teste e BodyText), 8 testes passando, e as telas conferidas no navegador.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2026-08-22T07:41:57.626Z</dcterms:created>
  <dcterms:modified xsi:type="dcterms:W3CDTF">2026-08-22T07:41:57.627Z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