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 w:after="0"/>
        <w:jc w:val="center"/>
      </w:pPr>
      <w:r>
        <w:rPr>
          <w:rFonts w:ascii="Arial" w:cs="Arial" w:eastAsia="Arial" w:hAnsi="Arial"/>
          <w:b/>
          <w:bCs/>
          <w:color w:val="003366"/>
          <w:sz w:val="72"/>
          <w:szCs w:val="72"/>
        </w:rPr>
        <w:t xml:space="preserve">GUIA DE DESENVOLVIMENTO</w:t>
      </w:r>
    </w:p>
    <w:p>
      <w:pPr>
        <w:spacing w:before="100" w:after="0"/>
        <w:jc w:val="center"/>
      </w:pPr>
      <w:r>
        <w:rPr>
          <w:rFonts w:ascii="Arial" w:cs="Arial" w:eastAsia="Arial" w:hAnsi="Arial"/>
          <w:color w:val="0066CC"/>
          <w:sz w:val="32"/>
          <w:szCs w:val="32"/>
        </w:rPr>
        <w:t xml:space="preserve">Como desenvolver um bom SaaS com IA</w:t>
      </w:r>
    </w:p>
    <w:p>
      <w:pPr>
        <w:spacing w:before="600" w:after="100"/>
        <w:jc w:val="center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Do problema ao sistema funcionando e evoluindo</w:t>
      </w:r>
    </w:p>
    <w:p>
      <w:pPr>
        <w:spacing w:before="100" w:after="10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Versão 1.0  |  2025</w:t>
      </w:r>
    </w:p>
    <w:p>
      <w:r>
        <w:br w:type="page"/>
      </w:r>
    </w:p>
    <w:p>
      <w:pPr>
        <w:pStyle w:val="Heading1"/>
        <w:pBdr>
          <w:bottom w:val="single" w:color="0066CC" w:sz="6" w:space="1"/>
        </w:pBdr>
        <w:spacing w:before="400" w:after="200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Introdução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Este guia define como a IA deve se comportar em todo o processo de desenvolvimento de um SaaS. Ele cobre desde a validação da regra de negócio até a evolução do sistema em produção.</w:t>
      </w:r>
    </w:p>
    <w:p>
      <w:pPr>
        <w:spacing w:before="120" w:after="12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Existem dois arquivos complementares: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Este documento (Word) — referência completa para você ler, entender e consultar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O arquivo ai-dev-guide.md — versão direta para colar no início de cada sessão com a IA</w:t>
      </w:r>
    </w:p>
    <w:p>
      <w:pPr>
        <w:spacing w:before="12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66CC" w:sz="1"/>
              <w:left w:val="single" w:color="0066CC" w:sz="1"/>
              <w:bottom w:val="single" w:color="0066CC" w:sz="1"/>
              <w:right w:val="single" w:color="0066CC" w:sz="1"/>
            </w:tcBorders>
            <w:shd w:fill="E8F0F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0066CC"/>
                <w:sz w:val="22"/>
                <w:szCs w:val="22"/>
              </w:rPr>
              <w:t xml:space="preserve">💡 Como usar</w:t>
            </w:r>
          </w:p>
          <w:p>
            <w:pPr>
              <w:spacing w:before="80" w:after="8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Cole o ai-dev-guide.md no início de toda sessão. A IA lê e já sabe exatamente o que fazer, quais padrões seguir e como chegar nas decisões certas.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66CC" w:sz="6" w:space="1"/>
        </w:pBdr>
        <w:spacing w:before="400" w:after="200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Parte 0 — Pergunta Inicial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Antes de qualquer coisa, a IA faz duas perguntas para entender o ponto de partida correto.</w:t>
      </w:r>
    </w:p>
    <w:p>
      <w:pPr>
        <w:spacing w:before="12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000"/>
        <w:gridCol w:w="2860"/>
      </w:tblGrid>
      <w:tr>
        <w:trPr>
          <w:tblHeader/>
        </w:trPr>
        <w:tc>
          <w:tcPr>
            <w:tcW w:type="dxa" w:w="35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Pergunta</w:t>
            </w:r>
          </w:p>
        </w:tc>
        <w:tc>
          <w:tcPr>
            <w:tcW w:type="dxa" w:w="3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Resposta Sim</w:t>
            </w:r>
          </w:p>
        </w:tc>
        <w:tc>
          <w:tcPr>
            <w:tcW w:type="dxa" w:w="28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Resposta Não</w:t>
            </w:r>
          </w:p>
        </w:tc>
      </w:tr>
      <w:tr>
        <w:tc>
          <w:tcPr>
            <w:tcW w:type="dxa" w:w="3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regra de negócio já está definida?</w:t>
            </w:r>
          </w:p>
        </w:tc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Passe a regra — gero o código diretamente</w:t>
            </w:r>
          </w:p>
        </w:tc>
        <w:tc>
          <w:tcPr>
            <w:tcW w:type="dxa" w:w="28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Passe o que tem — refinamos juntos antes de codar</w:t>
            </w:r>
          </w:p>
        </w:tc>
      </w:tr>
      <w:tr>
        <w:tc>
          <w:tcPr>
            <w:tcW w:type="dxa" w:w="3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Tem contexto do projeto?</w:t>
            </w:r>
          </w:p>
        </w:tc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Cole o CONTEXT.md atualizado</w:t>
            </w:r>
          </w:p>
        </w:tc>
        <w:tc>
          <w:tcPr>
            <w:tcW w:type="dxa" w:w="28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Informe stack e o que já está implementado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Esse passo evita o maior problema do desenvolvimento com IA: gerar código perfeito para o problema errado.</w:t>
      </w:r>
    </w:p>
    <w:p>
      <w:r>
        <w:br w:type="page"/>
      </w:r>
    </w:p>
    <w:p>
      <w:pPr>
        <w:pStyle w:val="Heading1"/>
        <w:pBdr>
          <w:bottom w:val="single" w:color="0066CC" w:sz="6" w:space="1"/>
        </w:pBdr>
        <w:spacing w:before="400" w:after="200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Parte 1 — Validação da Regra de Negócio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Quando a regra não está refinada, a IA faz estas perguntas antes de escrever uma linha de código:</w:t>
      </w:r>
    </w:p>
    <w:p>
      <w:pPr>
        <w:spacing w:before="12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Pergunta</w:t>
            </w:r>
          </w:p>
        </w:tc>
        <w:tc>
          <w:tcPr>
            <w:tcW w:type="dxa" w:w="58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Por que é importante</w:t>
            </w:r>
          </w:p>
        </w:tc>
      </w:tr>
      <w:tr>
        <w:tc>
          <w:tcPr>
            <w:tcW w:type="dxa" w:w="3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Qual problema isso resolve para o usuário?</w:t>
            </w:r>
          </w:p>
        </w:tc>
        <w:tc>
          <w:tcPr>
            <w:tcW w:type="dxa" w:w="58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Garante que estamos resolvendo o problema real, não um sintoma</w:t>
            </w:r>
          </w:p>
        </w:tc>
      </w:tr>
      <w:tr>
        <w:tc>
          <w:tcPr>
            <w:tcW w:type="dxa" w:w="3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Quem usa essa funcionalidade?</w:t>
            </w:r>
          </w:p>
        </w:tc>
        <w:tc>
          <w:tcPr>
            <w:tcW w:type="dxa" w:w="58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Define o perfil, as permissões e o fluxo correto</w:t>
            </w:r>
          </w:p>
        </w:tc>
      </w:tr>
      <w:tr>
        <w:tc>
          <w:tcPr>
            <w:tcW w:type="dxa" w:w="3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que acontece quando dá errado?</w:t>
            </w:r>
          </w:p>
        </w:tc>
        <w:tc>
          <w:tcPr>
            <w:tcW w:type="dxa" w:w="58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Garante tratamento de todos os casos de erro</w:t>
            </w:r>
          </w:p>
        </w:tc>
      </w:tr>
      <w:tr>
        <w:tc>
          <w:tcPr>
            <w:tcW w:type="dxa" w:w="3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Tem exceções ou casos especiais?</w:t>
            </w:r>
          </w:p>
        </w:tc>
        <w:tc>
          <w:tcPr>
            <w:tcW w:type="dxa" w:w="58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Evita surpresas depois que o código está pronto</w:t>
            </w:r>
          </w:p>
        </w:tc>
      </w:tr>
      <w:tr>
        <w:tc>
          <w:tcPr>
            <w:tcW w:type="dxa" w:w="3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Como o usuário sabe que funcionou?</w:t>
            </w:r>
          </w:p>
        </w:tc>
        <w:tc>
          <w:tcPr>
            <w:tcW w:type="dxa" w:w="58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Define o feedback visual necessário</w:t>
            </w:r>
          </w:p>
        </w:tc>
      </w:tr>
      <w:tr>
        <w:tc>
          <w:tcPr>
            <w:tcW w:type="dxa" w:w="3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Essa feature se conecta com outra?</w:t>
            </w:r>
          </w:p>
        </w:tc>
        <w:tc>
          <w:tcPr>
            <w:tcW w:type="dxa" w:w="58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Evita quebrar features existentes</w:t>
            </w:r>
          </w:p>
        </w:tc>
      </w:tr>
    </w:tbl>
    <w:p>
      <w:pPr>
        <w:spacing w:before="12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2400E" w:sz="1"/>
              <w:left w:val="single" w:color="92400E" w:sz="1"/>
              <w:bottom w:val="single" w:color="92400E" w:sz="1"/>
              <w:right w:val="single" w:color="92400E" w:sz="1"/>
            </w:tcBorders>
            <w:shd w:fill="FFFBE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92400E"/>
                <w:sz w:val="22"/>
                <w:szCs w:val="22"/>
              </w:rPr>
              <w:t xml:space="preserve">⚠️ Regra fundamental</w:t>
            </w:r>
          </w:p>
          <w:p>
            <w:pPr>
              <w:spacing w:before="80" w:after="8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Só avançar para o código quando a regra estiver clara. Código gerado com regra ambígua gera retrabalho garantido.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66CC" w:sz="6" w:space="1"/>
        </w:pBdr>
        <w:spacing w:before="400" w:after="200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Parte 2 — Decisões de Stack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Para cada tecnologia variável, a IA faz as perguntas certas e chegamos juntos na escolha certa. Nunca assume — sempre pergunta e explica os critérios.</w:t>
      </w:r>
    </w:p>
    <w:p>
      <w:pPr>
        <w:spacing w:before="120" w:after="120"/>
      </w:pPr>
      <w: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0066CC"/>
          <w:sz w:val="28"/>
          <w:szCs w:val="28"/>
        </w:rPr>
        <w:t xml:space="preserve">2.1 Autenticação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930"/>
        <w:gridCol w:w="2930"/>
      </w:tblGrid>
      <w:tr>
        <w:trPr>
          <w:tblHeader/>
        </w:trPr>
        <w:tc>
          <w:tcPr>
            <w:tcW w:type="dxa" w:w="35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293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Supabase Auth</w:t>
            </w:r>
          </w:p>
        </w:tc>
        <w:tc>
          <w:tcPr>
            <w:tcW w:type="dxa" w:w="293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Clerk</w:t>
            </w:r>
          </w:p>
        </w:tc>
      </w:tr>
      <w:tr>
        <w:tc>
          <w:tcPr>
            <w:tcW w:type="dxa" w:w="3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Dados sensíveis ou acesso corporativo</w:t>
            </w:r>
          </w:p>
        </w:tc>
        <w:tc>
          <w:tcPr>
            <w:tcW w:type="dxa" w:w="293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293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3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Múltiplos dispositivos por usuário</w:t>
            </w:r>
          </w:p>
        </w:tc>
        <w:tc>
          <w:tcPr>
            <w:tcW w:type="dxa" w:w="293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 é requisito</w:t>
            </w:r>
          </w:p>
        </w:tc>
        <w:tc>
          <w:tcPr>
            <w:tcW w:type="dxa" w:w="293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É requisito</w:t>
            </w:r>
          </w:p>
        </w:tc>
      </w:tr>
      <w:tr>
        <w:tc>
          <w:tcPr>
            <w:tcW w:type="dxa" w:w="3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Device tracking e aprovação de máquinas</w:t>
            </w:r>
          </w:p>
        </w:tc>
        <w:tc>
          <w:tcPr>
            <w:tcW w:type="dxa" w:w="293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 precisa</w:t>
            </w:r>
          </w:p>
        </w:tc>
        <w:tc>
          <w:tcPr>
            <w:tcW w:type="dxa" w:w="293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Precisa</w:t>
            </w:r>
          </w:p>
        </w:tc>
      </w:tr>
      <w:tr>
        <w:tc>
          <w:tcPr>
            <w:tcW w:type="dxa" w:w="3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MFA como diferencial de segurança</w:t>
            </w:r>
          </w:p>
        </w:tc>
        <w:tc>
          <w:tcPr>
            <w:tcW w:type="dxa" w:w="293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293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3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Custo</w:t>
            </w:r>
          </w:p>
        </w:tc>
        <w:tc>
          <w:tcPr>
            <w:tcW w:type="dxa" w:w="293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Incluso no Supabase</w:t>
            </w:r>
          </w:p>
        </w:tc>
        <w:tc>
          <w:tcPr>
            <w:tcW w:type="dxa" w:w="293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 até 10k MAU / Pro $25/mês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0066CC"/>
          <w:sz w:val="28"/>
          <w:szCs w:val="28"/>
        </w:rPr>
        <w:t xml:space="preserve">2.2 Banco de Dados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20"/>
        <w:gridCol w:w="2120"/>
        <w:gridCol w:w="2120"/>
      </w:tblGrid>
      <w:tr>
        <w:trPr>
          <w:tblHeader/>
        </w:trPr>
        <w:tc>
          <w:tcPr>
            <w:tcW w:type="dxa" w:w="3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212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Supabase</w:t>
            </w:r>
          </w:p>
        </w:tc>
        <w:tc>
          <w:tcPr>
            <w:tcW w:type="dxa" w:w="212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NeonDB</w:t>
            </w:r>
          </w:p>
        </w:tc>
        <w:tc>
          <w:tcPr>
            <w:tcW w:type="dxa" w:w="212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PlanetScale</w:t>
            </w:r>
          </w:p>
        </w:tc>
      </w:tr>
      <w:tr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Realtime + Storage + Auth integrados</w:t>
            </w:r>
          </w:p>
        </w:tc>
        <w:tc>
          <w:tcPr>
            <w:tcW w:type="dxa" w:w="212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212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212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Escala esperada inicial</w:t>
            </w:r>
          </w:p>
        </w:tc>
        <w:tc>
          <w:tcPr>
            <w:tcW w:type="dxa" w:w="212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Qualquer</w:t>
            </w:r>
          </w:p>
        </w:tc>
        <w:tc>
          <w:tcPr>
            <w:tcW w:type="dxa" w:w="212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Qualquer</w:t>
            </w:r>
          </w:p>
        </w:tc>
        <w:tc>
          <w:tcPr>
            <w:tcW w:type="dxa" w:w="212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Custo produção</w:t>
            </w:r>
          </w:p>
        </w:tc>
        <w:tc>
          <w:tcPr>
            <w:tcW w:type="dxa" w:w="212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$25/mês/projeto</w:t>
            </w:r>
          </w:p>
        </w:tc>
        <w:tc>
          <w:tcPr>
            <w:tcW w:type="dxa" w:w="212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$19/mês</w:t>
            </w:r>
          </w:p>
        </w:tc>
        <w:tc>
          <w:tcPr>
            <w:tcW w:type="dxa" w:w="212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$39/mês+</w:t>
            </w:r>
          </w:p>
        </w:tc>
      </w:tr>
      <w:tr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Complexidade de setup</w:t>
            </w:r>
          </w:p>
        </w:tc>
        <w:tc>
          <w:tcPr>
            <w:tcW w:type="dxa" w:w="212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Baixa</w:t>
            </w:r>
          </w:p>
        </w:tc>
        <w:tc>
          <w:tcPr>
            <w:tcW w:type="dxa" w:w="212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Baixa</w:t>
            </w:r>
          </w:p>
        </w:tc>
        <w:tc>
          <w:tcPr>
            <w:tcW w:type="dxa" w:w="212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Média</w:t>
            </w:r>
          </w:p>
        </w:tc>
      </w:tr>
    </w:tbl>
    <w:p>
      <w:pPr>
        <w:spacing w:before="12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2400E" w:sz="1"/>
              <w:left w:val="single" w:color="92400E" w:sz="1"/>
              <w:bottom w:val="single" w:color="92400E" w:sz="1"/>
              <w:right w:val="single" w:color="92400E" w:sz="1"/>
            </w:tcBorders>
            <w:shd w:fill="FFFBE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92400E"/>
                <w:sz w:val="22"/>
                <w:szCs w:val="22"/>
              </w:rPr>
              <w:t xml:space="preserve">⚠️ Atenção Supabase</w:t>
            </w:r>
          </w:p>
          <w:p>
            <w:pPr>
              <w:spacing w:before="80" w:after="8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Plano gratuito pausa projetos após 1 semana sem uso. Cada produto em produção = 1 projeto Pro = $25/mês.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0066CC"/>
          <w:sz w:val="28"/>
          <w:szCs w:val="28"/>
        </w:rPr>
        <w:t xml:space="preserve">2.3 Billing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360"/>
      </w:tblGrid>
      <w:tr>
        <w:trPr>
          <w:tblHeader/>
        </w:trPr>
        <w:tc>
          <w:tcPr>
            <w:tcW w:type="dxa" w:w="2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Modelo</w:t>
            </w:r>
          </w:p>
        </w:tc>
        <w:tc>
          <w:tcPr>
            <w:tcW w:type="dxa" w:w="3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Quando usar</w:t>
            </w:r>
          </w:p>
        </w:tc>
        <w:tc>
          <w:tcPr>
            <w:tcW w:type="dxa" w:w="43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Como funciona</w:t>
            </w:r>
          </w:p>
        </w:tc>
      </w:tr>
      <w:tr>
        <w:tc>
          <w:tcPr>
            <w:tcW w:type="dxa" w:w="2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Sem billing</w:t>
            </w:r>
          </w:p>
        </w:tc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Produto gratuito</w:t>
            </w:r>
          </w:p>
        </w:tc>
        <w:tc>
          <w:tcPr>
            <w:tcW w:type="dxa" w:w="4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(padrão)</w:t>
            </w:r>
          </w:p>
        </w:tc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Início de todo produto com cobrança</w:t>
            </w:r>
          </w:p>
        </w:tc>
        <w:tc>
          <w:tcPr>
            <w:tcW w:type="dxa" w:w="4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 confirma pagamento no painel. Zero integração externa.</w:t>
            </w:r>
          </w:p>
        </w:tc>
      </w:tr>
      <w:tr>
        <w:tc>
          <w:tcPr>
            <w:tcW w:type="dxa" w:w="2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Stripe</w:t>
            </w:r>
          </w:p>
        </w:tc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Quando o volume justificar — internacional</w:t>
            </w:r>
          </w:p>
        </w:tc>
        <w:tc>
          <w:tcPr>
            <w:tcW w:type="dxa" w:w="4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Checkout automático, webhook ativa o tenant</w:t>
            </w:r>
          </w:p>
        </w:tc>
      </w:tr>
      <w:tr>
        <w:tc>
          <w:tcPr>
            <w:tcW w:type="dxa" w:w="2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Asaas</w:t>
            </w:r>
          </w:p>
        </w:tc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Quando o volume justificar — Brasil</w:t>
            </w:r>
          </w:p>
        </w:tc>
        <w:tc>
          <w:tcPr>
            <w:tcW w:type="dxa" w:w="4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PIX, boleto, cartão. Webhook ativa o tenant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Regra: tudo dentro do próprio SaaS, sem serviço separado. Migrar de manual para gateway = trocar variável de ambiente PAYMENT_PROVIDER. Zero refatoração.</w:t>
      </w:r>
    </w:p>
    <w:p>
      <w:pPr>
        <w:spacing w:before="120" w:after="120"/>
      </w:pPr>
      <w: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0066CC"/>
          <w:sz w:val="28"/>
          <w:szCs w:val="28"/>
        </w:rPr>
        <w:t xml:space="preserve">2.4 Storage, Notificações, Deploy e Logs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2500"/>
        <w:gridCol w:w="1860"/>
      </w:tblGrid>
      <w:tr>
        <w:trPr>
          <w:tblHeader/>
        </w:trPr>
        <w:tc>
          <w:tcPr>
            <w:tcW w:type="dxa" w:w="25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Decisão</w:t>
            </w:r>
          </w:p>
        </w:tc>
        <w:tc>
          <w:tcPr>
            <w:tcW w:type="dxa" w:w="25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Opção padrão</w:t>
            </w:r>
          </w:p>
        </w:tc>
        <w:tc>
          <w:tcPr>
            <w:tcW w:type="dxa" w:w="25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Quando mudar</w:t>
            </w:r>
          </w:p>
        </w:tc>
        <w:tc>
          <w:tcPr>
            <w:tcW w:type="dxa" w:w="18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Custo referência</w:t>
            </w:r>
          </w:p>
        </w:tc>
      </w:tr>
      <w:tr>
        <w:tc>
          <w:tcPr>
            <w:tcW w:type="dxa" w:w="2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Storage</w:t>
            </w:r>
          </w:p>
        </w:tc>
        <w:tc>
          <w:tcPr>
            <w:tcW w:type="dxa" w:w="2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 Storage</w:t>
            </w:r>
          </w:p>
        </w:tc>
        <w:tc>
          <w:tcPr>
            <w:tcW w:type="dxa" w:w="2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Precisa transformar imagens → Cloudinary</w:t>
            </w:r>
          </w:p>
        </w:tc>
        <w:tc>
          <w:tcPr>
            <w:tcW w:type="dxa" w:w="18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Incluso / Free 25GB</w:t>
            </w:r>
          </w:p>
        </w:tc>
      </w:tr>
      <w:tr>
        <w:tc>
          <w:tcPr>
            <w:tcW w:type="dxa" w:w="2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</w:t>
            </w:r>
          </w:p>
        </w:tc>
        <w:tc>
          <w:tcPr>
            <w:tcW w:type="dxa" w:w="2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Resend</w:t>
            </w:r>
          </w:p>
        </w:tc>
        <w:tc>
          <w:tcPr>
            <w:tcW w:type="dxa" w:w="2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 3k/mês</w:t>
            </w:r>
          </w:p>
        </w:tc>
      </w:tr>
      <w:tr>
        <w:tc>
          <w:tcPr>
            <w:tcW w:type="dxa" w:w="2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In-app</w:t>
            </w:r>
          </w:p>
        </w:tc>
        <w:tc>
          <w:tcPr>
            <w:tcW w:type="dxa" w:w="2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 Realtime</w:t>
            </w:r>
          </w:p>
        </w:tc>
        <w:tc>
          <w:tcPr>
            <w:tcW w:type="dxa" w:w="2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Incluso</w:t>
            </w:r>
          </w:p>
        </w:tc>
      </w:tr>
      <w:tr>
        <w:tc>
          <w:tcPr>
            <w:tcW w:type="dxa" w:w="2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Multi-canal</w:t>
            </w:r>
          </w:p>
        </w:tc>
        <w:tc>
          <w:tcPr>
            <w:tcW w:type="dxa" w:w="2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Adiciona Novu</w:t>
            </w:r>
          </w:p>
        </w:tc>
        <w:tc>
          <w:tcPr>
            <w:tcW w:type="dxa" w:w="2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Quando precisar de SMS/WhatsApp/Push</w:t>
            </w:r>
          </w:p>
        </w:tc>
        <w:tc>
          <w:tcPr>
            <w:tcW w:type="dxa" w:w="18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 30k eventos</w:t>
            </w:r>
          </w:p>
        </w:tc>
      </w:tr>
      <w:tr>
        <w:tc>
          <w:tcPr>
            <w:tcW w:type="dxa" w:w="2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Deploy</w:t>
            </w:r>
          </w:p>
        </w:tc>
        <w:tc>
          <w:tcPr>
            <w:tcW w:type="dxa" w:w="2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Vercel Pro</w:t>
            </w:r>
          </w:p>
        </w:tc>
        <w:tc>
          <w:tcPr>
            <w:tcW w:type="dxa" w:w="2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Reduzir custo → Coolify + Hetzner</w:t>
            </w:r>
          </w:p>
        </w:tc>
        <w:tc>
          <w:tcPr>
            <w:tcW w:type="dxa" w:w="18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$20/mês / ~$5/mês</w:t>
            </w:r>
          </w:p>
        </w:tc>
      </w:tr>
      <w:tr>
        <w:tc>
          <w:tcPr>
            <w:tcW w:type="dxa" w:w="2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Logs destino</w:t>
            </w:r>
          </w:p>
        </w:tc>
        <w:tc>
          <w:tcPr>
            <w:tcW w:type="dxa" w:w="2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Vercel Logs</w:t>
            </w:r>
          </w:p>
        </w:tc>
        <w:tc>
          <w:tcPr>
            <w:tcW w:type="dxa" w:w="2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Precisar de dashboards → Axiom</w:t>
            </w:r>
          </w:p>
        </w:tc>
        <w:tc>
          <w:tcPr>
            <w:tcW w:type="dxa" w:w="18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Incluso / Free 500GB</w:t>
            </w:r>
          </w:p>
        </w:tc>
      </w:tr>
      <w:tr>
        <w:tc>
          <w:tcPr>
            <w:tcW w:type="dxa" w:w="2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Erros</w:t>
            </w:r>
          </w:p>
        </w:tc>
        <w:tc>
          <w:tcPr>
            <w:tcW w:type="dxa" w:w="2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Sentry</w:t>
            </w:r>
          </w:p>
        </w:tc>
        <w:tc>
          <w:tcPr>
            <w:tcW w:type="dxa" w:w="2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Volume alto → GlitchTip self-hosted</w:t>
            </w:r>
          </w:p>
        </w:tc>
        <w:tc>
          <w:tcPr>
            <w:tcW w:type="dxa" w:w="18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 com limites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66CC" w:sz="6" w:space="1"/>
        </w:pBdr>
        <w:spacing w:before="400" w:after="200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Parte 3 — Feature-Based Architecture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Todo projeto segue esta arquitetura. Não há exceções. A IA nunca cria arquivo monolito, nunca mistura responsabilidades, nunca coloca lógica dentro de page.tsx.</w:t>
      </w:r>
    </w:p>
    <w:p>
      <w:pPr>
        <w:spacing w:before="120" w:after="120"/>
      </w:pPr>
      <w: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0066CC"/>
          <w:sz w:val="28"/>
          <w:szCs w:val="28"/>
        </w:rPr>
        <w:t xml:space="preserve">3.1 Estrutura de pastas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E1E2E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src/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├── app/                    → SÓ arquivos de rota Next.js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│   ├── (auth)/             → /login /register /invite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│   ├── (system)/           → /system/*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│   ├── (seller)/           → /seller/*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│   └── (tenant)/           → /dashboard /settings /*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├── features/               → TODA a lógica do produto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│   └── [feature]/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│       ├── components/     → UI da feature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│       ├── hooks/          → TanStack Query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│       ├── actions.ts      → Server Actions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│       ├── schemas.ts      → Zod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│       └── types.ts        → TypeScript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├── lib/                    → infraestrutura compartilhada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│   ├── db/schema/          → Drizzle (1 arquivo por entidade)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│   ├── auth/context.ts     → getAuthContext()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│   ├── casl/ability.ts     → permissões dinâmicas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│   ├── audit/index.ts      → auditLog()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│   ├── email/              → funções Resend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│   ├── billing/            → cliente + webhook handler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│   └── logger.ts           → Pino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└── components/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├── ui/                 → Shadcn/UI — nunca editar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└── shared/             → componentes reutilizáveis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0066CC"/>
          <w:sz w:val="28"/>
          <w:szCs w:val="28"/>
        </w:rPr>
        <w:t xml:space="preserve">3.2 Regras absolutas da arquitetura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Regra</w:t>
            </w:r>
          </w:p>
        </w:tc>
        <w:tc>
          <w:tcPr>
            <w:tcW w:type="dxa" w:w="3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Correto</w:t>
            </w:r>
          </w:p>
        </w:tc>
        <w:tc>
          <w:tcPr>
            <w:tcW w:type="dxa" w:w="33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Errado</w:t>
            </w:r>
          </w:p>
        </w:tc>
      </w:tr>
      <w:tr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app/ só tem arquivos de rota</w:t>
            </w:r>
          </w:p>
        </w:tc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page.tsx, layout.tsx, loading.tsx</w:t>
            </w:r>
          </w:p>
        </w:tc>
        <w:tc>
          <w:tcPr>
            <w:tcW w:type="dxa" w:w="3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Lógica, queries, componentes</w:t>
            </w:r>
          </w:p>
        </w:tc>
      </w:tr>
      <w:tr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page.tsx não tem lógica</w:t>
            </w:r>
          </w:p>
        </w:tc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 de features/</w:t>
            </w:r>
          </w:p>
        </w:tc>
        <w:tc>
          <w:tcPr>
            <w:tcW w:type="dxa" w:w="3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Busca banco, processa dados</w:t>
            </w:r>
          </w:p>
        </w:tc>
      </w:tr>
      <w:tr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Features são independentes</w:t>
            </w:r>
          </w:p>
        </w:tc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 só de lib/</w:t>
            </w:r>
          </w:p>
        </w:tc>
        <w:tc>
          <w:tcPr>
            <w:tcW w:type="dxa" w:w="3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 de outra feature</w:t>
            </w:r>
          </w:p>
        </w:tc>
      </w:tr>
      <w:tr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responsabilidade por arquivo</w:t>
            </w:r>
          </w:p>
        </w:tc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actions.ts só tem actions</w:t>
            </w:r>
          </w:p>
        </w:tc>
        <w:tc>
          <w:tcPr>
            <w:tcW w:type="dxa" w:w="3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actions.ts + componentes + queries</w:t>
            </w:r>
          </w:p>
        </w:tc>
      </w:tr>
      <w:tr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Limite de tamanho</w:t>
            </w:r>
          </w:p>
        </w:tc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Máx 200 linhas por arquivo</w:t>
            </w:r>
          </w:p>
        </w:tc>
        <w:tc>
          <w:tcPr>
            <w:tcW w:type="dxa" w:w="3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Arquivo monolito de 500+ linhas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66CC" w:sz="6" w:space="1"/>
        </w:pBdr>
        <w:spacing w:before="400" w:after="200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Parte 4 — Organização de Rotas</w:t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0066CC"/>
          <w:sz w:val="28"/>
          <w:szCs w:val="28"/>
        </w:rPr>
        <w:t xml:space="preserve">4.1 Grupos e responsabilidades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500"/>
        <w:gridCol w:w="2860"/>
      </w:tblGrid>
      <w:tr>
        <w:trPr>
          <w:tblHeader/>
        </w:trPr>
        <w:tc>
          <w:tcPr>
            <w:tcW w:type="dxa" w:w="2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Grupo</w:t>
            </w:r>
          </w:p>
        </w:tc>
        <w:tc>
          <w:tcPr>
            <w:tcW w:type="dxa" w:w="45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 resultante</w:t>
            </w:r>
          </w:p>
        </w:tc>
        <w:tc>
          <w:tcPr>
            <w:tcW w:type="dxa" w:w="28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Acesso</w:t>
            </w:r>
          </w:p>
        </w:tc>
      </w:tr>
      <w:tr>
        <w:tc>
          <w:tcPr>
            <w:tcW w:type="dxa" w:w="2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(auth)</w:t>
            </w:r>
          </w:p>
        </w:tc>
        <w:tc>
          <w:tcPr>
            <w:tcW w:type="dxa" w:w="4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 login, /register, /invite/[token]</w:t>
            </w:r>
          </w:p>
        </w:tc>
        <w:tc>
          <w:tcPr>
            <w:tcW w:type="dxa" w:w="28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Público</w:t>
            </w:r>
          </w:p>
        </w:tc>
      </w:tr>
      <w:tr>
        <w:tc>
          <w:tcPr>
            <w:tcW w:type="dxa" w:w="2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(system)</w:t>
            </w:r>
          </w:p>
        </w:tc>
        <w:tc>
          <w:tcPr>
            <w:tcW w:type="dxa" w:w="4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 system/*</w:t>
            </w:r>
          </w:p>
        </w:tc>
        <w:tc>
          <w:tcPr>
            <w:tcW w:type="dxa" w:w="28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role = system</w:t>
            </w:r>
          </w:p>
        </w:tc>
      </w:tr>
      <w:tr>
        <w:tc>
          <w:tcPr>
            <w:tcW w:type="dxa" w:w="2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(seller)</w:t>
            </w:r>
          </w:p>
        </w:tc>
        <w:tc>
          <w:tcPr>
            <w:tcW w:type="dxa" w:w="4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 seller/*</w:t>
            </w:r>
          </w:p>
        </w:tc>
        <w:tc>
          <w:tcPr>
            <w:tcW w:type="dxa" w:w="28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role = seller</w:t>
            </w:r>
          </w:p>
        </w:tc>
      </w:tr>
      <w:tr>
        <w:tc>
          <w:tcPr>
            <w:tcW w:type="dxa" w:w="2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(tenant)</w:t>
            </w:r>
          </w:p>
        </w:tc>
        <w:tc>
          <w:tcPr>
            <w:tcW w:type="dxa" w:w="4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 [slug]/dashboard, /settings, /[feature]</w:t>
            </w:r>
          </w:p>
        </w:tc>
        <w:tc>
          <w:tcPr>
            <w:tcW w:type="dxa" w:w="28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role = admin ou user</w:t>
            </w:r>
          </w:p>
        </w:tc>
      </w:tr>
      <w:tr>
        <w:tc>
          <w:tcPr>
            <w:tcW w:type="dxa" w:w="2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</w:t>
            </w:r>
          </w:p>
        </w:tc>
        <w:tc>
          <w:tcPr>
            <w:tcW w:type="dxa" w:w="4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 api/billing/webhook, /api/auth/*</w:t>
            </w:r>
          </w:p>
        </w:tc>
        <w:tc>
          <w:tcPr>
            <w:tcW w:type="dxa" w:w="28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Interno / webhooks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0066CC"/>
          <w:sz w:val="28"/>
          <w:szCs w:val="28"/>
        </w:rPr>
        <w:t xml:space="preserve">4.2 Convenção de nomes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3860"/>
      </w:tblGrid>
      <w:tr>
        <w:trPr>
          <w:tblHeader/>
        </w:trPr>
        <w:tc>
          <w:tcPr>
            <w:tcW w:type="dxa" w:w="25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3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Padrão</w:t>
            </w:r>
          </w:p>
        </w:tc>
        <w:tc>
          <w:tcPr>
            <w:tcW w:type="dxa" w:w="38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tcW w:type="dxa" w:w="2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Pastas de rota</w:t>
            </w:r>
          </w:p>
        </w:tc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kebab-case</w:t>
            </w:r>
          </w:p>
        </w:tc>
        <w:tc>
          <w:tcPr>
            <w:tcW w:type="dxa" w:w="38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churn-alerts/</w:t>
            </w:r>
          </w:p>
        </w:tc>
      </w:tr>
      <w:tr>
        <w:tc>
          <w:tcPr>
            <w:tcW w:type="dxa" w:w="2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Arquivos de componente</w:t>
            </w:r>
          </w:p>
        </w:tc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kebab-case</w:t>
            </w:r>
          </w:p>
        </w:tc>
        <w:tc>
          <w:tcPr>
            <w:tcW w:type="dxa" w:w="38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product-list.tsx</w:t>
            </w:r>
          </w:p>
        </w:tc>
      </w:tr>
      <w:tr>
        <w:tc>
          <w:tcPr>
            <w:tcW w:type="dxa" w:w="2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Nomes de componente</w:t>
            </w:r>
          </w:p>
        </w:tc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PascalCase</w:t>
            </w:r>
          </w:p>
        </w:tc>
        <w:tc>
          <w:tcPr>
            <w:tcW w:type="dxa" w:w="38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ProductList</w:t>
            </w:r>
          </w:p>
        </w:tc>
      </w:tr>
      <w:tr>
        <w:tc>
          <w:tcPr>
            <w:tcW w:type="dxa" w:w="2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Hooks</w:t>
            </w:r>
          </w:p>
        </w:tc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camelCase com use</w:t>
            </w:r>
          </w:p>
        </w:tc>
        <w:tc>
          <w:tcPr>
            <w:tcW w:type="dxa" w:w="38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useProducts</w:t>
            </w:r>
          </w:p>
        </w:tc>
      </w:tr>
      <w:tr>
        <w:tc>
          <w:tcPr>
            <w:tcW w:type="dxa" w:w="2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 Actions</w:t>
            </w:r>
          </w:p>
        </w:tc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camelCase</w:t>
            </w:r>
          </w:p>
        </w:tc>
        <w:tc>
          <w:tcPr>
            <w:tcW w:type="dxa" w:w="38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createProduct</w:t>
            </w:r>
          </w:p>
        </w:tc>
      </w:tr>
      <w:tr>
        <w:tc>
          <w:tcPr>
            <w:tcW w:type="dxa" w:w="2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Schemas Zod</w:t>
            </w:r>
          </w:p>
        </w:tc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camelCase + Schema</w:t>
            </w:r>
          </w:p>
        </w:tc>
        <w:tc>
          <w:tcPr>
            <w:tcW w:type="dxa" w:w="38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createProductSchema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66CC" w:sz="6" w:space="1"/>
        </w:pBdr>
        <w:spacing w:before="400" w:after="200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Parte 5 — Processo de Desenvolvimento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Todo desenvolvimento segue os 8 passos abaixo, nesta ordem, sem exceção. Cada passo depende do anterior.</w:t>
      </w:r>
    </w:p>
    <w:p>
      <w:pPr>
        <w:spacing w:before="12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500"/>
        <w:gridCol w:w="5060"/>
      </w:tblGrid>
      <w:tr>
        <w:trPr>
          <w:tblHeader/>
        </w:trPr>
        <w:tc>
          <w:tcPr>
            <w:tcW w:type="dxa" w:w="8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Passo</w:t>
            </w:r>
          </w:p>
        </w:tc>
        <w:tc>
          <w:tcPr>
            <w:tcW w:type="dxa" w:w="35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  <w:tc>
          <w:tcPr>
            <w:tcW w:type="dxa" w:w="50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Arquivo</w:t>
            </w:r>
          </w:p>
        </w:tc>
      </w:tr>
      <w:tr>
        <w:tc>
          <w:tcPr>
            <w:tcW w:type="dxa" w:w="8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Schema</w:t>
            </w:r>
          </w:p>
        </w:tc>
        <w:tc>
          <w:tcPr>
            <w:tcW w:type="dxa" w:w="3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Estrutura no banco com companyId e índices</w:t>
            </w:r>
          </w:p>
        </w:tc>
        <w:tc>
          <w:tcPr>
            <w:tcW w:type="dxa" w:w="50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src/lib/db/schema/[entidade].ts</w:t>
            </w:r>
          </w:p>
        </w:tc>
      </w:tr>
      <w:tr>
        <w:tc>
          <w:tcPr>
            <w:tcW w:type="dxa" w:w="8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 Migration</w:t>
            </w:r>
          </w:p>
        </w:tc>
        <w:tc>
          <w:tcPr>
            <w:tcW w:type="dxa" w:w="3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Gerar e aplicar</w:t>
            </w:r>
          </w:p>
        </w:tc>
        <w:tc>
          <w:tcPr>
            <w:tcW w:type="dxa" w:w="50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drizzle-kit generate &amp;&amp; migrate</w:t>
            </w:r>
          </w:p>
        </w:tc>
      </w:tr>
      <w:tr>
        <w:tc>
          <w:tcPr>
            <w:tcW w:type="dxa" w:w="8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 Types</w:t>
            </w:r>
          </w:p>
        </w:tc>
        <w:tc>
          <w:tcPr>
            <w:tcW w:type="dxa" w:w="3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Inferir do schema Drizzle</w:t>
            </w:r>
          </w:p>
        </w:tc>
        <w:tc>
          <w:tcPr>
            <w:tcW w:type="dxa" w:w="50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src/features/[f]/types.ts</w:t>
            </w:r>
          </w:p>
        </w:tc>
      </w:tr>
      <w:tr>
        <w:tc>
          <w:tcPr>
            <w:tcW w:type="dxa" w:w="8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4. Zod</w:t>
            </w:r>
          </w:p>
        </w:tc>
        <w:tc>
          <w:tcPr>
            <w:tcW w:type="dxa" w:w="3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Validações com mensagens em PT-BR</w:t>
            </w:r>
          </w:p>
        </w:tc>
        <w:tc>
          <w:tcPr>
            <w:tcW w:type="dxa" w:w="50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src/features/[f]/schemas.ts</w:t>
            </w:r>
          </w:p>
        </w:tc>
      </w:tr>
      <w:tr>
        <w:tc>
          <w:tcPr>
            <w:tcW w:type="dxa" w:w="8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5. Actions</w:t>
            </w:r>
          </w:p>
        </w:tc>
        <w:tc>
          <w:tcPr>
            <w:tcW w:type="dxa" w:w="3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 Actions com segurança completa</w:t>
            </w:r>
          </w:p>
        </w:tc>
        <w:tc>
          <w:tcPr>
            <w:tcW w:type="dxa" w:w="50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src/features/[f]/actions.ts</w:t>
            </w:r>
          </w:p>
        </w:tc>
      </w:tr>
      <w:tr>
        <w:tc>
          <w:tcPr>
            <w:tcW w:type="dxa" w:w="8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6. Hooks</w:t>
            </w:r>
          </w:p>
        </w:tc>
        <w:tc>
          <w:tcPr>
            <w:tcW w:type="dxa" w:w="3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TanStack Query com query keys</w:t>
            </w:r>
          </w:p>
        </w:tc>
        <w:tc>
          <w:tcPr>
            <w:tcW w:type="dxa" w:w="50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src/features/[f]/hooks/</w:t>
            </w:r>
          </w:p>
        </w:tc>
      </w:tr>
      <w:tr>
        <w:tc>
          <w:tcPr>
            <w:tcW w:type="dxa" w:w="8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7. UI</w:t>
            </w:r>
          </w:p>
        </w:tc>
        <w:tc>
          <w:tcPr>
            <w:tcW w:type="dxa" w:w="3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Componentes com 3 estados obrigatórios</w:t>
            </w:r>
          </w:p>
        </w:tc>
        <w:tc>
          <w:tcPr>
            <w:tcW w:type="dxa" w:w="50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src/features/[f]/components/</w:t>
            </w:r>
          </w:p>
        </w:tc>
      </w:tr>
      <w:tr>
        <w:tc>
          <w:tcPr>
            <w:tcW w:type="dxa" w:w="8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8. Testes</w:t>
            </w:r>
          </w:p>
        </w:tc>
        <w:tc>
          <w:tcPr>
            <w:tcW w:type="dxa" w:w="3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Vitest + Playwright</w:t>
            </w:r>
          </w:p>
        </w:tc>
        <w:tc>
          <w:tcPr>
            <w:tcW w:type="dxa" w:w="50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src/features/[f]/[nome].test.ts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0066CC"/>
          <w:sz w:val="28"/>
          <w:szCs w:val="28"/>
        </w:rPr>
        <w:t xml:space="preserve">5.1 Estrutura obrigatória — Server Action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E1E2E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export async function createEntidade(input: unknown) {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// 1. Auth — quem está fazendo a requisição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const { user, company } = await getAuthContext()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// 2. Permissão — pode fazer isso?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const can = await checkPermission(user.id, 'entidade.criar', company.id)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if (!can) return { error: 'Sem permissão' }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// 3. Validação — dados são válidos?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const parsed = entidadeSchema.safeParse(input)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if (!parsed.success) return { error: parsed.error.flatten() }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try {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// 4. Banco — sempre com companyId do contexto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const item = await db.insert(entidades).values({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...parsed.data,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companyId: company.id,  // nunca do input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}).returning()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// 5. Log estruturado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logger.info({ companyId: company.id, userId: user.id,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action: 'entidade.created' }, 'Criado')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// 6. Auditoria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await auditLog({ companyId: company.id, userId: user.id,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action: 'entidade.created', entity: 'Entidade', entityId: item[0].id })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return { data: item[0] }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} catch (err) {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logger.error({ err, companyId: company.id }, 'Falha ao criar')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return { error: 'Erro ao criar. Tente novamente.' }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}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}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0066CC"/>
          <w:sz w:val="28"/>
          <w:szCs w:val="28"/>
        </w:rPr>
        <w:t xml:space="preserve">5.2 Estrutura obrigatória — Componente com dados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E1E2E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export function EntidadeList() {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const { data, isLoading, isError, refetch } = useEntidades()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// Estado 1: carregando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if (isLoading) return &lt;EntidadeSkeleton /&gt;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// Estado 2: erro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if (isError) return &lt;ErrorState onRetry={refetch} /&gt;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// Estado 3: vazio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if (!data?.length) return &lt;EmptyState action={&lt;CriarButton /&gt;} /&gt;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// Estado 4: dados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return data.map(item =&gt; &lt;EntidadeCard key={item.id} item={item} /&gt;)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}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66CC" w:sz="6" w:space="1"/>
        </w:pBdr>
        <w:spacing w:before="400" w:after="200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Parte 6 — Segurança no Desenvolvimento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As regras de segurança são aplicadas automaticamente em todo código gerado. Não é necessário pedir — faz parte do padrão.</w:t>
      </w:r>
    </w:p>
    <w:p>
      <w:pPr>
        <w:spacing w:before="120" w:after="120"/>
      </w:pPr>
      <w: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0066CC"/>
          <w:sz w:val="28"/>
          <w:szCs w:val="28"/>
        </w:rPr>
        <w:t xml:space="preserve">6.1 O que aplico automaticamente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 de código</w:t>
            </w:r>
          </w:p>
        </w:tc>
        <w:tc>
          <w:tcPr>
            <w:tcW w:type="dxa" w:w="63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Segurança aplicada automaticamente</w:t>
            </w:r>
          </w:p>
        </w:tc>
      </w:tr>
      <w:tr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 Action</w:t>
            </w:r>
          </w:p>
        </w:tc>
        <w:tc>
          <w:tcPr>
            <w:tcW w:type="dxa" w:w="6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input: unknown + Zod + permissão + companyId do contexto + try/catch + logger.error</w:t>
            </w:r>
          </w:p>
        </w:tc>
      </w:tr>
      <w:tr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Webhook</w:t>
            </w:r>
          </w:p>
        </w:tc>
        <w:tc>
          <w:tcPr>
            <w:tcW w:type="dxa" w:w="6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Verificação HMAC antes de processar + idempotência</w:t>
            </w:r>
          </w:p>
        </w:tc>
      </w:tr>
      <w:tr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Upload</w:t>
            </w:r>
          </w:p>
        </w:tc>
        <w:tc>
          <w:tcPr>
            <w:tcW w:type="dxa" w:w="6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Validar tipo de arquivo (whitelist) + tamanho máximo</w:t>
            </w:r>
          </w:p>
        </w:tc>
      </w:tr>
      <w:tr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Query banco</w:t>
            </w:r>
          </w:p>
        </w:tc>
        <w:tc>
          <w:tcPr>
            <w:tcW w:type="dxa" w:w="6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Sempre .where(eq(tabela.companyId, company.id))</w:t>
            </w:r>
          </w:p>
        </w:tc>
      </w:tr>
      <w:tr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TypeScript</w:t>
            </w:r>
          </w:p>
        </w:tc>
        <w:tc>
          <w:tcPr>
            <w:tcW w:type="dxa" w:w="6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Nunca any, nunca @ts-ignore sem comentário</w:t>
            </w:r>
          </w:p>
        </w:tc>
      </w:tr>
      <w:tr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Variáveis</w:t>
            </w:r>
          </w:p>
        </w:tc>
        <w:tc>
          <w:tcPr>
            <w:tcW w:type="dxa" w:w="6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Nunca hardcodar chave, nunca NEXT_PUBLIC_ em variável sensível</w:t>
            </w:r>
          </w:p>
        </w:tc>
      </w:tr>
      <w:tr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Logs</w:t>
            </w:r>
          </w:p>
        </w:tc>
        <w:tc>
          <w:tcPr>
            <w:tcW w:type="dxa" w:w="6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Nunca senha, token, CPF, cartão, chave de API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0066CC"/>
          <w:sz w:val="28"/>
          <w:szCs w:val="28"/>
        </w:rPr>
        <w:t xml:space="preserve">6.2 Sinais de alerta — código que nunca aceito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1B1B" w:sz="1"/>
              <w:left w:val="single" w:color="991B1B" w:sz="1"/>
              <w:bottom w:val="single" w:color="991B1B" w:sz="1"/>
              <w:right w:val="single" w:color="991B1B" w:sz="1"/>
            </w:tcBorders>
            <w:shd w:fill="FE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991B1B"/>
                <w:sz w:val="22"/>
                <w:szCs w:val="22"/>
              </w:rPr>
              <w:t xml:space="preserve">🚫 Rejeito imediatamente qualquer código com: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Query sem .where(eq(tabela.companyId, ...))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Server Action sem verificação de permissão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Server Action sem try/catch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Componente sem loading/error/empty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Ação destrutiva sem AlertDialog de confirmação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any no TypeScript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Chave ou secret hardcoded no código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Dado sensível em log (senha, CPF, token, cartão)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Lógica de negócio dentro de page.tsx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Arquivo com mais de 200 linhas misturando responsabilidades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66CC" w:sz="6" w:space="1"/>
        </w:pBdr>
        <w:spacing w:before="400" w:after="200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Parte 7 — Processo de Iteração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Um bom sistema não é só bem construído — é bem evoluído. Esta parte define como mudar e melhorar o sistema depois que está em produção sem quebrar o que funciona.</w:t>
      </w:r>
    </w:p>
    <w:p>
      <w:pPr>
        <w:spacing w:before="120" w:after="120"/>
      </w:pPr>
      <w: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0066CC"/>
          <w:sz w:val="28"/>
          <w:szCs w:val="28"/>
        </w:rPr>
        <w:t xml:space="preserve">7.1 Regras para evoluir o banco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Situação</w:t>
            </w:r>
          </w:p>
        </w:tc>
        <w:tc>
          <w:tcPr>
            <w:tcW w:type="dxa" w:w="3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Como fazer</w:t>
            </w:r>
          </w:p>
        </w:tc>
        <w:tc>
          <w:tcPr>
            <w:tcW w:type="dxa" w:w="33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 que nunca fazer</w:t>
            </w:r>
          </w:p>
        </w:tc>
      </w:tr>
      <w:tr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Adicionar campo</w:t>
            </w:r>
          </w:p>
        </w:tc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Nova coluna com migration</w:t>
            </w:r>
          </w:p>
        </w:tc>
        <w:tc>
          <w:tcPr>
            <w:tcW w:type="dxa" w:w="3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Alterar coluna existente sem migration</w:t>
            </w:r>
          </w:p>
        </w:tc>
      </w:tr>
      <w:tr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Renomear campo</w:t>
            </w:r>
          </w:p>
        </w:tc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Criar nova coluna, migrar dados, deprecar antiga</w:t>
            </w:r>
          </w:p>
        </w:tc>
        <w:tc>
          <w:tcPr>
            <w:tcW w:type="dxa" w:w="3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Renomear direto em produção</w:t>
            </w:r>
          </w:p>
        </w:tc>
      </w:tr>
      <w:tr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Remover campo</w:t>
            </w:r>
          </w:p>
        </w:tc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Deprecar primeiro, remover só quando ninguém usa</w:t>
            </w:r>
          </w:p>
        </w:tc>
        <w:tc>
          <w:tcPr>
            <w:tcW w:type="dxa" w:w="3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Remover sem verificar uso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0066CC"/>
          <w:sz w:val="28"/>
          <w:szCs w:val="28"/>
        </w:rPr>
        <w:t xml:space="preserve">7.2 Regras para evoluir código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Antes de qualquer mudança: rodar npx vitest run — todos os testes devem passar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Mudança em Server Action existente: criar nova versão, migrar aos poucos, remover antiga só quando ninguém usa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Feature nova em produção: usar feature flag — habilitar para 1 empresa primeiro, validar, depois abrir para todos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Nunca fazer deploy de mudança grande sem testar em ambiente de staging</w:t>
      </w:r>
    </w:p>
    <w:p>
      <w:pPr>
        <w:spacing w:before="120" w:after="120"/>
      </w:pPr>
      <w: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0066CC"/>
          <w:sz w:val="28"/>
          <w:szCs w:val="28"/>
        </w:rPr>
        <w:t xml:space="preserve">7.3 Como iterar baseado em uso real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Fonte de dado</w:t>
            </w:r>
          </w:p>
        </w:tc>
        <w:tc>
          <w:tcPr>
            <w:tcW w:type="dxa" w:w="3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 que revela</w:t>
            </w:r>
          </w:p>
        </w:tc>
        <w:tc>
          <w:tcPr>
            <w:tcW w:type="dxa" w:w="33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Ferramenta</w:t>
            </w:r>
          </w:p>
        </w:tc>
      </w:tr>
      <w:tr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Logs de erro</w:t>
            </w:r>
          </w:p>
        </w:tc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Onde o sistema quebra para usuários reais</w:t>
            </w:r>
          </w:p>
        </w:tc>
        <w:tc>
          <w:tcPr>
            <w:tcW w:type="dxa" w:w="3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Sentry</w:t>
            </w:r>
          </w:p>
        </w:tc>
      </w:tr>
      <w:tr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Comportamento do usuário</w:t>
            </w:r>
          </w:p>
        </w:tc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Onde os usuários travam ou abandonam</w:t>
            </w:r>
          </w:p>
        </w:tc>
        <w:tc>
          <w:tcPr>
            <w:tcW w:type="dxa" w:w="3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Posthog / Umami</w:t>
            </w:r>
          </w:p>
        </w:tc>
      </w:tr>
      <w:tr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Feedback direto</w:t>
            </w:r>
          </w:p>
        </w:tc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que os usuários pedem ou reclamam</w:t>
            </w:r>
          </w:p>
        </w:tc>
        <w:tc>
          <w:tcPr>
            <w:tcW w:type="dxa" w:w="3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Suporte / entrevistas</w:t>
            </w:r>
          </w:p>
        </w:tc>
      </w:tr>
      <w:tr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Métricas de uso</w:t>
            </w:r>
          </w:p>
        </w:tc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Quais features são mais usadas</w:t>
            </w:r>
          </w:p>
        </w:tc>
        <w:tc>
          <w:tcPr>
            <w:tcW w:type="dxa" w:w="3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Posthog</w:t>
            </w:r>
          </w:p>
        </w:tc>
      </w:tr>
    </w:tbl>
    <w:p>
      <w:pPr>
        <w:spacing w:before="12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66CC" w:sz="1"/>
              <w:left w:val="single" w:color="0066CC" w:sz="1"/>
              <w:bottom w:val="single" w:color="0066CC" w:sz="1"/>
              <w:right w:val="single" w:color="0066CC" w:sz="1"/>
            </w:tcBorders>
            <w:shd w:fill="E8F0F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0066CC"/>
                <w:sz w:val="22"/>
                <w:szCs w:val="22"/>
              </w:rPr>
              <w:t xml:space="preserve">💡 Princípio de iteração</w:t>
            </w:r>
          </w:p>
          <w:p>
            <w:pPr>
              <w:spacing w:before="80" w:after="8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Iterar baseado em dados, não em suposição. Só mudar o que os dados mostram que precisa mudar.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66CC" w:sz="6" w:space="1"/>
        </w:pBdr>
        <w:spacing w:before="400" w:after="200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Parte 8 — Checklist Final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Feature só está pronta quando todos os itens abaixo estiverem marcados.</w:t>
      </w:r>
    </w:p>
    <w:p>
      <w:pPr>
        <w:spacing w:before="120" w:after="120"/>
      </w:pPr>
      <w: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0066CC"/>
          <w:sz w:val="28"/>
          <w:szCs w:val="28"/>
        </w:rPr>
        <w:t xml:space="preserve">Regra de negócio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□ Problema claramente definido antes de codar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□ Todos os casos de erro tratados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□ Usuário recebe feedback visual em toda ação</w:t>
      </w:r>
    </w:p>
    <w:p>
      <w:pPr>
        <w:spacing w:before="120" w:after="120"/>
      </w:pPr>
      <w: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0066CC"/>
          <w:sz w:val="28"/>
          <w:szCs w:val="28"/>
        </w:rPr>
        <w:t xml:space="preserve">Código e arquitetura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□ Feature no diretório correto (Feature-Based Architecture)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□ page.tsx sem lógica — só importa de features/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□ Nenhum arquivo com mais de 200 linhas misturando responsabilidades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□ Schema com companyId e índice criados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□ Migration gerada e aplicada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□ Action: auth → permissão → Zod → companyId → log → audit → retorno tipado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□ Componente: loading / error / empty / dados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□ Ação destrutiva com AlertDialog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□ Sem any, sem monolito, sem chave hardcoded</w:t>
      </w:r>
    </w:p>
    <w:p>
      <w:pPr>
        <w:spacing w:before="120" w:after="120"/>
      </w:pPr>
      <w: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0066CC"/>
          <w:sz w:val="28"/>
          <w:szCs w:val="28"/>
        </w:rPr>
        <w:t xml:space="preserve">Rotas e navegação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□ Rota no grupo correto: (auth) / (system) / (seller) / (tenant)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□ Layout do grupo verifica o role correto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□ Tela adicionada ao menu do perfil correto</w:t>
      </w:r>
    </w:p>
    <w:p>
      <w:pPr>
        <w:spacing w:before="120" w:after="120"/>
      </w:pPr>
      <w: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0066CC"/>
          <w:sz w:val="28"/>
          <w:szCs w:val="28"/>
        </w:rPr>
        <w:t xml:space="preserve">Segurança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□ RLS ativo na tabela nova no Supabase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□ Nenhum dado sensível nos logs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□ Upload com validação de tipo e tamanho (se houver)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□ Webhook com verificação HMAC (se houver)</w:t>
      </w:r>
    </w:p>
    <w:p>
      <w:pPr>
        <w:spacing w:before="120" w:after="120"/>
      </w:pPr>
      <w: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0066CC"/>
          <w:sz w:val="28"/>
          <w:szCs w:val="28"/>
        </w:rPr>
        <w:t xml:space="preserve">Testes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□ Schema Zod: caso válido e casos inválidos por campo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□ Action: sucesso, sem permissão, dados inválidos, isolamento de tenant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□ npx vitest run — todos os testes passando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□ Fluxo principal testado no Playwright (se E2E disponível)</w:t>
      </w:r>
    </w:p>
    <w:p>
      <w:pPr>
        <w:spacing w:before="120" w:after="120"/>
      </w:pPr>
      <w: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0066CC"/>
          <w:sz w:val="28"/>
          <w:szCs w:val="28"/>
        </w:rPr>
        <w:t xml:space="preserve">Depois de pronto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□ CONTEXT.md atualizado com o que foi implementado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□ Decisões novas registradas no CONTEXT.md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□ Se feature nova em produção: feature flag ativada para 1 empresa primeiro</w:t>
      </w:r>
    </w:p>
    <w:p>
      <w:pPr>
        <w:spacing w:before="120"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066CC" w:sz="6" w:space="1"/>
        </w:pBdr>
        <w:spacing w:before="400" w:after="200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Parte 9 — Agentes de Desenvolvimento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Cada agente atua em seu momento. Nunca simultaneamente. Um termina, o próximo começa.</w:t>
      </w:r>
    </w:p>
    <w:p>
      <w:pPr>
        <w:spacing w:before="120" w:after="120"/>
      </w:pPr>
      <w:r>
        <w:t xml:space="preserve"/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3000"/>
        <w:gridCol w:w="2860"/>
      </w:tblGrid>
      <w:tr>
        <w:trPr>
          <w:tblHeader/>
        </w:trPr>
        <w:tc>
          <w:tcPr>
            <w:tcW w:type="dxa" w:w="2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Agente</w:t>
            </w:r>
          </w:p>
        </w:tc>
        <w:tc>
          <w:tcPr>
            <w:tcW w:type="dxa" w:w="25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Momento</w:t>
            </w:r>
          </w:p>
        </w:tc>
        <w:tc>
          <w:tcPr>
            <w:tcW w:type="dxa" w:w="3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Recebe</w:t>
            </w:r>
          </w:p>
        </w:tc>
        <w:tc>
          <w:tcPr>
            <w:tcW w:type="dxa" w:w="28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Entrega</w:t>
            </w:r>
          </w:p>
        </w:tc>
      </w:tr>
      <w:tr>
        <w:tc>
          <w:tcPr>
            <w:tcW w:type="dxa" w:w="2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Arquiteto</w:t>
            </w:r>
          </w:p>
        </w:tc>
        <w:tc>
          <w:tcPr>
            <w:tcW w:type="dxa" w:w="2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Antes de qualquer código</w:t>
            </w:r>
          </w:p>
        </w:tc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Regra de negócio</w:t>
            </w:r>
          </w:p>
        </w:tc>
        <w:tc>
          <w:tcPr>
            <w:tcW w:type="dxa" w:w="28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Schema + estrutura + decisões</w:t>
            </w:r>
          </w:p>
        </w:tc>
      </w:tr>
      <w:tr>
        <w:tc>
          <w:tcPr>
            <w:tcW w:type="dxa" w:w="2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 Backend</w:t>
            </w:r>
          </w:p>
        </w:tc>
        <w:tc>
          <w:tcPr>
            <w:tcW w:type="dxa" w:w="2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Após o Arquiteto</w:t>
            </w:r>
          </w:p>
        </w:tc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Output do Arquiteto</w:t>
            </w:r>
          </w:p>
        </w:tc>
        <w:tc>
          <w:tcPr>
            <w:tcW w:type="dxa" w:w="28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Actions + hooks + schemas prontos</w:t>
            </w:r>
          </w:p>
        </w:tc>
      </w:tr>
      <w:tr>
        <w:tc>
          <w:tcPr>
            <w:tcW w:type="dxa" w:w="2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 Frontend</w:t>
            </w:r>
          </w:p>
        </w:tc>
        <w:tc>
          <w:tcPr>
            <w:tcW w:type="dxa" w:w="2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Após o Backend</w:t>
            </w:r>
          </w:p>
        </w:tc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Output do Backend</w:t>
            </w:r>
          </w:p>
        </w:tc>
        <w:tc>
          <w:tcPr>
            <w:tcW w:type="dxa" w:w="28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UI completa com 3 estados</w:t>
            </w:r>
          </w:p>
        </w:tc>
      </w:tr>
      <w:tr>
        <w:tc>
          <w:tcPr>
            <w:tcW w:type="dxa" w:w="2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4. Qualidade</w:t>
            </w:r>
          </w:p>
        </w:tc>
        <w:tc>
          <w:tcPr>
            <w:tcW w:type="dxa" w:w="25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Após o Frontend</w:t>
            </w:r>
          </w:p>
        </w:tc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Output do Frontend</w:t>
            </w:r>
          </w:p>
        </w:tc>
        <w:tc>
          <w:tcPr>
            <w:tcW w:type="dxa" w:w="28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Testes + relatório + CONTEXT.md</w:t>
            </w:r>
          </w:p>
        </w:tc>
      </w:tr>
    </w:tbl>
    <w:p>
      <w:pPr>
        <w:spacing w:before="12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66CC" w:sz="1"/>
              <w:left w:val="single" w:color="0066CC" w:sz="1"/>
              <w:bottom w:val="single" w:color="0066CC" w:sz="1"/>
              <w:right w:val="single" w:color="0066CC" w:sz="1"/>
            </w:tcBorders>
            <w:shd w:fill="E8F0F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0066CC"/>
                <w:sz w:val="22"/>
                <w:szCs w:val="22"/>
              </w:rPr>
              <w:t xml:space="preserve">💡 Quando usar fluxo completo vs agente único</w:t>
            </w:r>
          </w:p>
          <w:p>
            <w:pPr>
              <w:spacing w:before="80" w:after="8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Feature simples (CRUD básico, 1 tela) → agente único com este guia. Mais rápido.</w:t>
            </w:r>
          </w:p>
          <w:p>
            <w:pPr>
              <w:spacing w:before="80" w:after="8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Feature complexa (múltiplos perfis, integrações, regras elaboradas) → 4 agentes em sequência. Mais sólido.</w:t>
            </w:r>
          </w:p>
        </w:tc>
      </w:tr>
    </w:tbl>
    <w:p>
      <w:r>
        <w:br w:type="pag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0066CC"/>
          <w:sz w:val="28"/>
          <w:szCs w:val="28"/>
        </w:rPr>
        <w:t xml:space="preserve">Agente 1 — Arquiteto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Referências deste guia: Parte 1 (validação da regra) + Parte 2 (stack) + Parte 3 (arquitetura)</w:t>
      </w:r>
    </w:p>
    <w:p>
      <w:pPr>
        <w:spacing w:before="12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Missão</w:t>
            </w:r>
          </w:p>
        </w:tc>
        <w:tc>
          <w:tcPr>
            <w:tcW w:type="dxa" w:w="63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Detalhe</w:t>
            </w:r>
          </w:p>
        </w:tc>
      </w:tr>
      <w:tr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Validar regra</w:t>
            </w:r>
          </w:p>
        </w:tc>
        <w:tc>
          <w:tcPr>
            <w:tcW w:type="dxa" w:w="6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Faz as 6 perguntas da Parte 1 antes de qualquer definição técnica</w:t>
            </w:r>
          </w:p>
        </w:tc>
      </w:tr>
      <w:tr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Decidir stack</w:t>
            </w:r>
          </w:p>
        </w:tc>
        <w:tc>
          <w:tcPr>
            <w:tcW w:type="dxa" w:w="6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 ainda não definida, aplica os critérios da Parte 2</w:t>
            </w:r>
          </w:p>
        </w:tc>
      </w:tr>
      <w:tr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Definir schema</w:t>
            </w:r>
          </w:p>
        </w:tc>
        <w:tc>
          <w:tcPr>
            <w:tcW w:type="dxa" w:w="6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Schema Drizzle com companyId, índices e relacionamentos</w:t>
            </w:r>
          </w:p>
        </w:tc>
      </w:tr>
      <w:tr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Definir estrutura</w:t>
            </w:r>
          </w:p>
        </w:tc>
        <w:tc>
          <w:tcPr>
            <w:tcW w:type="dxa" w:w="6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Pastas e arquivos da feature seguindo Parte 3</w:t>
            </w:r>
          </w:p>
        </w:tc>
      </w:tr>
      <w:tr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Documentar decisões</w:t>
            </w:r>
          </w:p>
        </w:tc>
        <w:tc>
          <w:tcPr>
            <w:tcW w:type="dxa" w:w="6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Registra tudo para o próximo agente não precisar adivinhar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003366"/>
          <w:sz w:val="24"/>
          <w:szCs w:val="24"/>
        </w:rPr>
        <w:t xml:space="preserve">Prompt de ativação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E1E2E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Você é o Agente Arquiteto. Siga a Parte 1 e Parte 2 deste guia.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Regra de negócio: [descrever aqui]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Sua missão: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1. Validar a regra com as 6 perguntas da Parte 1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2. Decidir stack se não definida (Parte 2)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3. Definir schema do banco com companyId e índices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4. Definir estrutura da feature (Feature-Based Architecture)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5. Documentar todas as decisões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Entregue: schema + estrutura + decisões + pontos de atenção</w:t>
            </w:r>
          </w:p>
        </w:tc>
      </w:tr>
    </w:tbl>
    <w:p>
      <w:r>
        <w:br w:type="pag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0066CC"/>
          <w:sz w:val="28"/>
          <w:szCs w:val="28"/>
        </w:rPr>
        <w:t xml:space="preserve">Agente 2 — Backend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Referências deste guia: Parte 5 (processo) + Parte 6 (segurança)</w:t>
      </w:r>
    </w:p>
    <w:p>
      <w:pPr>
        <w:spacing w:before="12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Missão</w:t>
            </w:r>
          </w:p>
        </w:tc>
        <w:tc>
          <w:tcPr>
            <w:tcW w:type="dxa" w:w="63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Ordem</w:t>
            </w:r>
          </w:p>
        </w:tc>
      </w:tr>
      <w:tr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Migration</w:t>
            </w:r>
          </w:p>
        </w:tc>
        <w:tc>
          <w:tcPr>
            <w:tcW w:type="dxa" w:w="6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1º — gerar e aplicar antes de qualquer código</w:t>
            </w:r>
          </w:p>
        </w:tc>
      </w:tr>
      <w:tr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Types</w:t>
            </w:r>
          </w:p>
        </w:tc>
        <w:tc>
          <w:tcPr>
            <w:tcW w:type="dxa" w:w="6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2º — inferir do schema Drizzle</w:t>
            </w:r>
          </w:p>
        </w:tc>
      </w:tr>
      <w:tr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Schemas Zod</w:t>
            </w:r>
          </w:p>
        </w:tc>
        <w:tc>
          <w:tcPr>
            <w:tcW w:type="dxa" w:w="6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3º — validações com mensagens em PT-BR</w:t>
            </w:r>
          </w:p>
        </w:tc>
      </w:tr>
      <w:tr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 Actions</w:t>
            </w:r>
          </w:p>
        </w:tc>
        <w:tc>
          <w:tcPr>
            <w:tcW w:type="dxa" w:w="6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4º — auth → permissão → Zod → companyId → log → audit</w:t>
            </w:r>
          </w:p>
        </w:tc>
      </w:tr>
      <w:tr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Hooks TanStack Query</w:t>
            </w:r>
          </w:p>
        </w:tc>
        <w:tc>
          <w:tcPr>
            <w:tcW w:type="dxa" w:w="6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5º — query keys centralizadas, staleTime, invalidação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003366"/>
          <w:sz w:val="24"/>
          <w:szCs w:val="24"/>
        </w:rPr>
        <w:t xml:space="preserve">Prompt de ativação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E1E2E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Você é o Agente Backend. Siga a Parte 5 e Parte 6 deste guia.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Recebido do Arquiteto: [colar output do Agente 1]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Sua missão — nesta ordem: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1. Migration (drizzle-kit generate &amp;&amp; migrate)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2. Types inferidos do schema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3. Schemas Zod com mensagens em PT-BR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4. Server Actions com segurança completa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5. Hooks TanStack Query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Regras: input unknown, companyId do contexto,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try/catch em toda action, nunca any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Entregue: arquivos criados + pontos para o Frontend</w:t>
            </w:r>
          </w:p>
        </w:tc>
      </w:tr>
    </w:tbl>
    <w:p>
      <w:r>
        <w:br w:type="pag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0066CC"/>
          <w:sz w:val="28"/>
          <w:szCs w:val="28"/>
        </w:rPr>
        <w:t xml:space="preserve">Agente 3 — Frontend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Referências deste guia: Parte 3 (arquitetura) + Parte 4 (rotas) + Parte 5 (componentes)</w:t>
      </w:r>
    </w:p>
    <w:p>
      <w:pPr>
        <w:spacing w:before="12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Missão</w:t>
            </w:r>
          </w:p>
        </w:tc>
        <w:tc>
          <w:tcPr>
            <w:tcW w:type="dxa" w:w="63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Regra</w:t>
            </w:r>
          </w:p>
        </w:tc>
      </w:tr>
      <w:tr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Componentes com 3 estados</w:t>
            </w:r>
          </w:p>
        </w:tc>
        <w:tc>
          <w:tcPr>
            <w:tcW w:type="dxa" w:w="6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loading → error → empty → dados — sem exceção</w:t>
            </w:r>
          </w:p>
        </w:tc>
      </w:tr>
      <w:tr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Formulários</w:t>
            </w:r>
          </w:p>
        </w:tc>
        <w:tc>
          <w:tcPr>
            <w:tcW w:type="dxa" w:w="6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 Hook Form + schema Zod já criado pelo Backend</w:t>
            </w:r>
          </w:p>
        </w:tc>
      </w:tr>
      <w:tr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Ações destrutivas</w:t>
            </w:r>
          </w:p>
        </w:tc>
        <w:tc>
          <w:tcPr>
            <w:tcW w:type="dxa" w:w="6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Sempre AlertDialog — nunca onClick direto</w:t>
            </w:r>
          </w:p>
        </w:tc>
      </w:tr>
      <w:tr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page.tsx</w:t>
            </w:r>
          </w:p>
        </w:tc>
        <w:tc>
          <w:tcPr>
            <w:tcW w:type="dxa" w:w="6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Só importa de features/ — sem lógica dentro</w:t>
            </w:r>
          </w:p>
        </w:tc>
      </w:tr>
      <w:tr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Arquivos</w:t>
            </w:r>
          </w:p>
        </w:tc>
        <w:tc>
          <w:tcPr>
            <w:tcW w:type="dxa" w:w="6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Máximo 200 linhas — separar se passar disso</w:t>
            </w:r>
          </w:p>
        </w:tc>
      </w:tr>
      <w:tr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Rotas e menus</w:t>
            </w:r>
          </w:p>
        </w:tc>
        <w:tc>
          <w:tcPr>
            <w:tcW w:type="dxa" w:w="6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Grupo correto + menu do perfil correto atualizado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003366"/>
          <w:sz w:val="24"/>
          <w:szCs w:val="24"/>
        </w:rPr>
        <w:t xml:space="preserve">Prompt de ativação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E1E2E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Você é o Agente Frontend. Siga as Partes 3, 4 e 5 deste guia.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Recebido do Backend: [colar output do Agente 2]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Sua missão: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1. Componentes com 3 estados: loading/error/empty/dados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2. Formulários com React Hook Form + Zod do Backend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3. Ações destrutivas com AlertDialog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4. Rota no grupo correto e menu atualizado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5. page.tsx só importa de features/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Entregue: componentes + rotas + menus atualizados</w:t>
            </w:r>
          </w:p>
        </w:tc>
      </w:tr>
    </w:tbl>
    <w:p>
      <w:r>
        <w:br w:type="pag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0066CC"/>
          <w:sz w:val="28"/>
          <w:szCs w:val="28"/>
        </w:rPr>
        <w:t xml:space="preserve">Agente 4 — Qualidade e Segurança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Referências deste guia: Parte 6 (segurança) + Parte 7 (iteração) + Parte 8 (checklist)</w:t>
      </w:r>
    </w:p>
    <w:p>
      <w:pPr>
        <w:spacing w:before="12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Missão</w:t>
            </w:r>
          </w:p>
        </w:tc>
        <w:tc>
          <w:tcPr>
            <w:tcW w:type="dxa" w:w="63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Detalhe</w:t>
            </w:r>
          </w:p>
        </w:tc>
      </w:tr>
      <w:tr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Verificar segurança</w:t>
            </w:r>
          </w:p>
        </w:tc>
        <w:tc>
          <w:tcPr>
            <w:tcW w:type="dxa" w:w="6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Aplica todas as regras da Parte 6 em todo código gerado</w:t>
            </w:r>
          </w:p>
        </w:tc>
      </w:tr>
      <w:tr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Testes Vitest</w:t>
            </w:r>
          </w:p>
        </w:tc>
        <w:tc>
          <w:tcPr>
            <w:tcW w:type="dxa" w:w="6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casos por action: sucesso, sem permissão, inválido, isolamento</w:t>
            </w:r>
          </w:p>
        </w:tc>
      </w:tr>
      <w:tr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Teste Playwright</w:t>
            </w:r>
          </w:p>
        </w:tc>
        <w:tc>
          <w:tcPr>
            <w:tcW w:type="dxa" w:w="6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Fluxo principal do usuário de ponta a ponta</w:t>
            </w:r>
          </w:p>
        </w:tc>
      </w:tr>
      <w:tr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Checklist Parte 8</w:t>
            </w:r>
          </w:p>
        </w:tc>
        <w:tc>
          <w:tcPr>
            <w:tcW w:type="dxa" w:w="6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Todos os itens verificados antes de aprovar</w:t>
            </w:r>
          </w:p>
        </w:tc>
      </w:tr>
      <w:tr>
        <w:tc>
          <w:tcPr>
            <w:tcW w:type="dxa" w:w="300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Atualizar CONTEXT.md</w:t>
            </w:r>
          </w:p>
        </w:tc>
        <w:tc>
          <w:tcPr>
            <w:tcW w:type="dxa" w:w="6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Feature marcada + decisões novas registradas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003366"/>
          <w:sz w:val="24"/>
          <w:szCs w:val="24"/>
        </w:rPr>
        <w:t xml:space="preserve">Prompt de ativação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E1E2E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Você é o Agente de Qualidade e Segurança.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Siga a Parte 6, Parte 7 e Parte 8 deste guia.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Recebido do Frontend: [colar output do Agente 3]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Sua missão: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1. Verificar todas as regras de segurança (Parte 6)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2. Escrever testes Vitest — 4 casos por action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3. Escrever teste Playwright do fluxo principal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4. Aplicar checklist completo da Parte 8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5. Atualizar CONTEXT.md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Entregue: relatório de segurança + testes passando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+ checklist preenchido + CONTEXT.md atualizado</w:t>
            </w:r>
          </w:p>
        </w:tc>
      </w:tr>
    </w:tbl>
    <w:p>
      <w:pPr>
        <w:spacing w:before="12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1B1B" w:sz="1"/>
              <w:left w:val="single" w:color="991B1B" w:sz="1"/>
              <w:bottom w:val="single" w:color="991B1B" w:sz="1"/>
              <w:right w:val="single" w:color="991B1B" w:sz="1"/>
            </w:tcBorders>
            <w:shd w:fill="FE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991B1B"/>
                <w:sz w:val="22"/>
                <w:szCs w:val="22"/>
              </w:rPr>
              <w:t xml:space="preserve">🔒 O que o Agente 4 nunca aprova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Action sem companyId do contexto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Query sem filtro de tenant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any no TypeScript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Dado sensível em log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Testes faltando ou falhando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Checklist da Parte 8 incompleto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0066CC"/>
          <w:sz w:val="28"/>
          <w:szCs w:val="28"/>
        </w:rPr>
        <w:t xml:space="preserve">Passagem de contexto entre agentes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Cada agente recebe obrigatoriamente: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Este guia completo (ai-dev-guide.md)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O CONTEXT.md atualizado do projeto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O output completo do agente anterior</w:t>
      </w:r>
    </w:p>
    <w:p>
      <w:pPr>
        <w:spacing w:before="12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2400E" w:sz="1"/>
              <w:left w:val="single" w:color="92400E" w:sz="1"/>
              <w:bottom w:val="single" w:color="92400E" w:sz="1"/>
              <w:right w:val="single" w:color="92400E" w:sz="1"/>
            </w:tcBorders>
            <w:shd w:fill="FFFBE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92400E"/>
                <w:sz w:val="22"/>
                <w:szCs w:val="22"/>
              </w:rPr>
              <w:t xml:space="preserve">⚠️ Nunca pular a passagem de contexto</w:t>
            </w:r>
          </w:p>
          <w:p>
            <w:pPr>
              <w:spacing w:before="80" w:after="8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Sem o output do agente anterior, o próximo agente vai na direção errada e gera retrabalho.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pBdr>
          <w:top w:val="single" w:color="0066CC" w:sz="4" w:space="1"/>
        </w:pBdr>
        <w:spacing w:before="400" w:after="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Guia de Desenvolvimento — Documento vivo. Atualizar conforme o projeto evolui.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36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500"/>
      <w:gridCol w:w="2860"/>
    </w:tblGrid>
    <w:tr>
      <w:tc>
        <w:tcPr>
          <w:tcW w:type="dxa" w:w="6500"/>
          <w:tcBorders>
            <w:top w:val="single" w:color="0066CC" w:sz="1"/>
            <w:left w:val="none"/>
            <w:bottom w:val="none"/>
            <w:right w:val="none"/>
          </w:tcBorders>
          <w:tcMar>
            <w:top w:type="dxa" w:w="60"/>
            <w:left w:type="dxa" w:w="0"/>
            <w:bottom w:type="dxa" w:w="0"/>
            <w:right w:type="dxa" w:w="0"/>
          </w:tcMar>
        </w:tcPr>
        <w:p>
          <w:r>
            <w:rPr>
              <w:rFonts w:ascii="Arial" w:cs="Arial" w:eastAsia="Arial" w:hAnsi="Arial"/>
              <w:color w:val="888888"/>
              <w:sz w:val="16"/>
              <w:szCs w:val="16"/>
            </w:rPr>
            <w:t xml:space="preserve">Guia de Desenvolvimento  •  Uso Interno</w:t>
          </w:r>
        </w:p>
      </w:tc>
      <w:tc>
        <w:tcPr>
          <w:tcW w:type="dxa" w:w="2860"/>
          <w:tcBorders>
            <w:top w:val="single" w:color="0066CC" w:sz="1"/>
            <w:left w:val="none"/>
            <w:bottom w:val="none"/>
            <w:right w:val="none"/>
          </w:tcBorders>
          <w:tcMar>
            <w:top w:type="dxa" w:w="60"/>
            <w:left w:type="dxa" w:w="0"/>
            <w:bottom w:type="dxa" w:w="0"/>
            <w:right w:type="dxa" w:w="0"/>
          </w:tcMar>
        </w:tcPr>
        <w:p>
          <w:pPr>
            <w:jc w:val="right"/>
          </w:pPr>
          <w:fldSimple w:instr="PAGE"/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500"/>
      <w:gridCol w:w="2860"/>
    </w:tblGrid>
    <w:tr>
      <w:tc>
        <w:tcPr>
          <w:tcW w:type="dxa" w:w="6500"/>
          <w:tcBorders>
            <w:top w:val="none"/>
            <w:left w:val="none"/>
            <w:bottom w:val="single" w:color="0066CC" w:sz="1"/>
            <w:right w:val="none"/>
          </w:tcBorders>
          <w:tcMar>
            <w:top w:type="dxa" w:w="60"/>
            <w:left w:type="dxa" w:w="0"/>
            <w:bottom w:type="dxa" w:w="60"/>
            <w:right w:type="dxa" w:w="0"/>
          </w:tcMar>
        </w:tcPr>
        <w:p>
          <w:r>
            <w:rPr>
              <w:rFonts w:ascii="Arial" w:cs="Arial" w:eastAsia="Arial" w:hAnsi="Arial"/>
              <w:b/>
              <w:bCs/>
              <w:color w:val="003366"/>
              <w:sz w:val="18"/>
              <w:szCs w:val="18"/>
            </w:rPr>
            <w:t xml:space="preserve">Guia de Desenvolvimento com IA</w:t>
          </w:r>
        </w:p>
      </w:tc>
      <w:tc>
        <w:tcPr>
          <w:tcW w:type="dxa" w:w="2860"/>
          <w:tcBorders>
            <w:top w:val="none"/>
            <w:left w:val="none"/>
            <w:bottom w:val="single" w:color="0066CC" w:sz="1"/>
            <w:right w:val="none"/>
          </w:tcBorders>
          <w:tcMar>
            <w:top w:type="dxa" w:w="60"/>
            <w:left w:type="dxa" w:w="0"/>
            <w:bottom w:type="dxa" w:w="60"/>
            <w:right w:type="dxa" w:w="0"/>
          </w:tcMar>
        </w:tcPr>
        <w:p>
          <w:pPr>
            <w:jc w:val="right"/>
          </w:pPr>
          <w:r>
            <w:rPr>
              <w:rFonts w:ascii="Arial" w:cs="Arial" w:eastAsia="Arial" w:hAnsi="Arial"/>
              <w:color w:val="666666"/>
              <w:sz w:val="18"/>
              <w:szCs w:val="18"/>
            </w:rPr>
            <w:t xml:space="preserve">v1.0  •  Uso Interno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003366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20" w:after="160"/>
      <w:outlineLvl w:val="1"/>
    </w:pPr>
    <w:rPr>
      <w:rFonts w:ascii="Arial" w:cs="Arial" w:eastAsia="Arial" w:hAnsi="Arial"/>
      <w:b/>
      <w:bCs/>
      <w:color w:val="0066CC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40" w:after="120"/>
      <w:outlineLvl w:val="2"/>
    </w:pPr>
    <w:rPr>
      <w:rFonts w:ascii="Arial" w:cs="Arial" w:eastAsia="Arial" w:hAnsi="Arial"/>
      <w:b/>
      <w:bCs/>
      <w:color w:val="00336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2026-02-21T23:30:04.961Z</dcterms:created>
  <dcterms:modified xsi:type="dcterms:W3CDTF">2026-02-21T23:30:04.962Z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