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F2" w:rsidRDefault="005A35F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3pt;margin-top:38.05pt;width:441.75pt;height:546.75pt;z-index:-251657216;mso-position-horizontal-relative:text;mso-position-vertical-relative:text;mso-width-relative:page;mso-height-relative:page" wrapcoords="-37 0 -37 21570 21600 21570 21600 0 -37 0">
            <v:imagedata r:id="rId4" o:title="Main"/>
            <w10:wrap type="through"/>
          </v:shape>
        </w:pict>
      </w:r>
      <w:r>
        <w:t>Casos de uso de Gestión de producto</w:t>
      </w:r>
      <w:bookmarkStart w:id="0" w:name="_GoBack"/>
      <w:bookmarkEnd w:id="0"/>
    </w:p>
    <w:sectPr w:rsidR="005A3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F2"/>
    <w:rsid w:val="005A35F2"/>
    <w:rsid w:val="0071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CC8193B-0E33-41E8-8104-924FD3B6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alberto romero perez</dc:creator>
  <cp:keywords/>
  <dc:description/>
  <cp:lastModifiedBy>gerson alberto romero perez</cp:lastModifiedBy>
  <cp:revision>1</cp:revision>
  <dcterms:created xsi:type="dcterms:W3CDTF">2016-02-22T19:39:00Z</dcterms:created>
  <dcterms:modified xsi:type="dcterms:W3CDTF">2016-02-22T19:41:00Z</dcterms:modified>
</cp:coreProperties>
</file>